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46.jpg" ContentType="image/jpeg"/>
  <Override PartName="/word/media/rId45.jpg" ContentType="image/jpeg"/>
  <Override PartName="/word/media/rId43.jpg" ContentType="image/jpeg"/>
  <Override PartName="/word/media/rId4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7" w:name="figures"/>
    <w:p>
      <w:pPr>
        <w:pStyle w:val="Heading1"/>
      </w:pPr>
      <w:r>
        <w:t xml:space="preserve">Figures</w:t>
      </w:r>
    </w:p>
    <w:p>
      <w:pPr>
        <w:pStyle w:val="CaptionedFigure"/>
      </w:pPr>
      <w:r>
        <w:drawing>
          <wp:inline>
            <wp:extent cx="5943600" cy="5094514"/>
            <wp:effectExtent b="0" l="0" r="0" t="0"/>
            <wp:docPr descr="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supp.jpeg" id="0" name="Picture"/>
                    <pic:cNvPicPr>
                      <a:picLocks noChangeArrowheads="1" noChangeAspect="1"/>
                    </pic:cNvPicPr>
                  </pic:nvPicPr>
                  <pic:blipFill>
                    <a:blip r:embed="rId4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2: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 title="" id="1" name="Picture"/>
            <a:graphic>
              <a:graphicData uri="http://schemas.openxmlformats.org/drawingml/2006/picture">
                <pic:pic>
                  <pic:nvPicPr>
                    <pic:cNvPr descr="figs/wqgamtrnds-supp.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w:t>
      </w:r>
    </w:p>
    <w:p>
      <w:pPr>
        <w:pStyle w:val="CaptionedFigure"/>
      </w:pPr>
      <w:r>
        <w:drawing>
          <wp:inline>
            <wp:extent cx="5943600" cy="3962400"/>
            <wp:effectExtent b="0" l="0" r="0" t="0"/>
            <wp:docPr descr="Figure 3: Abundance estimates (+/- 95% confidence) for (a) area 1 and (b) area 3 (Figure 1a) for seagrass (top) and macroalgae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jpeg" id="0" name="Picture"/>
                    <pic:cNvPicPr>
                      <a:picLocks noChangeArrowheads="1" noChangeAspect="1"/>
                    </pic:cNvPicPr>
                  </pic:nvPicPr>
                  <pic:blipFill>
                    <a:blip r:embed="rId4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Abundance estimates (+/- 95% confidence) for (a) area 1 and (b) area 3 (Figure 1a) for seagrass (top) and macroalgae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4: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jpeg" id="0" name="Picture"/>
                    <pic:cNvPicPr>
                      <a:picLocks noChangeArrowheads="1" noChangeAspect="1"/>
                    </pic:cNvPicPr>
                  </pic:nvPicPr>
                  <pic:blipFill>
                    <a:blip r:embed="rId4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5: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jpeg" id="0"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5: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bookmarkEnd w:id="47"/>
    <w:bookmarkStart w:id="50" w:name="tables"/>
    <w:p>
      <w:pPr>
        <w:pStyle w:val="Heading1"/>
      </w:pPr>
      <w:r>
        <w:t xml:space="preserve">Tables</w:t>
      </w:r>
    </w:p>
    <w:p>
      <w:pPr>
        <w:pStyle w:val="TableCaption"/>
      </w:pPr>
      <w:r>
        <w:t xml:space="preserve">Table 1: Comparison of macroalgae Braun-Blanquet abundances by areas of interest (Figure</w:t>
      </w:r>
      <w:r>
        <w:t xml:space="preserve"> </w:t>
      </w:r>
      <w:r>
        <w:t xml:space="preserve">??</w:t>
      </w:r>
      <w:r>
        <w:t xml:space="preserve">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Braun-Blanquet abundances by areas of interest (Figure ??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Braun-Blanquet abundances by areas of interest (Figure</w:t>
      </w:r>
      <w:r>
        <w:t xml:space="preserve"> </w:t>
      </w:r>
      <w:r>
        <w:t xml:space="preserve">??</w:t>
      </w:r>
      <w:r>
        <w:t xml:space="preserve">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Braun-Blanquet abundances by areas of interest (Figure ??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Start w:id="49" w:name="refs"/>
    <w:bookmarkStart w:id="48" w:name="ref-Holm79"/>
    <w:p>
      <w:pPr>
        <w:pStyle w:val="Bibliography"/>
      </w:pPr>
      <w:r>
        <w:t xml:space="preserve">Holm, S., 1979. A simple sequentially rejective multiple test procedure. Scandinavian journal of statistics 65–70.</w:t>
      </w:r>
    </w:p>
    <w:bookmarkEnd w:id="48"/>
    <w:bookmarkEnd w:id="49"/>
    <w:bookmarkEnd w:id="5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5" Target="media/rId45.jpg"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2021-10-20T20:25:33Z</dcterms:created>
  <dcterms:modified xsi:type="dcterms:W3CDTF">2021-10-20T20:25:33Z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