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0.jpg" ContentType="image/jpeg"/>
  <Override PartName="/word/media/rId47.jpg" ContentType="image/jpeg"/>
  <Override PartName="/word/media/rId53.jpg" ContentType="image/jpeg"/>
  <Override PartName="/word/media/rId52.jpg" ContentType="image/jpeg"/>
  <Override PartName="/word/media/rId51.jpg" ContentType="image/jpeg"/>
  <Override PartName="/word/media/rId49.jpg" ContentType="image/jpeg"/>
  <Override PartName="/word/media/rId48.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nutrient-rich</w:t>
      </w:r>
      <w:r>
        <w:t xml:space="preserve"> </w:t>
      </w:r>
      <w:r>
        <w:t xml:space="preserve">Piney</w:t>
      </w:r>
      <w:r>
        <w:t xml:space="preserve"> </w:t>
      </w:r>
      <w:r>
        <w:t xml:space="preserve">Point</w:t>
      </w:r>
      <w:r>
        <w:t xml:space="preserve"> </w:t>
      </w:r>
      <w:r>
        <w:t xml:space="preserve">release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Jayne</w:t>
      </w:r>
      <w:r>
        <w:t xml:space="preserve"> </w:t>
      </w:r>
      <w:r>
        <w:t xml:space="preserve">Gardiner</w:t>
      </w:r>
      <w:r>
        <w:t xml:space="preserve"> </w:t>
      </w:r>
      <w:r>
        <w:t xml:space="preserve">(</w:t>
      </w:r>
      <w:hyperlink r:id="rId26">
        <w:r>
          <w:rPr>
            <w:rStyle w:val="Hyperlink"/>
          </w:rPr>
          <w:t xml:space="preserve">jgardiner@ncf.edu</w:t>
        </w:r>
      </w:hyperlink>
      <w:r>
        <w:t xml:space="preserve">),</w:t>
      </w:r>
      <w:r>
        <w:t xml:space="preserve"> </w:t>
      </w:r>
      <w:r>
        <w:t xml:space="preserve">Katherine</w:t>
      </w:r>
      <w:r>
        <w:t xml:space="preserve"> </w:t>
      </w:r>
      <w:r>
        <w:t xml:space="preserve">A.</w:t>
      </w:r>
      <w:r>
        <w:t xml:space="preserve"> </w:t>
      </w:r>
      <w:r>
        <w:t xml:space="preserve">Hubbard</w:t>
      </w:r>
      <w:r>
        <w:t xml:space="preserve"> </w:t>
      </w:r>
      <w:r>
        <w:t xml:space="preserve">(</w:t>
      </w:r>
      <w:hyperlink r:id="rId27">
        <w:r>
          <w:rPr>
            <w:rStyle w:val="Hyperlink"/>
          </w:rPr>
          <w:t xml:space="preserve">katherine.hubbard@myfwc.com</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sscolaro@tbep.org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Robert</w:t>
      </w:r>
      <w:r>
        <w:t xml:space="preserve"> </w:t>
      </w:r>
      <w:r>
        <w:t xml:space="preserve">H.</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Joe</w:t>
      </w:r>
      <w:r>
        <w:t xml:space="preserve"> </w:t>
      </w:r>
      <w:r>
        <w:t xml:space="preserve">Whalen</w:t>
      </w:r>
      <w:r>
        <w:t xml:space="preserve"> </w:t>
      </w:r>
      <w:r>
        <w:t xml:space="preserve">(</w:t>
      </w:r>
      <w:hyperlink r:id="rId38">
        <w:r>
          <w:rPr>
            <w:rStyle w:val="Hyperlink"/>
          </w:rPr>
          <w:t xml:space="preserve">jwhalen@tbep.org</w:t>
        </w:r>
      </w:hyperlink>
      <w:r>
        <w:t xml:space="preserve">)</w:t>
      </w:r>
    </w:p>
    <w:bookmarkStart w:id="42" w:name="data-source-materials-and-dashboard"/>
    <w:p>
      <w:pPr>
        <w:pStyle w:val="Heading1"/>
      </w:pPr>
      <w:r>
        <w:t xml:space="preserve">Data, source materials, and dashboard</w:t>
      </w:r>
    </w:p>
    <w:p>
      <w:pPr>
        <w:pStyle w:val="FirstParagraph"/>
      </w:pPr>
      <w:r>
        <w:t xml:space="preserve">All datasets used in this study are provided online in an open access data archive hosted on the Knowledge Network for Biocomplexity as part of the DataOne federated network. This includes full metadata documentation. The repository is available at</w:t>
      </w:r>
      <w:r>
        <w:t xml:space="preserve"> </w:t>
      </w:r>
      <w:hyperlink r:id="rId39">
        <w:r>
          <w:rPr>
            <w:rStyle w:val="Hyperlink"/>
          </w:rPr>
          <w:t xml:space="preserve">https://knb.ecoinformatics.org/view/doi:10.5063/F1959G05</w:t>
        </w:r>
      </w:hyperlink>
      <w:r>
        <w:t xml:space="preserve"> </w:t>
      </w:r>
      <w:r>
        <w:t xml:space="preserve">and citable as</w:t>
      </w:r>
      <w:r>
        <w:t xml:space="preserve"> </w:t>
      </w:r>
      <w:hyperlink w:anchor="ref-Beck21d">
        <w:r>
          <w:rPr>
            <w:rStyle w:val="Hyperlink"/>
          </w:rPr>
          <w:t xml:space="preserve">Beck</w:t>
        </w:r>
      </w:hyperlink>
      <w:r>
        <w:t xml:space="preserve"> </w:t>
      </w:r>
      <w:r>
        <w:t xml:space="preserve">(</w:t>
      </w:r>
      <w:hyperlink w:anchor="ref-Beck21d">
        <w:r>
          <w:rPr>
            <w:rStyle w:val="Hyperlink"/>
          </w:rPr>
          <w:t xml:space="preserve">2021</w:t>
        </w:r>
      </w:hyperlink>
      <w:r>
        <w:t xml:space="preserve">)</w:t>
      </w:r>
      <w:r>
        <w:t xml:space="preserve">.</w:t>
      </w:r>
    </w:p>
    <w:p>
      <w:pPr>
        <w:pStyle w:val="BodyText"/>
      </w:pPr>
      <w:r>
        <w:t xml:space="preserve">Materials for reproducing the analyses, figures, tables, and other content in this paper are provided in a GitHub repository. This includes a source RMarkdown file</w:t>
      </w:r>
      <w:r>
        <w:t xml:space="preserve"> </w:t>
      </w:r>
      <w:r>
        <w:t xml:space="preserve">(</w:t>
      </w:r>
      <w:hyperlink w:anchor="ref-Xie20">
        <w:r>
          <w:rPr>
            <w:rStyle w:val="Hyperlink"/>
          </w:rPr>
          <w:t xml:space="preserve">Xie et al., 2020</w:t>
        </w:r>
      </w:hyperlink>
      <w:r>
        <w:t xml:space="preserve">)</w:t>
      </w:r>
      <w:r>
        <w:t xml:space="preserve"> </w:t>
      </w:r>
      <w:r>
        <w:t xml:space="preserve">used for the manuscript text. The repository is available at</w:t>
      </w:r>
      <w:r>
        <w:t xml:space="preserve"> </w:t>
      </w:r>
      <w:hyperlink r:id="rId40">
        <w:r>
          <w:rPr>
            <w:rStyle w:val="Hyperlink"/>
          </w:rPr>
          <w:t xml:space="preserve">https://github.com/tbep-tech/piney-point-manu</w:t>
        </w:r>
      </w:hyperlink>
      <w:r>
        <w:t xml:space="preserve">.</w:t>
      </w:r>
    </w:p>
    <w:p>
      <w:pPr>
        <w:pStyle w:val="BodyText"/>
      </w:pPr>
      <w:r>
        <w:t xml:space="preserve">The Piney Point Environmental Monitoring Dashboard can be used to view all data together through an interactive, online application. It provides a synthesis of data to assess baseline conditions prior to April 2021 and all 2021 monitoring data collected in response to the Piney Point event. The dashboard is available at</w:t>
      </w:r>
      <w:r>
        <w:t xml:space="preserve"> </w:t>
      </w:r>
      <w:hyperlink r:id="rId41">
        <w:r>
          <w:rPr>
            <w:rStyle w:val="Hyperlink"/>
          </w:rPr>
          <w:t xml:space="preserve">https://shiny.tbep.org</w:t>
        </w:r>
      </w:hyperlink>
      <w:r>
        <w:t xml:space="preserve"> </w:t>
      </w:r>
      <w:r>
        <w:t xml:space="preserve">and citable as</w:t>
      </w:r>
      <w:r>
        <w:t xml:space="preserve"> </w:t>
      </w:r>
      <w:hyperlink w:anchor="ref-Beck21c">
        <w:r>
          <w:rPr>
            <w:rStyle w:val="Hyperlink"/>
          </w:rPr>
          <w:t xml:space="preserve">Beck et al.</w:t>
        </w:r>
      </w:hyperlink>
      <w:r>
        <w:t xml:space="preserve"> </w:t>
      </w:r>
      <w:r>
        <w:t xml:space="preserve">(</w:t>
      </w:r>
      <w:hyperlink w:anchor="ref-Beck21c">
        <w:r>
          <w:rPr>
            <w:rStyle w:val="Hyperlink"/>
          </w:rPr>
          <w:t xml:space="preserve">2021</w:t>
        </w:r>
      </w:hyperlink>
      <w:r>
        <w:t xml:space="preserve">)</w:t>
      </w:r>
      <w:r>
        <w:t xml:space="preserve">.</w:t>
      </w:r>
    </w:p>
    <w:bookmarkEnd w:id="42"/>
    <w:bookmarkStart w:id="43"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surface water contamination from Piney Point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w:t>
      </w:r>
      <w:r>
        <w:t xml:space="preserve"> </w:t>
      </w:r>
      <w:r>
        <w:t xml:space="preserve">(</w:t>
      </w:r>
      <w:hyperlink w:anchor="ref-DiPinto01">
        <w:r>
          <w:rPr>
            <w:rStyle w:val="Hyperlink"/>
          </w:rPr>
          <w:t xml:space="preserve">DiPinto et al., 2001</w:t>
        </w:r>
      </w:hyperlink>
      <w:r>
        <w:t xml:space="preserve">)</w:t>
      </w:r>
      <w:r>
        <w:t xml:space="preserve">.</w:t>
      </w:r>
    </w:p>
    <w:p>
      <w:pPr>
        <w:pStyle w:val="BodyText"/>
      </w:pPr>
      <w:r>
        <w:t xml:space="preserve">The Mulberry corporation filed for bankruptcy in 2001, transferring regulatory oversight of the Piney Point facility to the Florida Department of Environmental Protection (FDEP). Although phosphate production no longer occurred at the site, focus over the next twenty years centered on containment and treatment of water on-site to minimize environmental impacts. Despite these efforts, reduced holding capacities and degraded physical integrity of the holding ponds, including degradation of the pond liner, likely contributed to the releases to surficial and ground waters. For example, tropical storm Gabrielle in 2001 produced 33 centimeters of rain, causing release of over 38 million liters of water from Piney Point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During another event lasting from November 2003 to October 2004, treated process water from Piney Point was released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w:t>
      </w:r>
      <w:r>
        <w:t xml:space="preserve"> </w:t>
      </w:r>
      <w:r>
        <w:t xml:space="preserve">spp. and</w:t>
      </w:r>
      <w:r>
        <w:t xml:space="preserve"> </w:t>
      </w:r>
      <w:r>
        <w:rPr>
          <w:iCs/>
          <w:i/>
        </w:rPr>
        <w:t xml:space="preserve">Gracilaria</w:t>
      </w:r>
      <w:r>
        <w:t xml:space="preserve"> </w:t>
      </w:r>
      <w:r>
        <w:t xml:space="preserve">spp. were observed as a potential indication of nutrient eutrophication. Around the same time, 939 million liters of water from Piney Point were barged and released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unanticipated release to local areas.</w:t>
      </w:r>
    </w:p>
    <w:p>
      <w:pPr>
        <w:pStyle w:val="BodyText"/>
      </w:pPr>
      <w:r>
        <w:t xml:space="preserve">Piney Point was acquired by HRK Holdings, LLC in August 2006 through an administrative agreement with FDEP, where oversight was still maintained by the latter.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(NGS-S, the point of release for 2021). Placement of the dredged material was suspected in compromising the liner integrity which led to an emergency release of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3"/>
    <w:bookmarkStart w:id="46" w:name="sampling-methods"/>
    <w:p>
      <w:pPr>
        <w:pStyle w:val="Heading1"/>
      </w:pPr>
      <w:r>
        <w:t xml:space="preserve">Sampling methods</w:t>
      </w:r>
    </w:p>
    <w:p>
      <w:pPr>
        <w:pStyle w:val="FirstParagraph"/>
      </w:pPr>
      <w:r>
        <w:t xml:space="preserve">Phytoplankton samples were also collected by multiple partners and included a mix of quantitative samples from light microscopy that enumerated major taxa by cell concentrations and qualitative presence/absence samples. Taxa were aggregated into major groups of interest for Tampa Bay, with a focus on diatoms as common primary producers observed throughout the growing season, and species associated with harmful algal blooms (HABs) as a potentially adverse outcome of these species outcompeting others in response to nutrient inputs from Piney Point. Evaluation herein of HABs data included specific focus on the red tide organism</w:t>
      </w:r>
      <w:r>
        <w:t xml:space="preserve"> </w:t>
      </w:r>
      <w:r>
        <w:rPr>
          <w:iCs/>
          <w:i/>
        </w:rPr>
        <w:t xml:space="preserve">Karenia brevis</w:t>
      </w:r>
      <w:r>
        <w:t xml:space="preserve">. Because of the increased occurrence of red tide in July following the emergency release,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 </w:t>
      </w:r>
      <w:r>
        <w:t xml:space="preserve">that provides reports received by FWC via the state’s Marine Fish Kill Hotline.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pollutants from Piney Point on seagrasses near Piney Point, the sampling protocol used at the routine monitoring locations was modified using a</w:t>
      </w:r>
      <w:r>
        <w:t xml:space="preserve"> </w:t>
      </w:r>
      <w:r>
        <w:t xml:space="preserve">“</w:t>
      </w:r>
      <w:r>
        <w:t xml:space="preserve">rapid survey</w:t>
      </w:r>
      <w:r>
        <w:t xml:space="preserve">”</w:t>
      </w:r>
      <w:r>
        <w:t xml:space="preserve"> </w:t>
      </w:r>
      <w:r>
        <w:t xml:space="preserve">design to sample seagrasses and macroalgae along 50 m transects at several of the long-term monitoring sites, as well as new locations selected along the shore and small subembayments (e.g., Bishop Harbor) to provide a more comprehensive coverage of the seagrass community near Piney Point (Figure 1b). This rapid survey design was created by the</w:t>
      </w:r>
      <w:r>
        <w:t xml:space="preserve"> </w:t>
      </w:r>
      <w:r>
        <w:t xml:space="preserve">“</w:t>
      </w:r>
      <w:hyperlink r:id="rId45">
        <w:r>
          <w:rPr>
            <w:rStyle w:val="Hyperlink"/>
          </w:rPr>
          <w:t xml:space="preserve">Eyes on Seagrass</w:t>
        </w:r>
      </w:hyperlink>
      <w:r>
        <w:t xml:space="preserve">”</w:t>
      </w:r>
      <w:r>
        <w:t xml:space="preserve"> </w:t>
      </w:r>
      <w:r>
        <w:t xml:space="preserve">citizen science group working in Charlotte Harbor, Florida, coordinated in part by the University of Florida, Institute of Food and Agricultural Sciences extension program and Florida Sea Grant. Seagrasses and macroalgae were identified and Braun-Blanquet abundances were estimated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w:t>
      </w:r>
      <w:r>
        <w:t xml:space="preserve"> </w:t>
      </w:r>
      <w:r>
        <w:t xml:space="preserve">spp.,</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Seagrasses and macroalgae abundances were converted to frequency of occurrence estimates (i.e., number of locations present divided by total locations sampled) at the transect scale or within major areas (Figure 1a) depending on the analysis.</w:t>
      </w:r>
    </w:p>
    <w:bookmarkEnd w:id="46"/>
    <w:bookmarkStart w:id="54" w:name="figures"/>
    <w:p>
      <w:pPr>
        <w:pStyle w:val="Heading1"/>
      </w:pPr>
      <w:r>
        <w:t xml:space="preserve">Figures</w:t>
      </w:r>
    </w:p>
    <w:p>
      <w:pPr>
        <w:pStyle w:val="CaptionedFigure"/>
      </w:pPr>
      <w:r>
        <w:drawing>
          <wp:inline>
            <wp:extent cx="5943600" cy="4195482"/>
            <wp:effectExtent b="0" l="0" r="0" t="0"/>
            <wp:docPr descr="Figure 1: Sampled water quality data by week for late March through September 2021 following the release from Piney Point for (a) total nitrogen (mg/L), (b) chlorophyll-a (\m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C:/proj/piney-point-manu/figs/wqtrnds-supp.jpeg" id="0" name="Picture"/>
                    <pic:cNvPicPr>
                      <a:picLocks noChangeArrowheads="1" noChangeAspect="1"/>
                    </pic:cNvPicPr>
                  </pic:nvPicPr>
                  <pic:blipFill>
                    <a:blip r:embed="rId47"/>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late March through September 2021 following the release from Piney Point for (a) total nitrogen (mg/L), (b) chlorophyll-a (</w:t>
      </w:r>
      <m:oMath>
        <m:r>
          <m:t>μ</m:t>
        </m:r>
      </m:oMath>
      <w:r>
        <w:t xml:space="preserve">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4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late March through September 2021 following the release from Piney Point for (a) total ammonia nitogen (mg/L), (b) total phosphorus (mg/L), (c) orthophosphate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4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Expected 2021 (a) total ammonia nitogen (mg/L), (b) orthophosphate (mg/L), (c) total phosphorus (mg/L), (d) dissolved oxygen saturation (%), (e) turbidity (NTU), and (f) salinity (ppt) by area based on historal seasonal models. Predictions (expected values) from the historical models for dates during and after the Piney Point release are shown in thick lines (+/- 95% confidence), with observed samples overlaid on the plots to emphasize deviation of 2021 data from historical seasonal estimates. Expected values are based on Generalized Additive Models fit to historical baseline data from 2006 to early 2021, where historical predictions are shown as thin grey lines,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 title="" id="1" name="Picture"/>
            <a:graphic>
              <a:graphicData uri="http://schemas.openxmlformats.org/drawingml/2006/picture">
                <pic:pic>
                  <pic:nvPicPr>
                    <pic:cNvPr descr="C:/proj/piney-point-manu/figs/trnabu-supp.jpe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(see map in Figure 1a for locations) for macroalgae (top) and seagrass (bottom) rapid response transect surveys across all transects (n = 38) near Piney Point. Estimates are grouped by sample months in 2021. Points are offset slightly for readability. No transects were sampled in Area 2 to the north of Piney Point and no transects were sampled past September in Area 1 given allocated sampling effort following projected dispersal patterns of the plume from model simulations.</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 Asterionellopsis sp. and Skeletonema sp." title="" id="1" name="Picture"/>
            <a:graphic>
              <a:graphicData uri="http://schemas.openxmlformats.org/drawingml/2006/picture">
                <pic:pic>
                  <pic:nvPicPr>
                    <pic:cNvPr descr="figs/phymcrfoest-supp.jpe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presence/absence of</w:t>
      </w:r>
      <w:r>
        <w:t xml:space="preserve"> </w:t>
      </w:r>
      <w:r>
        <w:rPr>
          <w:iCs/>
          <w:i/>
        </w:rPr>
        <w:t xml:space="preserve">Asterionellopsis sp</w:t>
      </w:r>
      <w:r>
        <w:t xml:space="preserve">. and</w:t>
      </w:r>
      <w:r>
        <w:t xml:space="preserve"> </w:t>
      </w:r>
      <w:r>
        <w:rPr>
          <w:iCs/>
          <w:i/>
        </w:rPr>
        <w:t xml:space="preserve">Skeletonema sp</w:t>
      </w:r>
      <w:r>
        <w:t xml:space="preserve">.</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3"/>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filamentous cyanobacteria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4"/>
    <w:bookmarkStart w:id="55" w:name="tables"/>
    <w:p>
      <w:pPr>
        <w:pStyle w:val="Heading1"/>
      </w:pPr>
      <w:r>
        <w:t xml:space="preserve">Tables</w:t>
      </w:r>
    </w:p>
    <w:p>
      <w:pPr>
        <w:pStyle w:val="TableCaption"/>
      </w:pPr>
      <w:r>
        <w:t xml:space="preserve">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1: Comparison of macroalgae frequency occurrence by areas of interest (Figure 1a) and month. Overall signific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23.48**</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0.708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0.321 (0, 0.882)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0.571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0.732 (0, 1)</w:t>
            </w:r>
          </w:p>
        </w:tc>
      </w:tr>
      <w:tr>
        <w:tc>
          <w:tcPr/>
          <w:p>
            <w:pPr>
              <w:pStyle w:val="Compact"/>
            </w:pPr>
          </w:p>
        </w:tc>
        <w:tc>
          <w:tcPr/>
          <w:p>
            <w:pPr>
              <w:pStyle w:val="Compact"/>
              <w:jc w:val="left"/>
            </w:pPr>
            <w:r>
              <w:t xml:space="preserve">Green</w:t>
            </w:r>
          </w:p>
        </w:tc>
        <w:tc>
          <w:tcPr/>
          <w:p>
            <w:pPr>
              <w:pStyle w:val="Compact"/>
              <w:jc w:val="left"/>
            </w:pPr>
            <w:r>
              <w:t xml:space="preserve">4.69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0.429)</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0.833)</w:t>
            </w:r>
          </w:p>
        </w:tc>
      </w:tr>
      <w:tr>
        <w:tc>
          <w:tcPr/>
          <w:p>
            <w:pPr>
              <w:pStyle w:val="Compact"/>
            </w:pPr>
          </w:p>
        </w:tc>
        <w:tc>
          <w:tcPr/>
          <w:p>
            <w:pPr>
              <w:pStyle w:val="Compact"/>
              <w:jc w:val="left"/>
            </w:pPr>
            <w:r>
              <w:t xml:space="preserve">Cyanobacteria</w:t>
            </w:r>
          </w:p>
        </w:tc>
        <w:tc>
          <w:tcPr/>
          <w:p>
            <w:pPr>
              <w:pStyle w:val="Compact"/>
              <w:jc w:val="left"/>
            </w:pPr>
            <w:r>
              <w:t xml:space="preserve">53.5**</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0.333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 (0, 0.417)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0.167)</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27.57**</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0.917 (0.917,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0.917 (0.25, 1)</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0.167 (0, 0.75)</w:t>
            </w:r>
          </w:p>
        </w:tc>
      </w:tr>
      <w:tr>
        <w:tc>
          <w:tcPr/>
          <w:p>
            <w:pPr>
              <w:pStyle w:val="Compact"/>
            </w:pPr>
          </w:p>
        </w:tc>
        <w:tc>
          <w:tcPr/>
          <w:p>
            <w:pPr>
              <w:pStyle w:val="Compact"/>
            </w:pPr>
          </w:p>
        </w:tc>
        <w:tc>
          <w:tcPr/>
          <w:p>
            <w:pPr>
              <w:pStyle w:val="Compact"/>
            </w:pPr>
          </w:p>
        </w:tc>
        <w:tc>
          <w:tcPr/>
          <w:p>
            <w:pPr>
              <w:pStyle w:val="Compact"/>
              <w:jc w:val="left"/>
            </w:pPr>
            <w:r>
              <w:t xml:space="preserve">abc</w:t>
            </w:r>
          </w:p>
        </w:tc>
        <w:tc>
          <w:tcPr/>
          <w:p>
            <w:pPr>
              <w:pStyle w:val="Compact"/>
              <w:jc w:val="left"/>
            </w:pPr>
            <w:r>
              <w:t xml:space="preserve">Jul</w:t>
            </w:r>
          </w:p>
        </w:tc>
        <w:tc>
          <w:tcPr/>
          <w:p>
            <w:pPr>
              <w:pStyle w:val="Compact"/>
              <w:jc w:val="right"/>
            </w:pPr>
            <w:r>
              <w:t xml:space="preserve">4</w:t>
            </w:r>
          </w:p>
        </w:tc>
        <w:tc>
          <w:tcPr/>
          <w:p>
            <w:pPr>
              <w:pStyle w:val="Compact"/>
              <w:jc w:val="left"/>
            </w:pPr>
            <w:r>
              <w:t xml:space="preserve">0.333 (0, 0.833)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Aug</w:t>
            </w:r>
          </w:p>
        </w:tc>
        <w:tc>
          <w:tcPr/>
          <w:p>
            <w:pPr>
              <w:pStyle w:val="Compact"/>
              <w:jc w:val="right"/>
            </w:pPr>
            <w:r>
              <w:t xml:space="preserve">6</w:t>
            </w:r>
          </w:p>
        </w:tc>
        <w:tc>
          <w:tcPr/>
          <w:p>
            <w:pPr>
              <w:pStyle w:val="Compact"/>
              <w:jc w:val="left"/>
            </w:pPr>
            <w:r>
              <w:t xml:space="preserve">0.083 (0, 0.833)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0.5)</w:t>
            </w:r>
          </w:p>
        </w:tc>
      </w:tr>
      <w:tr>
        <w:tc>
          <w:tcPr/>
          <w:p>
            <w:pPr>
              <w:pStyle w:val="Compact"/>
            </w:pPr>
          </w:p>
        </w:tc>
        <w:tc>
          <w:tcPr/>
          <w:p>
            <w:pPr>
              <w:pStyle w:val="Compact"/>
              <w:jc w:val="left"/>
            </w:pPr>
            <w:r>
              <w:t xml:space="preserve">Green</w:t>
            </w:r>
          </w:p>
        </w:tc>
        <w:tc>
          <w:tcPr/>
          <w:p>
            <w:pPr>
              <w:pStyle w:val="Compact"/>
              <w:jc w:val="left"/>
            </w:pPr>
            <w:r>
              <w:t xml:space="preserve">5.42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1)</w:t>
            </w:r>
          </w:p>
        </w:tc>
      </w:tr>
      <w:tr>
        <w:tc>
          <w:tcPr/>
          <w:p>
            <w:pPr>
              <w:pStyle w:val="Compact"/>
            </w:pPr>
          </w:p>
        </w:tc>
        <w:tc>
          <w:tcPr/>
          <w:p>
            <w:pPr>
              <w:pStyle w:val="Compact"/>
              <w:jc w:val="left"/>
            </w:pPr>
            <w:r>
              <w:t xml:space="preserve">Cyanobacteria</w:t>
            </w:r>
          </w:p>
        </w:tc>
        <w:tc>
          <w:tcPr/>
          <w:p>
            <w:pPr>
              <w:pStyle w:val="Compact"/>
              <w:jc w:val="left"/>
            </w:pPr>
            <w:r>
              <w:t xml:space="preserve">14.33*</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 (0, 0.083)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2: Comparison of seagrass species frequency occurrence by areas of interest (Figure 1a) and month. Overall signific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1.4</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0.444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0.389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0.458 (0, 1)</w:t>
            </w:r>
          </w:p>
        </w:tc>
      </w:tr>
      <w:tr>
        <w:tc>
          <w:tcPr/>
          <w:p>
            <w:pPr>
              <w:pStyle w:val="Compact"/>
            </w:pPr>
          </w:p>
        </w:tc>
        <w:tc>
          <w:tcPr/>
          <w:p>
            <w:pPr>
              <w:pStyle w:val="Compact"/>
              <w:jc w:val="left"/>
            </w:pPr>
            <w:r>
              <w:rPr>
                <w:iCs/>
                <w:i/>
              </w:rPr>
              <w:t xml:space="preserve">Halodule wrightii</w:t>
            </w:r>
          </w:p>
        </w:tc>
        <w:tc>
          <w:tcPr/>
          <w:p>
            <w:pPr>
              <w:pStyle w:val="Compact"/>
              <w:jc w:val="left"/>
            </w:pPr>
            <w:r>
              <w:t xml:space="preserve">1</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0.25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0.167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0.167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0.39</w:t>
            </w:r>
          </w:p>
        </w:tc>
        <w:tc>
          <w:tcPr/>
          <w:p>
            <w:pPr>
              <w:pStyle w:val="Compact"/>
              <w:jc w:val="left"/>
            </w:pPr>
            <w:r>
              <w:t xml:space="preserve">a</w:t>
            </w:r>
          </w:p>
        </w:tc>
        <w:tc>
          <w:tcPr/>
          <w:p>
            <w:pPr>
              <w:pStyle w:val="Compact"/>
              <w:jc w:val="left"/>
            </w:pPr>
            <w:r>
              <w:t xml:space="preserve">Apr</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24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23</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14</w:t>
            </w:r>
          </w:p>
        </w:tc>
        <w:tc>
          <w:tcPr/>
          <w:p>
            <w:pPr>
              <w:pStyle w:val="Compact"/>
              <w:jc w:val="left"/>
            </w:pPr>
            <w:r>
              <w:t xml:space="preserve">0.083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20</w:t>
            </w:r>
          </w:p>
        </w:tc>
        <w:tc>
          <w:tcPr/>
          <w:p>
            <w:pPr>
              <w:pStyle w:val="Compact"/>
              <w:jc w:val="left"/>
            </w:pPr>
            <w:r>
              <w:t xml:space="preserve">0 (0, 1)</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1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0.875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0.583 (0.333,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r>
        <w:tc>
          <w:tcPr/>
          <w:p>
            <w:pPr>
              <w:pStyle w:val="Compact"/>
            </w:pPr>
          </w:p>
        </w:tc>
        <w:tc>
          <w:tcPr/>
          <w:p>
            <w:pPr>
              <w:pStyle w:val="Compact"/>
              <w:jc w:val="left"/>
            </w:pPr>
            <w:r>
              <w:rPr>
                <w:iCs/>
                <w:i/>
              </w:rPr>
              <w:t xml:space="preserve">Halodule wrightii</w:t>
            </w:r>
          </w:p>
        </w:tc>
        <w:tc>
          <w:tcPr/>
          <w:p>
            <w:pPr>
              <w:pStyle w:val="Compact"/>
              <w:jc w:val="left"/>
            </w:pPr>
            <w:r>
              <w:t xml:space="preserve">2.82</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0.292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0.333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0.5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0.5 (0, 1)</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1.75</w:t>
            </w:r>
          </w:p>
        </w:tc>
        <w:tc>
          <w:tcPr/>
          <w:p>
            <w:pPr>
              <w:pStyle w:val="Compact"/>
              <w:jc w:val="left"/>
            </w:pPr>
            <w:r>
              <w:t xml:space="preserve">a</w:t>
            </w:r>
          </w:p>
        </w:tc>
        <w:tc>
          <w:tcPr/>
          <w:p>
            <w:pPr>
              <w:pStyle w:val="Compact"/>
              <w:jc w:val="left"/>
            </w:pPr>
            <w:r>
              <w:t xml:space="preserve">Apr</w:t>
            </w:r>
          </w:p>
        </w:tc>
        <w:tc>
          <w:tcPr/>
          <w:p>
            <w:pPr>
              <w:pStyle w:val="Compact"/>
              <w:jc w:val="right"/>
            </w:pPr>
            <w:r>
              <w:t xml:space="preserve">7</w:t>
            </w:r>
          </w:p>
        </w:tc>
        <w:tc>
          <w:tcPr/>
          <w:p>
            <w:pPr>
              <w:pStyle w:val="Compact"/>
              <w:jc w:val="left"/>
            </w:pPr>
            <w:r>
              <w:t xml:space="preserve">0.417 (0, 0.833)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12</w:t>
            </w:r>
          </w:p>
        </w:tc>
        <w:tc>
          <w:tcPr/>
          <w:p>
            <w:pPr>
              <w:pStyle w:val="Compact"/>
              <w:jc w:val="left"/>
            </w:pPr>
            <w:r>
              <w:t xml:space="preserve">0.227 (0, 0.75)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6</w:t>
            </w:r>
          </w:p>
        </w:tc>
        <w:tc>
          <w:tcPr/>
          <w:p>
            <w:pPr>
              <w:pStyle w:val="Compact"/>
              <w:jc w:val="left"/>
            </w:pPr>
            <w:r>
              <w:t xml:space="preserve">0.208 (0, 0.917)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w:t>
            </w:r>
          </w:p>
        </w:tc>
      </w:tr>
    </w:tbl>
    <w:p/>
    <w:p>
      <w:pPr>
        <w:pStyle w:val="TableCaption"/>
      </w:pPr>
      <w:r>
        <w:t xml:space="preserve">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3: Comparison of macroalgae Braun-Blanquet abundances by areas of interest (Figure 1a) and month. Overall signific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Macroalgae group</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t xml:space="preserve">Red</w:t>
            </w:r>
          </w:p>
        </w:tc>
        <w:tc>
          <w:tcPr/>
          <w:p>
            <w:pPr>
              <w:pStyle w:val="Compact"/>
              <w:jc w:val="left"/>
            </w:pPr>
            <w:r>
              <w:t xml:space="preserve">61.85**</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3.333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1.833 (0, 4.286)</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0.286 (0, 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0.464 (0, 1.833)</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0.857 (0, 3)</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Sep</w:t>
            </w:r>
          </w:p>
        </w:tc>
        <w:tc>
          <w:tcPr/>
          <w:p>
            <w:pPr>
              <w:pStyle w:val="Compact"/>
              <w:jc w:val="right"/>
            </w:pPr>
            <w:r>
              <w:t xml:space="preserve">31</w:t>
            </w:r>
          </w:p>
        </w:tc>
        <w:tc>
          <w:tcPr/>
          <w:p>
            <w:pPr>
              <w:pStyle w:val="Compact"/>
              <w:jc w:val="left"/>
            </w:pPr>
            <w:r>
              <w:t xml:space="preserve">1.333 (0, 3.444)</w:t>
            </w:r>
          </w:p>
        </w:tc>
      </w:tr>
      <w:tr>
        <w:tc>
          <w:tcPr/>
          <w:p>
            <w:pPr>
              <w:pStyle w:val="Compact"/>
            </w:pPr>
          </w:p>
        </w:tc>
        <w:tc>
          <w:tcPr/>
          <w:p>
            <w:pPr>
              <w:pStyle w:val="Compact"/>
              <w:jc w:val="left"/>
            </w:pPr>
            <w:r>
              <w:t xml:space="preserve">Green</w:t>
            </w:r>
          </w:p>
        </w:tc>
        <w:tc>
          <w:tcPr/>
          <w:p>
            <w:pPr>
              <w:pStyle w:val="Compact"/>
              <w:jc w:val="left"/>
            </w:pPr>
            <w:r>
              <w:t xml:space="preserve">6.66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2.167)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0.5)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1.5)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1.333)</w:t>
            </w:r>
          </w:p>
        </w:tc>
      </w:tr>
      <w:tr>
        <w:tc>
          <w:tcPr/>
          <w:p>
            <w:pPr>
              <w:pStyle w:val="Compact"/>
            </w:pPr>
          </w:p>
        </w:tc>
        <w:tc>
          <w:tcPr/>
          <w:p>
            <w:pPr>
              <w:pStyle w:val="Compact"/>
              <w:jc w:val="left"/>
            </w:pPr>
            <w:r>
              <w:t xml:space="preserve">Cyanobacteria</w:t>
            </w:r>
          </w:p>
        </w:tc>
        <w:tc>
          <w:tcPr/>
          <w:p>
            <w:pPr>
              <w:pStyle w:val="Compact"/>
              <w:jc w:val="left"/>
            </w:pPr>
            <w:r>
              <w:t xml:space="preserve">63.56**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 (0, 3.667)</w:t>
            </w:r>
          </w:p>
        </w:tc>
      </w:tr>
      <w:tr>
        <w:tc>
          <w:tcPr/>
          <w:p>
            <w:pPr>
              <w:pStyle w:val="Compact"/>
            </w:pPr>
          </w:p>
        </w:tc>
        <w:tc>
          <w:tcPr/>
          <w:p>
            <w:pPr>
              <w:pStyle w:val="Compact"/>
            </w:pPr>
          </w:p>
        </w:tc>
        <w:tc>
          <w:tcPr/>
          <w:p>
            <w:pPr>
              <w:pStyle w:val="Compact"/>
            </w:pPr>
          </w:p>
        </w:tc>
        <w:tc>
          <w:tcPr/>
          <w:p>
            <w:pPr>
              <w:pStyle w:val="Compact"/>
              <w:jc w:val="left"/>
            </w:pPr>
            <w:r>
              <w:t xml:space="preserve">c</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0.167 (0, 4.4)</w:t>
            </w:r>
          </w:p>
        </w:tc>
      </w:tr>
      <w:tr>
        <w:tc>
          <w:tcPr/>
          <w:p>
            <w:pPr>
              <w:pStyle w:val="Compact"/>
            </w:pPr>
          </w:p>
        </w:tc>
        <w:tc>
          <w:tcPr/>
          <w:p>
            <w:pPr>
              <w:pStyle w:val="Compact"/>
            </w:pPr>
          </w:p>
        </w:tc>
        <w:tc>
          <w:tcPr/>
          <w:p>
            <w:pPr>
              <w:pStyle w:val="Compact"/>
            </w:pPr>
          </w:p>
        </w:tc>
        <w:tc>
          <w:tcPr/>
          <w:p>
            <w:pPr>
              <w:pStyle w:val="Compact"/>
              <w:jc w:val="left"/>
            </w:pPr>
            <w:r>
              <w:t xml:space="preserve">bc</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 (0, 1)</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0.5)</w:t>
            </w:r>
          </w:p>
        </w:tc>
      </w:tr>
      <w:tr>
        <w:tc>
          <w:tcPr/>
          <w:p>
            <w:pPr>
              <w:pStyle w:val="Compact"/>
              <w:jc w:val="left"/>
            </w:pPr>
            <w:r>
              <w:t xml:space="preserve">3</w:t>
            </w:r>
          </w:p>
        </w:tc>
        <w:tc>
          <w:tcPr/>
          <w:p>
            <w:pPr>
              <w:pStyle w:val="Compact"/>
              <w:jc w:val="left"/>
            </w:pPr>
            <w:r>
              <w:t xml:space="preserve">Red</w:t>
            </w:r>
          </w:p>
        </w:tc>
        <w:tc>
          <w:tcPr/>
          <w:p>
            <w:pPr>
              <w:pStyle w:val="Compact"/>
              <w:jc w:val="left"/>
            </w:pPr>
            <w:r>
              <w:t xml:space="preserve">36.16**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2.417 (1.667,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1.667 (0, 4.667)</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2.833)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0.833 (0, 2)</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0.167 (0, 0.833)</w:t>
            </w:r>
          </w:p>
        </w:tc>
      </w:tr>
      <w:tr>
        <w:tc>
          <w:tcPr/>
          <w:p>
            <w:pPr>
              <w:pStyle w:val="Compact"/>
            </w:pPr>
          </w:p>
        </w:tc>
        <w:tc>
          <w:tcPr/>
          <w:p>
            <w:pPr>
              <w:pStyle w:val="Compact"/>
              <w:jc w:val="left"/>
            </w:pPr>
            <w:r>
              <w:t xml:space="preserve">Green</w:t>
            </w:r>
          </w:p>
        </w:tc>
        <w:tc>
          <w:tcPr/>
          <w:p>
            <w:pPr>
              <w:pStyle w:val="Compact"/>
              <w:jc w:val="left"/>
            </w:pPr>
            <w:r>
              <w:t xml:space="preserve">5.61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1.667)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1.833)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1.167)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3.5)</w:t>
            </w:r>
          </w:p>
        </w:tc>
      </w:tr>
      <w:tr>
        <w:tc>
          <w:tcPr/>
          <w:p>
            <w:pPr>
              <w:pStyle w:val="Compact"/>
            </w:pPr>
          </w:p>
        </w:tc>
        <w:tc>
          <w:tcPr/>
          <w:p>
            <w:pPr>
              <w:pStyle w:val="Compact"/>
              <w:jc w:val="left"/>
            </w:pPr>
            <w:r>
              <w:t xml:space="preserve">Cyanobacteria</w:t>
            </w:r>
          </w:p>
        </w:tc>
        <w:tc>
          <w:tcPr/>
          <w:p>
            <w:pPr>
              <w:pStyle w:val="Compact"/>
              <w:jc w:val="left"/>
            </w:pPr>
            <w:r>
              <w:t xml:space="preserve">21.31**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 (0, 0.167)</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5)</w:t>
            </w:r>
          </w:p>
        </w:tc>
      </w:tr>
      <w:tr>
        <w:tc>
          <w:tcPr/>
          <w:p>
            <w:pPr>
              <w:pStyle w:val="Compact"/>
            </w:pPr>
          </w:p>
        </w:tc>
        <w:tc>
          <w:tcPr/>
          <w:p>
            <w:pPr>
              <w:pStyle w:val="Compact"/>
            </w:pPr>
          </w:p>
        </w:tc>
        <w:tc>
          <w:tcPr/>
          <w:p>
            <w:pPr>
              <w:pStyle w:val="Compact"/>
            </w:pPr>
          </w:p>
        </w:tc>
        <w:tc>
          <w:tcPr/>
          <w:p>
            <w:pPr>
              <w:pStyle w:val="Compact"/>
              <w:jc w:val="left"/>
            </w:pPr>
            <w:r>
              <w:t xml:space="preserve">b</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0.333)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 (0, 0)</w:t>
            </w:r>
          </w:p>
        </w:tc>
      </w:tr>
      <w:tr>
        <w:tc>
          <w:tcPr/>
          <w:p>
            <w:pPr>
              <w:pStyle w:val="Compact"/>
            </w:pPr>
          </w:p>
        </w:tc>
        <w:tc>
          <w:tcPr/>
          <w:p>
            <w:pPr>
              <w:pStyle w:val="Compact"/>
            </w:pPr>
          </w:p>
        </w:tc>
        <w:tc>
          <w:tcPr/>
          <w:p>
            <w:pPr>
              <w:pStyle w:val="Compact"/>
            </w:pPr>
          </w:p>
        </w:tc>
        <w:tc>
          <w:tcPr/>
          <w:p>
            <w:pPr>
              <w:pStyle w:val="Compact"/>
              <w:jc w:val="left"/>
            </w:pPr>
            <w:r>
              <w:t xml:space="preserve">ab</w:t>
            </w:r>
          </w:p>
        </w:tc>
        <w:tc>
          <w:tcPr/>
          <w:p>
            <w:pPr>
              <w:pStyle w:val="Compact"/>
              <w:jc w:val="left"/>
            </w:pPr>
            <w:r>
              <w:t xml:space="preserve">Sep</w:t>
            </w:r>
          </w:p>
        </w:tc>
        <w:tc>
          <w:tcPr/>
          <w:p>
            <w:pPr>
              <w:pStyle w:val="Compact"/>
              <w:jc w:val="right"/>
            </w:pPr>
            <w:r>
              <w:t xml:space="preserve">5</w:t>
            </w:r>
          </w:p>
        </w:tc>
        <w:tc>
          <w:tcPr/>
          <w:p>
            <w:pPr>
              <w:pStyle w:val="Compact"/>
              <w:jc w:val="left"/>
            </w:pPr>
            <w:r>
              <w:t xml:space="preserve">0 (0, 0)</w:t>
            </w:r>
          </w:p>
        </w:tc>
      </w:tr>
    </w:tbl>
    <w:p/>
    <w:p>
      <w:pPr>
        <w:pStyle w:val="TableCaption"/>
      </w:pPr>
      <w:r>
        <w:t xml:space="preserve">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w:t>
      </w:r>
      <w:r>
        <w:t xml:space="preserve"> </w:t>
      </w:r>
      <m:oMath>
        <m:r>
          <m:t>α</m:t>
        </m:r>
      </m:oMath>
      <w:r>
        <w:t xml:space="preserve"> </w:t>
      </w:r>
      <w:r>
        <w:t xml:space="preserve">= 0.05.</w:t>
      </w:r>
    </w:p>
    <w:tbl>
      <w:tblPr>
        <w:tblStyle w:val="Table"/>
        <w:tblW w:type="auto" w:w="0"/>
        <w:tblLook w:firstRow="1" w:lastRow="0" w:firstColumn="0" w:lastColumn="0" w:noHBand="0" w:noVBand="0" w:val="0020"/>
        <w:tblCaption w:val="Table 4: Comparison of seagrass species Braun-Blanquet abundances by areas of interest (Figure 1a) and month. Overall signific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Data are not seasonally-corrected due to limited long-term seasonal observations. ** p &lt; 0.005, * p &lt; 0.05, blank is not significant at \alpha = 0.05."/>
      </w:tblPr>
      <w:tblGrid>
        <w:gridCol w:w="1131"/>
        <w:gridCol w:w="1131"/>
        <w:gridCol w:w="1131"/>
        <w:gridCol w:w="1131"/>
        <w:gridCol w:w="1131"/>
        <w:gridCol w:w="1131"/>
        <w:gridCol w:w="1131"/>
      </w:tblGrid>
      <w:tr>
        <w:trPr>
          <w:tblHeader w:val="true"/>
        </w:trPr>
        <w:tc>
          <w:tcPr/>
          <w:p>
            <w:pPr>
              <w:pStyle w:val="Compact"/>
              <w:jc w:val="left"/>
            </w:pPr>
            <w:r>
              <w:t xml:space="preserve">Area</w:t>
            </w:r>
          </w:p>
        </w:tc>
        <w:tc>
          <w:tcPr/>
          <w:p>
            <w:pPr>
              <w:pStyle w:val="Compact"/>
              <w:jc w:val="left"/>
            </w:pPr>
            <w:r>
              <w:t xml:space="preserve">Seagrass species</w:t>
            </w:r>
          </w:p>
        </w:tc>
        <w:tc>
          <w:tcPr/>
          <w:p>
            <w:pPr>
              <w:pStyle w:val="Compact"/>
              <w:jc w:val="left"/>
            </w:pPr>
            <w:r>
              <w:t xml:space="preserve">Chi-Sq.</w:t>
            </w:r>
          </w:p>
        </w:tc>
        <w:tc>
          <w:tcPr/>
          <w:p>
            <w:pPr>
              <w:pStyle w:val="Compact"/>
              <w:jc w:val="left"/>
            </w:pPr>
            <w:r>
              <w:t xml:space="preserve">Comp.</w:t>
            </w:r>
          </w:p>
        </w:tc>
        <w:tc>
          <w:tcPr/>
          <w:p>
            <w:pPr>
              <w:pStyle w:val="Compact"/>
              <w:jc w:val="left"/>
            </w:pPr>
            <w:r>
              <w:t xml:space="preserve">Month</w:t>
            </w:r>
          </w:p>
        </w:tc>
        <w:tc>
          <w:tcPr/>
          <w:p>
            <w:pPr>
              <w:pStyle w:val="Compact"/>
              <w:jc w:val="right"/>
            </w:pPr>
            <w:r>
              <w:t xml:space="preserve">N obs.</w:t>
            </w:r>
          </w:p>
        </w:tc>
        <w:tc>
          <w:tcPr/>
          <w:p>
            <w:pPr>
              <w:pStyle w:val="Compact"/>
              <w:jc w:val="left"/>
            </w:pPr>
            <w:r>
              <w:t xml:space="preserve">Med. (Min., Max.)</w:t>
            </w:r>
          </w:p>
        </w:tc>
      </w:tr>
      <w:tr>
        <w:tc>
          <w:tcPr/>
          <w:p>
            <w:pPr>
              <w:pStyle w:val="Compact"/>
              <w:jc w:val="left"/>
            </w:pPr>
            <w:r>
              <w:t xml:space="preserve">1</w:t>
            </w:r>
          </w:p>
        </w:tc>
        <w:tc>
          <w:tcPr/>
          <w:p>
            <w:pPr>
              <w:pStyle w:val="Compact"/>
              <w:jc w:val="left"/>
            </w:pPr>
            <w:r>
              <w:rPr>
                <w:iCs/>
                <w:i/>
              </w:rPr>
              <w:t xml:space="preserve">Thalassia testudinum</w:t>
            </w:r>
          </w:p>
        </w:tc>
        <w:tc>
          <w:tcPr/>
          <w:p>
            <w:pPr>
              <w:pStyle w:val="Compact"/>
              <w:jc w:val="left"/>
            </w:pPr>
            <w:r>
              <w:t xml:space="preserve">7.36</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1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1.083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0.667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0.583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0.5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0.667 (0, 4.333)</w:t>
            </w:r>
          </w:p>
        </w:tc>
      </w:tr>
      <w:tr>
        <w:tc>
          <w:tcPr/>
          <w:p>
            <w:pPr>
              <w:pStyle w:val="Compact"/>
            </w:pPr>
          </w:p>
        </w:tc>
        <w:tc>
          <w:tcPr/>
          <w:p>
            <w:pPr>
              <w:pStyle w:val="Compact"/>
              <w:jc w:val="left"/>
            </w:pPr>
            <w:r>
              <w:rPr>
                <w:iCs/>
                <w:i/>
              </w:rPr>
              <w:t xml:space="preserve">Halodule wrightii</w:t>
            </w:r>
          </w:p>
        </w:tc>
        <w:tc>
          <w:tcPr/>
          <w:p>
            <w:pPr>
              <w:pStyle w:val="Compact"/>
              <w:jc w:val="left"/>
            </w:pPr>
            <w:r>
              <w:t xml:space="preserve">2.49</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0.333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0.333 (0, 4.167)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0.333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0.25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0.167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0.5 (0, 4.667)</w:t>
            </w:r>
          </w:p>
        </w:tc>
      </w:tr>
      <w:tr>
        <w:tc>
          <w:tcPr/>
          <w:p>
            <w:pPr>
              <w:pStyle w:val="Compact"/>
            </w:pPr>
          </w:p>
        </w:tc>
        <w:tc>
          <w:tcPr/>
          <w:p>
            <w:pPr>
              <w:pStyle w:val="Compact"/>
              <w:jc w:val="left"/>
            </w:pPr>
            <w:r>
              <w:rPr>
                <w:iCs/>
                <w:i/>
              </w:rPr>
              <w:t xml:space="preserve">Syringodium filiforme</w:t>
            </w:r>
          </w:p>
        </w:tc>
        <w:tc>
          <w:tcPr/>
          <w:p>
            <w:pPr>
              <w:pStyle w:val="Compact"/>
              <w:jc w:val="left"/>
            </w:pPr>
            <w:r>
              <w:t xml:space="preserve">3.53</w:t>
            </w:r>
          </w:p>
        </w:tc>
        <w:tc>
          <w:tcPr/>
          <w:p>
            <w:pPr>
              <w:pStyle w:val="Compact"/>
              <w:jc w:val="left"/>
            </w:pPr>
            <w:r>
              <w:t xml:space="preserve">a</w:t>
            </w:r>
          </w:p>
        </w:tc>
        <w:tc>
          <w:tcPr/>
          <w:p>
            <w:pPr>
              <w:pStyle w:val="Compact"/>
              <w:jc w:val="left"/>
            </w:pPr>
            <w:r>
              <w:t xml:space="preserve">Apr</w:t>
            </w:r>
          </w:p>
        </w:tc>
        <w:tc>
          <w:tcPr/>
          <w:p>
            <w:pPr>
              <w:pStyle w:val="Compact"/>
              <w:jc w:val="right"/>
            </w:pPr>
            <w:r>
              <w:t xml:space="preserve">45</w:t>
            </w:r>
          </w:p>
        </w:tc>
        <w:tc>
          <w:tcPr/>
          <w:p>
            <w:pPr>
              <w:pStyle w:val="Compact"/>
              <w:jc w:val="left"/>
            </w:pPr>
            <w:r>
              <w:t xml:space="preserve">0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46</w:t>
            </w:r>
          </w:p>
        </w:tc>
        <w:tc>
          <w:tcPr/>
          <w:p>
            <w:pPr>
              <w:pStyle w:val="Compact"/>
              <w:jc w:val="left"/>
            </w:pPr>
            <w:r>
              <w:t xml:space="preserve">0.083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45</w:t>
            </w:r>
          </w:p>
        </w:tc>
        <w:tc>
          <w:tcPr/>
          <w:p>
            <w:pPr>
              <w:pStyle w:val="Compact"/>
              <w:jc w:val="left"/>
            </w:pPr>
            <w:r>
              <w:t xml:space="preserve">0 (0, 4)</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22</w:t>
            </w:r>
          </w:p>
        </w:tc>
        <w:tc>
          <w:tcPr/>
          <w:p>
            <w:pPr>
              <w:pStyle w:val="Compact"/>
              <w:jc w:val="left"/>
            </w:pPr>
            <w:r>
              <w:t xml:space="preserve">0.417 (0, 3.167)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31</w:t>
            </w:r>
          </w:p>
        </w:tc>
        <w:tc>
          <w:tcPr/>
          <w:p>
            <w:pPr>
              <w:pStyle w:val="Compact"/>
              <w:jc w:val="left"/>
            </w:pPr>
            <w:r>
              <w:t xml:space="preserve">0 (0, 2.667)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31</w:t>
            </w:r>
          </w:p>
        </w:tc>
        <w:tc>
          <w:tcPr/>
          <w:p>
            <w:pPr>
              <w:pStyle w:val="Compact"/>
              <w:jc w:val="left"/>
            </w:pPr>
            <w:r>
              <w:t xml:space="preserve">0 (0, 3.167)</w:t>
            </w:r>
          </w:p>
        </w:tc>
      </w:tr>
      <w:tr>
        <w:tc>
          <w:tcPr/>
          <w:p>
            <w:pPr>
              <w:pStyle w:val="Compact"/>
              <w:jc w:val="left"/>
            </w:pPr>
            <w:r>
              <w:t xml:space="preserve">3</w:t>
            </w:r>
          </w:p>
        </w:tc>
        <w:tc>
          <w:tcPr/>
          <w:p>
            <w:pPr>
              <w:pStyle w:val="Compact"/>
              <w:jc w:val="left"/>
            </w:pPr>
            <w:r>
              <w:rPr>
                <w:iCs/>
                <w:i/>
              </w:rPr>
              <w:t xml:space="preserve">Thalassia testudinum</w:t>
            </w:r>
          </w:p>
        </w:tc>
        <w:tc>
          <w:tcPr/>
          <w:p>
            <w:pPr>
              <w:pStyle w:val="Compact"/>
              <w:jc w:val="left"/>
            </w:pPr>
            <w:r>
              <w:t xml:space="preserve">12.96*</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2.833 (0, 4.5)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2.167 (0,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2.417 (0, 4.833)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2.167 (1.167, 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0.75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1.833)</w:t>
            </w:r>
          </w:p>
        </w:tc>
      </w:tr>
      <w:tr>
        <w:tc>
          <w:tcPr/>
          <w:p>
            <w:pPr>
              <w:pStyle w:val="Compact"/>
            </w:pPr>
          </w:p>
        </w:tc>
        <w:tc>
          <w:tcPr/>
          <w:p>
            <w:pPr>
              <w:pStyle w:val="Compact"/>
              <w:jc w:val="left"/>
            </w:pPr>
            <w:r>
              <w:rPr>
                <w:iCs/>
                <w:i/>
              </w:rPr>
              <w:t xml:space="preserve">Halodule wrightii</w:t>
            </w:r>
          </w:p>
        </w:tc>
        <w:tc>
          <w:tcPr/>
          <w:p>
            <w:pPr>
              <w:pStyle w:val="Compact"/>
              <w:jc w:val="left"/>
            </w:pPr>
            <w:r>
              <w:t xml:space="preserve">2.81</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3.667)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0.667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0.75 (0, 2.833)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2.5)</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0.583 (0, 2)</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0.667 (0, 2)</w:t>
            </w:r>
          </w:p>
        </w:tc>
      </w:tr>
      <w:tr>
        <w:tc>
          <w:tcPr/>
          <w:p>
            <w:pPr>
              <w:pStyle w:val="Compact"/>
            </w:pPr>
          </w:p>
        </w:tc>
        <w:tc>
          <w:tcPr/>
          <w:p>
            <w:pPr>
              <w:pStyle w:val="Compact"/>
              <w:jc w:val="left"/>
            </w:pPr>
            <w:r>
              <w:rPr>
                <w:iCs/>
                <w:i/>
              </w:rPr>
              <w:t xml:space="preserve">Syringodium filiforme</w:t>
            </w:r>
          </w:p>
        </w:tc>
        <w:tc>
          <w:tcPr/>
          <w:p>
            <w:pPr>
              <w:pStyle w:val="Compact"/>
              <w:jc w:val="left"/>
            </w:pPr>
            <w:r>
              <w:t xml:space="preserve">1.74</w:t>
            </w:r>
          </w:p>
        </w:tc>
        <w:tc>
          <w:tcPr/>
          <w:p>
            <w:pPr>
              <w:pStyle w:val="Compact"/>
              <w:jc w:val="left"/>
            </w:pPr>
            <w:r>
              <w:t xml:space="preserve">a</w:t>
            </w:r>
          </w:p>
        </w:tc>
        <w:tc>
          <w:tcPr/>
          <w:p>
            <w:pPr>
              <w:pStyle w:val="Compact"/>
              <w:jc w:val="left"/>
            </w:pPr>
            <w:r>
              <w:t xml:space="preserve">Apr</w:t>
            </w:r>
          </w:p>
        </w:tc>
        <w:tc>
          <w:tcPr/>
          <w:p>
            <w:pPr>
              <w:pStyle w:val="Compact"/>
              <w:jc w:val="right"/>
            </w:pPr>
            <w:r>
              <w:t xml:space="preserve">14</w:t>
            </w:r>
          </w:p>
        </w:tc>
        <w:tc>
          <w:tcPr/>
          <w:p>
            <w:pPr>
              <w:pStyle w:val="Compact"/>
              <w:jc w:val="left"/>
            </w:pPr>
            <w:r>
              <w:t xml:space="preserve">0.75 (0, 4.667)</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May</w:t>
            </w:r>
          </w:p>
        </w:tc>
        <w:tc>
          <w:tcPr/>
          <w:p>
            <w:pPr>
              <w:pStyle w:val="Compact"/>
              <w:jc w:val="right"/>
            </w:pPr>
            <w:r>
              <w:t xml:space="preserve">19</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Jun</w:t>
            </w:r>
          </w:p>
        </w:tc>
        <w:tc>
          <w:tcPr/>
          <w:p>
            <w:pPr>
              <w:pStyle w:val="Compact"/>
              <w:jc w:val="right"/>
            </w:pPr>
            <w:r>
              <w:t xml:space="preserve">24</w:t>
            </w:r>
          </w:p>
        </w:tc>
        <w:tc>
          <w:tcPr/>
          <w:p>
            <w:pPr>
              <w:pStyle w:val="Compact"/>
              <w:jc w:val="left"/>
            </w:pPr>
            <w:r>
              <w:t xml:space="preserve">0 (0, 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Jul</w:t>
            </w:r>
          </w:p>
        </w:tc>
        <w:tc>
          <w:tcPr/>
          <w:p>
            <w:pPr>
              <w:pStyle w:val="Compact"/>
              <w:jc w:val="right"/>
            </w:pPr>
            <w:r>
              <w:t xml:space="preserve">4</w:t>
            </w:r>
          </w:p>
        </w:tc>
        <w:tc>
          <w:tcPr/>
          <w:p>
            <w:pPr>
              <w:pStyle w:val="Compact"/>
              <w:jc w:val="left"/>
            </w:pPr>
            <w:r>
              <w:t xml:space="preserve">0 (0, 3.333)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Aug</w:t>
            </w:r>
          </w:p>
        </w:tc>
        <w:tc>
          <w:tcPr/>
          <w:p>
            <w:pPr>
              <w:pStyle w:val="Compact"/>
              <w:jc w:val="right"/>
            </w:pPr>
            <w:r>
              <w:t xml:space="preserve">12</w:t>
            </w:r>
          </w:p>
        </w:tc>
        <w:tc>
          <w:tcPr/>
          <w:p>
            <w:pPr>
              <w:pStyle w:val="Compact"/>
              <w:jc w:val="left"/>
            </w:pPr>
            <w:r>
              <w:t xml:space="preserve">0.167 (0, 1.333)</w:t>
            </w:r>
          </w:p>
        </w:tc>
      </w:tr>
      <w:tr>
        <w:tc>
          <w:tcPr/>
          <w:p>
            <w:pPr>
              <w:pStyle w:val="Compact"/>
            </w:pPr>
          </w:p>
        </w:tc>
        <w:tc>
          <w:tcPr/>
          <w:p>
            <w:pPr>
              <w:pStyle w:val="Compact"/>
            </w:pPr>
          </w:p>
        </w:tc>
        <w:tc>
          <w:tcPr/>
          <w:p>
            <w:pPr>
              <w:pStyle w:val="Compact"/>
            </w:pPr>
          </w:p>
        </w:tc>
        <w:tc>
          <w:tcPr/>
          <w:p>
            <w:pPr>
              <w:pStyle w:val="Compact"/>
              <w:jc w:val="left"/>
            </w:pPr>
            <w:r>
              <w:t xml:space="preserve">a</w:t>
            </w:r>
          </w:p>
        </w:tc>
        <w:tc>
          <w:tcPr/>
          <w:p>
            <w:pPr>
              <w:pStyle w:val="Compact"/>
              <w:jc w:val="left"/>
            </w:pPr>
            <w:r>
              <w:t xml:space="preserve">Sep</w:t>
            </w:r>
          </w:p>
        </w:tc>
        <w:tc>
          <w:tcPr/>
          <w:p>
            <w:pPr>
              <w:pStyle w:val="Compact"/>
              <w:jc w:val="right"/>
            </w:pPr>
            <w:r>
              <w:t xml:space="preserve">5</w:t>
            </w:r>
          </w:p>
        </w:tc>
        <w:tc>
          <w:tcPr/>
          <w:p>
            <w:pPr>
              <w:pStyle w:val="Compact"/>
              <w:jc w:val="left"/>
            </w:pPr>
            <w:r>
              <w:t xml:space="preserve">0.333 (0, 1.333)</w:t>
            </w:r>
          </w:p>
        </w:tc>
      </w:tr>
    </w:tbl>
    <w:bookmarkEnd w:id="55"/>
    <w:bookmarkStart w:id="70" w:name="references"/>
    <w:p>
      <w:pPr>
        <w:pStyle w:val="Heading1"/>
      </w:pPr>
      <w:r>
        <w:t xml:space="preserve">References</w:t>
      </w:r>
    </w:p>
    <w:bookmarkStart w:id="69" w:name="refs"/>
    <w:bookmarkStart w:id="57" w:name="ref-Beck21d"/>
    <w:p>
      <w:pPr>
        <w:pStyle w:val="Bibliography"/>
      </w:pPr>
      <w:r>
        <w:t xml:space="preserve">Beck, M.W., 2021.</w:t>
      </w:r>
      <w:r>
        <w:t xml:space="preserve"> </w:t>
      </w:r>
      <w:r>
        <w:t xml:space="preserve">2021 Piney Point Sampling in Tampa Bay. Knowledge Network for Biocomplexity. urn:node:KNB.</w:t>
      </w:r>
      <w:r>
        <w:t xml:space="preserve"> </w:t>
      </w:r>
      <w:hyperlink r:id="rId56">
        <w:r>
          <w:rPr>
            <w:rStyle w:val="Hyperlink"/>
          </w:rPr>
          <w:t xml:space="preserve">https://doi.org/doi:10.5063/F1959G05</w:t>
        </w:r>
      </w:hyperlink>
    </w:p>
    <w:bookmarkEnd w:id="57"/>
    <w:bookmarkStart w:id="59" w:name="ref-Beck21c"/>
    <w:p>
      <w:pPr>
        <w:pStyle w:val="Bibliography"/>
      </w:pPr>
      <w:r>
        <w:t xml:space="preserve">Beck, M.W., Burke, M.C., Raulerson, G.E., Scolaro, S.C., Sherwood, E.T., Whalen, J.D., 2021.</w:t>
      </w:r>
      <w:r>
        <w:t xml:space="preserve"> </w:t>
      </w:r>
      <w:r>
        <w:t xml:space="preserve">P</w:t>
      </w:r>
      <w:r>
        <w:t xml:space="preserve">iney</w:t>
      </w:r>
      <w:r>
        <w:t xml:space="preserve"> </w:t>
      </w:r>
      <w:r>
        <w:t xml:space="preserve">P</w:t>
      </w:r>
      <w:r>
        <w:t xml:space="preserve">oint environmental monitoring dashboard.</w:t>
      </w:r>
      <w:r>
        <w:t xml:space="preserve"> </w:t>
      </w:r>
      <w:r>
        <w:t xml:space="preserve">t</w:t>
      </w:r>
      <w:r>
        <w:t xml:space="preserve">bep-tech/piney-point: v1.0.0. Zenodo.</w:t>
      </w:r>
      <w:r>
        <w:t xml:space="preserve"> </w:t>
      </w:r>
      <w:hyperlink r:id="rId58">
        <w:r>
          <w:rPr>
            <w:rStyle w:val="Hyperlink"/>
          </w:rPr>
          <w:t xml:space="preserve">https://doi.org/10.5281/zenodo.4666494</w:t>
        </w:r>
      </w:hyperlink>
    </w:p>
    <w:bookmarkEnd w:id="59"/>
    <w:bookmarkStart w:id="60" w:name="ref-DiPinto01"/>
    <w:p>
      <w:pPr>
        <w:pStyle w:val="Bibliography"/>
      </w:pPr>
      <w:r>
        <w:t xml:space="preserve">DiPinto, L., Penn, T., Iliff, J.,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 in: International Oil Spill Conference. American Petroleum Institute, pp. 1511–1516.</w:t>
      </w:r>
    </w:p>
    <w:bookmarkEnd w:id="60"/>
    <w:bookmarkStart w:id="62"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1">
        <w:r>
          <w:rPr>
            <w:rStyle w:val="Hyperlink"/>
          </w:rPr>
          <w:t xml:space="preserve">https://doi.org/10.1016/j.marpolbul.2010.11.017</w:t>
        </w:r>
      </w:hyperlink>
    </w:p>
    <w:bookmarkEnd w:id="62"/>
    <w:bookmarkStart w:id="6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63"/>
    <w:bookmarkStart w:id="6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4"/>
    <w:bookmarkStart w:id="6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5">
        <w:r>
          <w:rPr>
            <w:rStyle w:val="Hyperlink"/>
          </w:rPr>
          <w:t xml:space="preserve">https://doi.org/10.1353/sgo.2017.0026</w:t>
        </w:r>
      </w:hyperlink>
    </w:p>
    <w:bookmarkEnd w:id="66"/>
    <w:bookmarkStart w:id="67"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7"/>
    <w:bookmarkStart w:id="68" w:name="ref-Xie20"/>
    <w:p>
      <w:pPr>
        <w:pStyle w:val="Bibliography"/>
      </w:pPr>
      <w:r>
        <w:t xml:space="preserve">Xie, Y., Dervieux, C., Riederer, E., 2020. R markdown cookbook. Chapman; Hall/CRC, Boca Raton, Florida.</w:t>
      </w:r>
    </w:p>
    <w:bookmarkEnd w:id="68"/>
    <w:bookmarkEnd w:id="69"/>
    <w:bookmarkEnd w:id="70"/>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1" Target="media/rId51.jpg" /><Relationship Type="http://schemas.openxmlformats.org/officeDocument/2006/relationships/image" Id="rId49" Target="media/rId49.jpg" /><Relationship Type="http://schemas.openxmlformats.org/officeDocument/2006/relationships/image" Id="rId48" Target="media/rId48.jpg" /><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_rels/footnotes.xml.rels><?xml version="1.0" encoding="UTF-8"?><Relationships xmlns="http://schemas.openxmlformats.org/package/2006/relationships"><Relationship Type="http://schemas.openxmlformats.org/officeDocument/2006/relationships/hyperlink" Id="rId45" Target="http://blogs.ifas.ufl.edu/news/2019/03/19/citizen-scientists-needed-to-survey-seagrass-seaweed-in-charlotte-harbor/" TargetMode="External" /><Relationship Type="http://schemas.openxmlformats.org/officeDocument/2006/relationships/hyperlink" Id="rId61" Target="https://doi.org/10.1016/j.marpolbul.2010.11.017" TargetMode="External" /><Relationship Type="http://schemas.openxmlformats.org/officeDocument/2006/relationships/hyperlink" Id="rId65" Target="https://doi.org/10.1353/sgo.2017.0026" TargetMode="External" /><Relationship Type="http://schemas.openxmlformats.org/officeDocument/2006/relationships/hyperlink" Id="rId58" Target="https://doi.org/10.5281/zenodo.4666494" TargetMode="External" /><Relationship Type="http://schemas.openxmlformats.org/officeDocument/2006/relationships/hyperlink" Id="rId56" Target="https://doi.org/doi:10.5063/F1959G05" TargetMode="External" /><Relationship Type="http://schemas.openxmlformats.org/officeDocument/2006/relationships/hyperlink" Id="rId40" Target="https://github.com/tbep-tech/piney-point-manu" TargetMode="External" /><Relationship Type="http://schemas.openxmlformats.org/officeDocument/2006/relationships/hyperlink" Id="rId39" Target="https://knb.ecoinformatics.org/view/doi:10.5063/F1959G05"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41" Target="https://shiny.tbep.org"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31"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6" Target="mailto:jgardiner@ncf.edu" TargetMode="External" /><Relationship Type="http://schemas.openxmlformats.org/officeDocument/2006/relationships/hyperlink" Id="rId38" Target="mailto:jwhalen@tbep.org" TargetMode="External" /><Relationship Type="http://schemas.openxmlformats.org/officeDocument/2006/relationships/hyperlink" Id="rId27" Target="mailto:katherine.hubbard@myfwc.com"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2" Target="mailto:phlips@ufl.edu" TargetMode="External" /><Relationship Type="http://schemas.openxmlformats.org/officeDocument/2006/relationships/hyperlink" Id="rId34" Target="mailto:sscolaro@tbep.org" TargetMode="External" /><Relationship Type="http://schemas.openxmlformats.org/officeDocument/2006/relationships/hyperlink" Id="rId37"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nutrient-rich Piney Point release into Tampa Bay, Florida</dc:title>
  <dc:creator>Marcus W. Beck (mbeck@tbep.org), Andrew Altieri (andrew.altieri@essie.ufl.edu), Christine Angelini (christine.angelini@essie.ufl.edu), Maya C. Burke (mburke@tbep.org), Jing Chen (jchen15@usf.edu), Diana W. Chin (diwchin@gmail.com), Jayne Gardiner (jgardiner@ncf.edu), Katherine A. Hubbard (katherine.hubbard@myfwc.com), Yonggang Liu (yliu@usf.edu), Cary Lopez (cary.lopez@myfwc.com), Miles Medina (miles.medina@ufl.edu), Elise Morrison (elise.morrison@essie.ufl.edu), Edward J. Phlips (phlips@ufl.edu), Gary E. Raulerson (graulerson@tbep.org), Sheila Scolaro (sscolaro@tbep.org), Edward T. Sherwood (esherwood@tbep.org), David Tomasko (dave@sarasotabay.org), Robert H. Weisberg (weisberg@usf.edu), Joe Whalen (jwhalen@tbep.org)</dc:creator>
  <cp:keywords/>
  <dcterms:created xsi:type="dcterms:W3CDTF">2022-02-07T15:11:09Z</dcterms:created>
  <dcterms:modified xsi:type="dcterms:W3CDTF">2022-02-07T15:11:09Z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