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1.jpg" ContentType="image/jpeg"/>
  <Override PartName="/word/media/rId48.jpg" ContentType="image/jpeg"/>
  <Override PartName="/word/media/rId54.jpg" ContentType="image/jpeg"/>
  <Override PartName="/word/media/rId53.jpg" ContentType="image/jpeg"/>
  <Override PartName="/word/media/rId52.jpg" ContentType="image/jpeg"/>
  <Override PartName="/word/media/rId50.jpg" ContentType="image/jpeg"/>
  <Override PartName="/word/media/rId49.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inorganic</w:t>
      </w:r>
      <w:r>
        <w:t xml:space="preserve"> </w:t>
      </w:r>
      <w:r>
        <w:t xml:space="preserve">nutrient</w:t>
      </w:r>
      <w:r>
        <w:t xml:space="preserve"> </w:t>
      </w:r>
      <w:r>
        <w:t xml:space="preserve">inputs</w:t>
      </w:r>
      <w:r>
        <w:t xml:space="preserve"> </w:t>
      </w:r>
      <w:r>
        <w:t xml:space="preserve">from</w:t>
      </w:r>
      <w:r>
        <w:t xml:space="preserve"> </w:t>
      </w:r>
      <w:r>
        <w:t xml:space="preserve">a</w:t>
      </w:r>
      <w:r>
        <w:t xml:space="preserve"> </w:t>
      </w:r>
      <w:r>
        <w:t xml:space="preserve">legacy</w:t>
      </w:r>
      <w:r>
        <w:t xml:space="preserve"> </w:t>
      </w:r>
      <w:r>
        <w:t xml:space="preserve">mining</w:t>
      </w:r>
      <w:r>
        <w:t xml:space="preserve"> </w:t>
      </w:r>
      <w:r>
        <w:t xml:space="preserve">facility</w:t>
      </w:r>
      <w:r>
        <w:t xml:space="preserve"> </w:t>
      </w:r>
      <w:r>
        <w:t xml:space="preserve">adjacent</w:t>
      </w:r>
      <w:r>
        <w:t xml:space="preserve"> </w:t>
      </w:r>
      <w:r>
        <w:t xml:space="preserve">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Jayne</w:t>
      </w:r>
      <w:r>
        <w:t xml:space="preserve"> </w:t>
      </w:r>
      <w:r>
        <w:t xml:space="preserve">Gardiner</w:t>
      </w:r>
      <w:r>
        <w:t xml:space="preserve"> </w:t>
      </w:r>
      <w:r>
        <w:t xml:space="preserve">(</w:t>
      </w:r>
      <w:hyperlink r:id="rId26">
        <w:r>
          <w:rPr>
            <w:rStyle w:val="Hyperlink"/>
          </w:rPr>
          <w:t xml:space="preserve">jgardiner@ncf.edu</w:t>
        </w:r>
      </w:hyperlink>
      <w:r>
        <w:t xml:space="preserve">),</w:t>
      </w:r>
      <w:r>
        <w:t xml:space="preserve"> </w:t>
      </w:r>
      <w:r>
        <w:t xml:space="preserve">Chuanmin</w:t>
      </w:r>
      <w:r>
        <w:t xml:space="preserve"> </w:t>
      </w:r>
      <w:r>
        <w:t xml:space="preserve">Hu</w:t>
      </w:r>
      <w:r>
        <w:t xml:space="preserve"> </w:t>
      </w:r>
      <w:r>
        <w:t xml:space="preserve">(</w:t>
      </w:r>
      <w:hyperlink r:id="rId27">
        <w:r>
          <w:rPr>
            <w:rStyle w:val="Hyperlink"/>
          </w:rPr>
          <w:t xml:space="preserve">huc@usf.edu</w:t>
        </w:r>
      </w:hyperlink>
      <w:r>
        <w:t xml:space="preserve">),</w:t>
      </w:r>
      <w:r>
        <w:t xml:space="preserve"> </w:t>
      </w:r>
      <w:r>
        <w:t xml:space="preserve">Katherine</w:t>
      </w:r>
      <w:r>
        <w:t xml:space="preserve"> </w:t>
      </w:r>
      <w:r>
        <w:t xml:space="preserve">A.</w:t>
      </w:r>
      <w:r>
        <w:t xml:space="preserve"> </w:t>
      </w:r>
      <w:r>
        <w:t xml:space="preserve">Hubbard</w:t>
      </w:r>
      <w:r>
        <w:t xml:space="preserve"> </w:t>
      </w:r>
      <w:r>
        <w:t xml:space="preserve">(</w:t>
      </w:r>
      <w:hyperlink r:id="rId28">
        <w:r>
          <w:rPr>
            <w:rStyle w:val="Hyperlink"/>
          </w:rPr>
          <w:t xml:space="preserve">katherine.hubbard@myfwc.com</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4">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5">
        <w:r>
          <w:rPr>
            <w:rStyle w:val="Hyperlink"/>
          </w:rPr>
          <w:t xml:space="preserve">sscolaro@tbep.org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6">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7">
        <w:r>
          <w:rPr>
            <w:rStyle w:val="Hyperlink"/>
          </w:rPr>
          <w:t xml:space="preserve">dave@sarasotabay.org</w:t>
        </w:r>
      </w:hyperlink>
      <w:r>
        <w:t xml:space="preserve">),</w:t>
      </w:r>
      <w:r>
        <w:t xml:space="preserve"> </w:t>
      </w:r>
      <w:r>
        <w:t xml:space="preserve">Robert</w:t>
      </w:r>
      <w:r>
        <w:t xml:space="preserve"> </w:t>
      </w:r>
      <w:r>
        <w:t xml:space="preserve">H.</w:t>
      </w:r>
      <w:r>
        <w:t xml:space="preserve"> </w:t>
      </w:r>
      <w:r>
        <w:t xml:space="preserve">Weisberg</w:t>
      </w:r>
      <w:r>
        <w:t xml:space="preserve"> </w:t>
      </w:r>
      <w:r>
        <w:t xml:space="preserve">(</w:t>
      </w:r>
      <w:hyperlink r:id="rId38">
        <w:r>
          <w:rPr>
            <w:rStyle w:val="Hyperlink"/>
          </w:rPr>
          <w:t xml:space="preserve">weisberg@usf.edu</w:t>
        </w:r>
      </w:hyperlink>
      <w:r>
        <w:t xml:space="preserve">),</w:t>
      </w:r>
      <w:r>
        <w:t xml:space="preserve"> </w:t>
      </w:r>
      <w:r>
        <w:t xml:space="preserve">Joe</w:t>
      </w:r>
      <w:r>
        <w:t xml:space="preserve"> </w:t>
      </w:r>
      <w:r>
        <w:t xml:space="preserve">Whalen</w:t>
      </w:r>
      <w:r>
        <w:t xml:space="preserve"> </w:t>
      </w:r>
      <w:r>
        <w:t xml:space="preserve">(</w:t>
      </w:r>
      <w:hyperlink r:id="rId39">
        <w:r>
          <w:rPr>
            <w:rStyle w:val="Hyperlink"/>
          </w:rPr>
          <w:t xml:space="preserve">jwhalen@tbep.org</w:t>
        </w:r>
      </w:hyperlink>
      <w:r>
        <w:t xml:space="preserve">)</w:t>
      </w:r>
    </w:p>
    <w:bookmarkStart w:id="43" w:name="data-source-materials-and-dashboard"/>
    <w:p>
      <w:pPr>
        <w:pStyle w:val="Heading1"/>
      </w:pPr>
      <w:r>
        <w:t xml:space="preserve">Data, source materials, and dashboard</w:t>
      </w:r>
    </w:p>
    <w:p>
      <w:pPr>
        <w:pStyle w:val="FirstParagraph"/>
      </w:pPr>
      <w:r>
        <w:t xml:space="preserve">All datasets used in this study are provided online in an open access data archive hosted on the Knowledge Network for Biocomplexity as part of the DataOne federated network. This includes full metadata documentation. The repository is available at</w:t>
      </w:r>
      <w:r>
        <w:t xml:space="preserve"> </w:t>
      </w:r>
      <w:hyperlink r:id="rId40">
        <w:r>
          <w:rPr>
            <w:rStyle w:val="Hyperlink"/>
          </w:rPr>
          <w:t xml:space="preserve">https://knb.ecoinformatics.org/view/doi:10.5063/F1959G05</w:t>
        </w:r>
      </w:hyperlink>
      <w:r>
        <w:t xml:space="preserve"> </w:t>
      </w:r>
      <w:r>
        <w:t xml:space="preserve">and citable as</w:t>
      </w:r>
      <w:r>
        <w:t xml:space="preserve"> </w:t>
      </w:r>
      <w:hyperlink w:anchor="ref-Beck21d">
        <w:r>
          <w:rPr>
            <w:rStyle w:val="Hyperlink"/>
          </w:rPr>
          <w:t xml:space="preserve">Beck</w:t>
        </w:r>
      </w:hyperlink>
      <w:r>
        <w:t xml:space="preserve"> </w:t>
      </w:r>
      <w:r>
        <w:t xml:space="preserve">(</w:t>
      </w:r>
      <w:hyperlink w:anchor="ref-Beck21d">
        <w:r>
          <w:rPr>
            <w:rStyle w:val="Hyperlink"/>
          </w:rPr>
          <w:t xml:space="preserve">2021</w:t>
        </w:r>
      </w:hyperlink>
      <w:r>
        <w:t xml:space="preserve">)</w:t>
      </w:r>
      <w:r>
        <w:t xml:space="preserve">.</w:t>
      </w:r>
    </w:p>
    <w:p>
      <w:pPr>
        <w:pStyle w:val="BodyText"/>
      </w:pPr>
      <w:r>
        <w:t xml:space="preserve">Materials for reproducing the analyses, figures, tables, and other content in this paper are provided in a GitHub repository. This includes a source RMarkdown file</w:t>
      </w:r>
      <w:r>
        <w:t xml:space="preserve"> </w:t>
      </w:r>
      <w:r>
        <w:t xml:space="preserve">(</w:t>
      </w:r>
      <w:hyperlink w:anchor="ref-Xie20">
        <w:r>
          <w:rPr>
            <w:rStyle w:val="Hyperlink"/>
          </w:rPr>
          <w:t xml:space="preserve">Xie et al., 2020</w:t>
        </w:r>
      </w:hyperlink>
      <w:r>
        <w:t xml:space="preserve">)</w:t>
      </w:r>
      <w:r>
        <w:t xml:space="preserve"> </w:t>
      </w:r>
      <w:r>
        <w:t xml:space="preserve">used for the manuscript text. The repository is available at</w:t>
      </w:r>
      <w:r>
        <w:t xml:space="preserve"> </w:t>
      </w:r>
      <w:hyperlink r:id="rId41">
        <w:r>
          <w:rPr>
            <w:rStyle w:val="Hyperlink"/>
          </w:rPr>
          <w:t xml:space="preserve">https://github.com/tbep-tech/piney-point-manu</w:t>
        </w:r>
      </w:hyperlink>
      <w:r>
        <w:t xml:space="preserve">.</w:t>
      </w:r>
    </w:p>
    <w:p>
      <w:pPr>
        <w:pStyle w:val="BodyText"/>
      </w:pPr>
      <w:r>
        <w:t xml:space="preserve">The Piney Point Environmental Monitoring Dashboard can be used to view all data together through an interactive, online application. It provides a synthesis of data to assess baseline conditions prior to April 2021 and all 2021 monitoring data collected in response to the Piney Point event. The dashboard is available at</w:t>
      </w:r>
      <w:r>
        <w:t xml:space="preserve"> </w:t>
      </w:r>
      <w:hyperlink r:id="rId42">
        <w:r>
          <w:rPr>
            <w:rStyle w:val="Hyperlink"/>
          </w:rPr>
          <w:t xml:space="preserve">https://shiny.tbep.org</w:t>
        </w:r>
      </w:hyperlink>
      <w:r>
        <w:t xml:space="preserve"> </w:t>
      </w:r>
      <w:r>
        <w:t xml:space="preserve">and citable as</w:t>
      </w:r>
      <w:r>
        <w:t xml:space="preserve"> </w:t>
      </w:r>
      <w:hyperlink w:anchor="ref-Beck21c">
        <w:r>
          <w:rPr>
            <w:rStyle w:val="Hyperlink"/>
          </w:rPr>
          <w:t xml:space="preserve">Beck et al.</w:t>
        </w:r>
      </w:hyperlink>
      <w:r>
        <w:t xml:space="preserve"> </w:t>
      </w:r>
      <w:r>
        <w:t xml:space="preserve">(</w:t>
      </w:r>
      <w:hyperlink w:anchor="ref-Beck21c">
        <w:r>
          <w:rPr>
            <w:rStyle w:val="Hyperlink"/>
          </w:rPr>
          <w:t xml:space="preserve">2021</w:t>
        </w:r>
      </w:hyperlink>
      <w:r>
        <w:t xml:space="preserve">)</w:t>
      </w:r>
      <w:r>
        <w:t xml:space="preserve">.</w:t>
      </w:r>
    </w:p>
    <w:bookmarkEnd w:id="43"/>
    <w:bookmarkStart w:id="44"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the releases to surficial and ground waters. For example, tropical storm Gabrielle in 2001 produced 33 centimeters of rain, causing release of over 38 million liters of water from Piney Point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During another event lasting from November 2003 to October 2004, treated process water from Piney Point was released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w:t>
      </w:r>
      <w:r>
        <w:t xml:space="preserve"> </w:t>
      </w:r>
      <w:r>
        <w:t xml:space="preserve">spp. and</w:t>
      </w:r>
      <w:r>
        <w:t xml:space="preserve"> </w:t>
      </w:r>
      <w:r>
        <w:rPr>
          <w:iCs/>
          <w:i/>
        </w:rPr>
        <w:t xml:space="preserve">Gracilaria</w:t>
      </w:r>
      <w:r>
        <w:t xml:space="preserve"> </w:t>
      </w:r>
      <w:r>
        <w:t xml:space="preserve">spp. 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unanticipated release to local areas.</w:t>
      </w:r>
    </w:p>
    <w:p>
      <w:pPr>
        <w:pStyle w:val="BodyText"/>
      </w:pPr>
      <w:r>
        <w:t xml:space="preserve">Piney Point was acquired by HRK Holdings, LLC in August 2006 through an administrative agreement with FDEP, where oversight was still maintained by the latter.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(NGS-S, the point of release for 2021). Placement of the dredged material was suspected in compromising the liner integrity which led to an emergency release of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4"/>
    <w:bookmarkStart w:id="47" w:name="sampling-methods"/>
    <w:p>
      <w:pPr>
        <w:pStyle w:val="Heading1"/>
      </w:pPr>
      <w:r>
        <w:t xml:space="preserve">Sampling methods</w:t>
      </w:r>
    </w:p>
    <w:p>
      <w:pPr>
        <w:pStyle w:val="FirstParagraph"/>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Because of the increased occurrence of red tide in July following the emergency release, fish kill reports from FWC were also evaluated in relation to key municipalities (Tampa, St. Petersberg) impacted by the event. Fish kill reports were obtained from the FWC</w:t>
      </w:r>
      <w:r>
        <w:t xml:space="preserve"> </w:t>
      </w:r>
      <w:hyperlink r:id="rId45">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pollutants from Piney Point on seagrasses near Piney Point, the sampling protocol used at the routine monitoring locations was modified using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6">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w:t>
      </w:r>
      <w:r>
        <w:t xml:space="preserve"> </w:t>
      </w:r>
      <w:r>
        <w:t xml:space="preserve">spp.,</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w:t>
      </w:r>
    </w:p>
    <w:bookmarkEnd w:id="47"/>
    <w:bookmarkStart w:id="55" w:name="figures"/>
    <w:p>
      <w:pPr>
        <w:pStyle w:val="Heading1"/>
      </w:pPr>
      <w:r>
        <w:t xml:space="preserve">Figures</w:t>
      </w:r>
    </w:p>
    <w:p>
      <w:pPr>
        <w:pStyle w:val="CaptionedFigure"/>
      </w:pPr>
      <w:r>
        <w:drawing>
          <wp:inline>
            <wp:extent cx="5943600" cy="4195482"/>
            <wp:effectExtent b="0" l="0" r="0" t="0"/>
            <wp:docPr descr="Figure 1: Sampled water quality data by week for late March through September 2021 following the release from Piney Point for (a) total nitrogen (mg/L), (b) chlorophyll-a (\m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C:/proj/piney-point-manu/figs/wqtrnds-supp.jpeg" id="0" name="Picture"/>
                    <pic:cNvPicPr>
                      <a:picLocks noChangeArrowheads="1" noChangeAspect="1"/>
                    </pic:cNvPicPr>
                  </pic:nvPicPr>
                  <pic:blipFill>
                    <a:blip r:embed="rId48"/>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late March through September 2021 following the release from Piney Point for (a) total nitrogen (mg/L), (b) chlorophyll-a (</w:t>
      </w:r>
      <m:oMath>
        <m:r>
          <m:t>μ</m:t>
        </m:r>
      </m:oMath>
      <w:r>
        <w:t xml:space="preserve">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49"/>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50"/>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 title="" id="1" name="Picture"/>
            <a:graphic>
              <a:graphicData uri="http://schemas.openxmlformats.org/drawingml/2006/picture">
                <pic:pic>
                  <pic:nvPicPr>
                    <pic:cNvPr descr="C:/proj/piney-point-manu/figs/trnabu-supp.jpeg" id="0" name="Picture"/>
                    <pic:cNvPicPr>
                      <a:picLocks noChangeArrowheads="1" noChangeAspect="1"/>
                    </pic:cNvPicPr>
                  </pic:nvPicPr>
                  <pic:blipFill>
                    <a:blip r:embed="rId5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2"/>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 Asterionellopsis sp. and Skeletonema sp." title="" id="1" name="Picture"/>
            <a:graphic>
              <a:graphicData uri="http://schemas.openxmlformats.org/drawingml/2006/picture">
                <pic:pic>
                  <pic:nvPicPr>
                    <pic:cNvPr descr="figs/phymcrfoest-supp.jpeg" id="0" name="Picture"/>
                    <pic:cNvPicPr>
                      <a:picLocks noChangeArrowheads="1" noChangeAspect="1"/>
                    </pic:cNvPicPr>
                  </pic:nvPicPr>
                  <pic:blipFill>
                    <a:blip r:embed="rId5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w:t>
      </w:r>
      <w:r>
        <w:t xml:space="preserve"> </w:t>
      </w:r>
      <w:r>
        <w:rPr>
          <w:iCs/>
          <w:i/>
        </w:rPr>
        <w:t xml:space="preserve">Asterionellopsis sp</w:t>
      </w:r>
      <w:r>
        <w:t xml:space="preserve">. and</w:t>
      </w:r>
      <w:r>
        <w:t xml:space="preserve"> </w:t>
      </w:r>
      <w:r>
        <w:rPr>
          <w:iCs/>
          <w:i/>
        </w:rPr>
        <w:t xml:space="preserve">Skeletonema sp</w:t>
      </w:r>
      <w:r>
        <w:t xml:space="preserve">.</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4"/>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5"/>
    <w:bookmarkStart w:id="56" w:name="tables"/>
    <w:p>
      <w:pPr>
        <w:pStyle w:val="Heading1"/>
      </w:pPr>
      <w:r>
        <w:t xml:space="preserve">Tables</w:t>
      </w:r>
    </w:p>
    <w:p>
      <w:pPr>
        <w:pStyle w:val="TableCaption"/>
      </w:pPr>
      <w:r>
        <w:t xml:space="preserve">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23.48**</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0.708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0.321 (0, 0.882)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0.571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0.732 (0, 1)</w:t>
            </w:r>
          </w:p>
        </w:tc>
      </w:tr>
      <w:tr>
        <w:tc>
          <w:tcPr/>
          <w:p>
            <w:pPr>
              <w:pStyle w:val="Compact"/>
            </w:pPr>
          </w:p>
        </w:tc>
        <w:tc>
          <w:tcPr/>
          <w:p>
            <w:pPr>
              <w:pStyle w:val="Compact"/>
              <w:jc w:val="left"/>
            </w:pPr>
            <w:r>
              <w:t xml:space="preserve">Green</w:t>
            </w:r>
          </w:p>
        </w:tc>
        <w:tc>
          <w:tcPr/>
          <w:p>
            <w:pPr>
              <w:pStyle w:val="Compact"/>
              <w:jc w:val="left"/>
            </w:pPr>
            <w:r>
              <w:t xml:space="preserve">4.69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0.429)</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0.833)</w:t>
            </w:r>
          </w:p>
        </w:tc>
      </w:tr>
      <w:tr>
        <w:tc>
          <w:tcPr/>
          <w:p>
            <w:pPr>
              <w:pStyle w:val="Compact"/>
            </w:pPr>
          </w:p>
        </w:tc>
        <w:tc>
          <w:tcPr/>
          <w:p>
            <w:pPr>
              <w:pStyle w:val="Compact"/>
              <w:jc w:val="left"/>
            </w:pPr>
            <w:r>
              <w:t xml:space="preserve">Cyanobacteria</w:t>
            </w:r>
          </w:p>
        </w:tc>
        <w:tc>
          <w:tcPr/>
          <w:p>
            <w:pPr>
              <w:pStyle w:val="Compact"/>
              <w:jc w:val="left"/>
            </w:pPr>
            <w:r>
              <w:t xml:space="preserve">53.5**</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0.333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0.417)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0.167)</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27.57**</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0.917 (0.917,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0.917 (0.25, 1)</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0.167 (0, 0.75)</w:t>
            </w:r>
          </w:p>
        </w:tc>
      </w:tr>
      <w:tr>
        <w:tc>
          <w:tcPr/>
          <w:p>
            <w:pPr>
              <w:pStyle w:val="Compact"/>
            </w:pPr>
          </w:p>
        </w:tc>
        <w:tc>
          <w:tcPr/>
          <w:p>
            <w:pPr>
              <w:pStyle w:val="Compact"/>
            </w:pPr>
          </w:p>
        </w:tc>
        <w:tc>
          <w:tcPr/>
          <w:p>
            <w:pPr>
              <w:pStyle w:val="Compact"/>
            </w:pPr>
          </w:p>
        </w:tc>
        <w:tc>
          <w:tcPr/>
          <w:p>
            <w:pPr>
              <w:pStyle w:val="Compact"/>
              <w:jc w:val="left"/>
            </w:pPr>
            <w:r>
              <w:t xml:space="preserve">abc</w:t>
            </w:r>
          </w:p>
        </w:tc>
        <w:tc>
          <w:tcPr/>
          <w:p>
            <w:pPr>
              <w:pStyle w:val="Compact"/>
              <w:jc w:val="left"/>
            </w:pPr>
            <w:r>
              <w:t xml:space="preserve">Jul</w:t>
            </w:r>
          </w:p>
        </w:tc>
        <w:tc>
          <w:tcPr/>
          <w:p>
            <w:pPr>
              <w:pStyle w:val="Compact"/>
              <w:jc w:val="right"/>
            </w:pPr>
            <w:r>
              <w:t xml:space="preserve">4</w:t>
            </w:r>
          </w:p>
        </w:tc>
        <w:tc>
          <w:tcPr/>
          <w:p>
            <w:pPr>
              <w:pStyle w:val="Compact"/>
              <w:jc w:val="left"/>
            </w:pPr>
            <w:r>
              <w:t xml:space="preserve">0.333 (0, 0.833)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Aug</w:t>
            </w:r>
          </w:p>
        </w:tc>
        <w:tc>
          <w:tcPr/>
          <w:p>
            <w:pPr>
              <w:pStyle w:val="Compact"/>
              <w:jc w:val="right"/>
            </w:pPr>
            <w:r>
              <w:t xml:space="preserve">6</w:t>
            </w:r>
          </w:p>
        </w:tc>
        <w:tc>
          <w:tcPr/>
          <w:p>
            <w:pPr>
              <w:pStyle w:val="Compact"/>
              <w:jc w:val="left"/>
            </w:pPr>
            <w:r>
              <w:t xml:space="preserve">0.083 (0, 0.833)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0.5)</w:t>
            </w:r>
          </w:p>
        </w:tc>
      </w:tr>
      <w:tr>
        <w:tc>
          <w:tcPr/>
          <w:p>
            <w:pPr>
              <w:pStyle w:val="Compact"/>
            </w:pPr>
          </w:p>
        </w:tc>
        <w:tc>
          <w:tcPr/>
          <w:p>
            <w:pPr>
              <w:pStyle w:val="Compact"/>
              <w:jc w:val="left"/>
            </w:pPr>
            <w:r>
              <w:t xml:space="preserve">Green</w:t>
            </w:r>
          </w:p>
        </w:tc>
        <w:tc>
          <w:tcPr/>
          <w:p>
            <w:pPr>
              <w:pStyle w:val="Compact"/>
              <w:jc w:val="left"/>
            </w:pPr>
            <w:r>
              <w:t xml:space="preserve">5.42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1)</w:t>
            </w:r>
          </w:p>
        </w:tc>
      </w:tr>
      <w:tr>
        <w:tc>
          <w:tcPr/>
          <w:p>
            <w:pPr>
              <w:pStyle w:val="Compact"/>
            </w:pPr>
          </w:p>
        </w:tc>
        <w:tc>
          <w:tcPr/>
          <w:p>
            <w:pPr>
              <w:pStyle w:val="Compact"/>
              <w:jc w:val="left"/>
            </w:pPr>
            <w:r>
              <w:t xml:space="preserve">Cyanobacteria</w:t>
            </w:r>
          </w:p>
        </w:tc>
        <w:tc>
          <w:tcPr/>
          <w:p>
            <w:pPr>
              <w:pStyle w:val="Compact"/>
              <w:jc w:val="left"/>
            </w:pPr>
            <w:r>
              <w:t xml:space="preserve">14.33*</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0.083)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1.4</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0.458 (0, 1)</w:t>
            </w:r>
          </w:p>
        </w:tc>
      </w:tr>
      <w:tr>
        <w:tc>
          <w:tcPr/>
          <w:p>
            <w:pPr>
              <w:pStyle w:val="Compact"/>
            </w:pPr>
          </w:p>
        </w:tc>
        <w:tc>
          <w:tcPr/>
          <w:p>
            <w:pPr>
              <w:pStyle w:val="Compact"/>
              <w:jc w:val="left"/>
            </w:pPr>
            <w:r>
              <w:rPr>
                <w:iCs/>
                <w:i/>
              </w:rPr>
              <w:t xml:space="preserve">Halodule wrightii</w:t>
            </w:r>
          </w:p>
        </w:tc>
        <w:tc>
          <w:tcPr/>
          <w:p>
            <w:pPr>
              <w:pStyle w:val="Compact"/>
              <w:jc w:val="left"/>
            </w:pPr>
            <w:r>
              <w:t xml:space="preserve">1</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0.167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0.39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1)</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0.583 (0.333,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r>
        <w:tc>
          <w:tcPr/>
          <w:p>
            <w:pPr>
              <w:pStyle w:val="Compact"/>
            </w:pPr>
          </w:p>
        </w:tc>
        <w:tc>
          <w:tcPr/>
          <w:p>
            <w:pPr>
              <w:pStyle w:val="Compact"/>
              <w:jc w:val="left"/>
            </w:pPr>
            <w:r>
              <w:rPr>
                <w:iCs/>
                <w:i/>
              </w:rPr>
              <w:t xml:space="preserve">Halodule wrightii</w:t>
            </w:r>
          </w:p>
        </w:tc>
        <w:tc>
          <w:tcPr/>
          <w:p>
            <w:pPr>
              <w:pStyle w:val="Compact"/>
              <w:jc w:val="left"/>
            </w:pPr>
            <w:r>
              <w:t xml:space="preserve">2.82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0.333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0.5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1.75</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0.227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0.208 (0, 0.917)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bl>
    <w:p/>
    <w:p>
      <w:pPr>
        <w:pStyle w:val="TableCaption"/>
      </w:pPr>
      <w:r>
        <w:t xml:space="preserve">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61.85**</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3.333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1.833 (0, 4.286)</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0.286 (0, 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0.464 (0, 1.833)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0.857 (0, 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Sep</w:t>
            </w:r>
          </w:p>
        </w:tc>
        <w:tc>
          <w:tcPr/>
          <w:p>
            <w:pPr>
              <w:pStyle w:val="Compact"/>
              <w:jc w:val="right"/>
            </w:pPr>
            <w:r>
              <w:t xml:space="preserve">31</w:t>
            </w:r>
          </w:p>
        </w:tc>
        <w:tc>
          <w:tcPr/>
          <w:p>
            <w:pPr>
              <w:pStyle w:val="Compact"/>
              <w:jc w:val="left"/>
            </w:pPr>
            <w:r>
              <w:t xml:space="preserve">1.333 (0, 3.444)</w:t>
            </w:r>
          </w:p>
        </w:tc>
      </w:tr>
      <w:tr>
        <w:tc>
          <w:tcPr/>
          <w:p>
            <w:pPr>
              <w:pStyle w:val="Compact"/>
            </w:pPr>
          </w:p>
        </w:tc>
        <w:tc>
          <w:tcPr/>
          <w:p>
            <w:pPr>
              <w:pStyle w:val="Compact"/>
              <w:jc w:val="left"/>
            </w:pPr>
            <w:r>
              <w:t xml:space="preserve">Green</w:t>
            </w:r>
          </w:p>
        </w:tc>
        <w:tc>
          <w:tcPr/>
          <w:p>
            <w:pPr>
              <w:pStyle w:val="Compact"/>
              <w:jc w:val="left"/>
            </w:pPr>
            <w:r>
              <w:t xml:space="preserve">6.66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2.167)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0.5)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1.5)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1.333)</w:t>
            </w:r>
          </w:p>
        </w:tc>
      </w:tr>
      <w:tr>
        <w:tc>
          <w:tcPr/>
          <w:p>
            <w:pPr>
              <w:pStyle w:val="Compact"/>
            </w:pPr>
          </w:p>
        </w:tc>
        <w:tc>
          <w:tcPr/>
          <w:p>
            <w:pPr>
              <w:pStyle w:val="Compact"/>
              <w:jc w:val="left"/>
            </w:pPr>
            <w:r>
              <w:t xml:space="preserve">Cyanobacteria</w:t>
            </w:r>
          </w:p>
        </w:tc>
        <w:tc>
          <w:tcPr/>
          <w:p>
            <w:pPr>
              <w:pStyle w:val="Compact"/>
              <w:jc w:val="left"/>
            </w:pPr>
            <w:r>
              <w:t xml:space="preserve">63.56**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3.667)</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0.167 (0, 4.4)</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0.5)</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36.16**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2.417 (1.667,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1.667 (0, 4.667)</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2.833)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0.833 (0, 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0.833)</w:t>
            </w:r>
          </w:p>
        </w:tc>
      </w:tr>
      <w:tr>
        <w:tc>
          <w:tcPr/>
          <w:p>
            <w:pPr>
              <w:pStyle w:val="Compact"/>
            </w:pPr>
          </w:p>
        </w:tc>
        <w:tc>
          <w:tcPr/>
          <w:p>
            <w:pPr>
              <w:pStyle w:val="Compact"/>
              <w:jc w:val="left"/>
            </w:pPr>
            <w:r>
              <w:t xml:space="preserve">Green</w:t>
            </w:r>
          </w:p>
        </w:tc>
        <w:tc>
          <w:tcPr/>
          <w:p>
            <w:pPr>
              <w:pStyle w:val="Compact"/>
              <w:jc w:val="left"/>
            </w:pPr>
            <w:r>
              <w:t xml:space="preserve">5.61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1.667)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1.833)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1.167)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3.5)</w:t>
            </w:r>
          </w:p>
        </w:tc>
      </w:tr>
      <w:tr>
        <w:tc>
          <w:tcPr/>
          <w:p>
            <w:pPr>
              <w:pStyle w:val="Compact"/>
            </w:pPr>
          </w:p>
        </w:tc>
        <w:tc>
          <w:tcPr/>
          <w:p>
            <w:pPr>
              <w:pStyle w:val="Compact"/>
              <w:jc w:val="left"/>
            </w:pPr>
            <w:r>
              <w:t xml:space="preserve">Cyanobacteria</w:t>
            </w:r>
          </w:p>
        </w:tc>
        <w:tc>
          <w:tcPr/>
          <w:p>
            <w:pPr>
              <w:pStyle w:val="Compact"/>
              <w:jc w:val="left"/>
            </w:pPr>
            <w:r>
              <w:t xml:space="preserve">21.31**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7.36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1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1.083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0.667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0.583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0.5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0.667 (0, 4.333)</w:t>
            </w:r>
          </w:p>
        </w:tc>
      </w:tr>
      <w:tr>
        <w:tc>
          <w:tcPr/>
          <w:p>
            <w:pPr>
              <w:pStyle w:val="Compact"/>
            </w:pPr>
          </w:p>
        </w:tc>
        <w:tc>
          <w:tcPr/>
          <w:p>
            <w:pPr>
              <w:pStyle w:val="Compact"/>
              <w:jc w:val="left"/>
            </w:pPr>
            <w:r>
              <w:rPr>
                <w:iCs/>
                <w:i/>
              </w:rPr>
              <w:t xml:space="preserve">Halodule wrightii</w:t>
            </w:r>
          </w:p>
        </w:tc>
        <w:tc>
          <w:tcPr/>
          <w:p>
            <w:pPr>
              <w:pStyle w:val="Compact"/>
              <w:jc w:val="left"/>
            </w:pPr>
            <w:r>
              <w:t xml:space="preserve">2.49</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0.333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0.333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0.25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0.167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0.5 (0, 4.667)</w:t>
            </w:r>
          </w:p>
        </w:tc>
      </w:tr>
      <w:tr>
        <w:tc>
          <w:tcPr/>
          <w:p>
            <w:pPr>
              <w:pStyle w:val="Compact"/>
            </w:pPr>
          </w:p>
        </w:tc>
        <w:tc>
          <w:tcPr/>
          <w:p>
            <w:pPr>
              <w:pStyle w:val="Compact"/>
              <w:jc w:val="left"/>
            </w:pPr>
            <w:r>
              <w:rPr>
                <w:iCs/>
                <w:i/>
              </w:rPr>
              <w:t xml:space="preserve">Syringodium filiforme</w:t>
            </w:r>
          </w:p>
        </w:tc>
        <w:tc>
          <w:tcPr/>
          <w:p>
            <w:pPr>
              <w:pStyle w:val="Compact"/>
              <w:jc w:val="left"/>
            </w:pPr>
            <w:r>
              <w:t xml:space="preserve">3.53</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0.083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0.417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2.667)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3.167)</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12.96*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2.833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2.167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2.417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2.167 (1.167,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0.75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1.833)</w:t>
            </w:r>
          </w:p>
        </w:tc>
      </w:tr>
      <w:tr>
        <w:tc>
          <w:tcPr/>
          <w:p>
            <w:pPr>
              <w:pStyle w:val="Compact"/>
            </w:pPr>
          </w:p>
        </w:tc>
        <w:tc>
          <w:tcPr/>
          <w:p>
            <w:pPr>
              <w:pStyle w:val="Compact"/>
              <w:jc w:val="left"/>
            </w:pPr>
            <w:r>
              <w:rPr>
                <w:iCs/>
                <w:i/>
              </w:rPr>
              <w:t xml:space="preserve">Halodule wrightii</w:t>
            </w:r>
          </w:p>
        </w:tc>
        <w:tc>
          <w:tcPr/>
          <w:p>
            <w:pPr>
              <w:pStyle w:val="Compact"/>
              <w:jc w:val="left"/>
            </w:pPr>
            <w:r>
              <w:t xml:space="preserve">2.81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0.667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0.75 (0, 2.833)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0.583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2)</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1.74</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1.333)</w:t>
            </w:r>
          </w:p>
        </w:tc>
      </w:tr>
    </w:tbl>
    <w:bookmarkEnd w:id="56"/>
    <w:bookmarkStart w:id="71" w:name="references"/>
    <w:p>
      <w:pPr>
        <w:pStyle w:val="Heading1"/>
      </w:pPr>
      <w:r>
        <w:t xml:space="preserve">References</w:t>
      </w:r>
    </w:p>
    <w:bookmarkStart w:id="70" w:name="refs"/>
    <w:bookmarkStart w:id="58" w:name="ref-Beck21d"/>
    <w:p>
      <w:pPr>
        <w:pStyle w:val="Bibliography"/>
      </w:pPr>
      <w:r>
        <w:t xml:space="preserve">Beck, M.W., 2021.</w:t>
      </w:r>
      <w:r>
        <w:t xml:space="preserve"> </w:t>
      </w:r>
      <w:r>
        <w:t xml:space="preserve">2021 Piney Point Sampling in Tampa Bay. Knowledge Network for Biocomplexity. urn:node:KNB.</w:t>
      </w:r>
      <w:r>
        <w:t xml:space="preserve"> </w:t>
      </w:r>
      <w:hyperlink r:id="rId57">
        <w:r>
          <w:rPr>
            <w:rStyle w:val="Hyperlink"/>
          </w:rPr>
          <w:t xml:space="preserve">https://doi.org/doi:10.5063/F1959G05</w:t>
        </w:r>
      </w:hyperlink>
    </w:p>
    <w:bookmarkEnd w:id="58"/>
    <w:bookmarkStart w:id="60" w:name="ref-Beck21c"/>
    <w:p>
      <w:pPr>
        <w:pStyle w:val="Bibliography"/>
      </w:pPr>
      <w:r>
        <w:t xml:space="preserve">Beck, M.W., Burke, M.C., Raulerson, G.E., Scolaro, S.C., Sherwood, E.T., Whalen, J.D., 2021.</w:t>
      </w:r>
      <w:r>
        <w:t xml:space="preserve"> </w:t>
      </w:r>
      <w:r>
        <w:t xml:space="preserve">P</w:t>
      </w:r>
      <w:r>
        <w:t xml:space="preserve">iney</w:t>
      </w:r>
      <w:r>
        <w:t xml:space="preserve"> </w:t>
      </w:r>
      <w:r>
        <w:t xml:space="preserve">P</w:t>
      </w:r>
      <w:r>
        <w:t xml:space="preserve">oint environmental monitoring dashboard.</w:t>
      </w:r>
      <w:r>
        <w:t xml:space="preserve"> </w:t>
      </w:r>
      <w:r>
        <w:t xml:space="preserve">t</w:t>
      </w:r>
      <w:r>
        <w:t xml:space="preserve">bep-tech/piney-point: v1.0.0. Zenodo.</w:t>
      </w:r>
      <w:r>
        <w:t xml:space="preserve"> </w:t>
      </w:r>
      <w:hyperlink r:id="rId59">
        <w:r>
          <w:rPr>
            <w:rStyle w:val="Hyperlink"/>
          </w:rPr>
          <w:t xml:space="preserve">https://doi.org/10.5281/zenodo.4666494</w:t>
        </w:r>
      </w:hyperlink>
    </w:p>
    <w:bookmarkEnd w:id="60"/>
    <w:bookmarkStart w:id="61"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61"/>
    <w:bookmarkStart w:id="63"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2">
        <w:r>
          <w:rPr>
            <w:rStyle w:val="Hyperlink"/>
          </w:rPr>
          <w:t xml:space="preserve">https://doi.org/10.1016/j.marpolbul.2010.11.017</w:t>
        </w:r>
      </w:hyperlink>
    </w:p>
    <w:bookmarkEnd w:id="63"/>
    <w:bookmarkStart w:id="64"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r>
        <w:t xml:space="preserve"> </w:t>
      </w:r>
      <w:r>
        <w:t xml:space="preserve">University of South Florida St. Petersburg, Florida</w:t>
      </w:r>
      <w:r>
        <w:t xml:space="preserve">.</w:t>
      </w:r>
    </w:p>
    <w:bookmarkEnd w:id="64"/>
    <w:bookmarkStart w:id="65"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5"/>
    <w:bookmarkStart w:id="67"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6">
        <w:r>
          <w:rPr>
            <w:rStyle w:val="Hyperlink"/>
          </w:rPr>
          <w:t xml:space="preserve">https://doi.org/10.1353/sgo.2017.0026</w:t>
        </w:r>
      </w:hyperlink>
    </w:p>
    <w:bookmarkEnd w:id="67"/>
    <w:bookmarkStart w:id="68"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68"/>
    <w:bookmarkStart w:id="69" w:name="ref-Xie20"/>
    <w:p>
      <w:pPr>
        <w:pStyle w:val="Bibliography"/>
      </w:pPr>
      <w:r>
        <w:t xml:space="preserve">Xie, Y., Dervieux, C., Riederer, E., 2020. R markdown cookbook. Chapman; Hall/CRC, Boca Raton, Florida.</w:t>
      </w:r>
    </w:p>
    <w:bookmarkEnd w:id="69"/>
    <w:bookmarkEnd w:id="70"/>
    <w:bookmarkEnd w:id="71"/>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1" Target="media/rId51.jpg" /><Relationship Type="http://schemas.openxmlformats.org/officeDocument/2006/relationships/image" Id="rId48" Target="media/rId48.jpg" /><Relationship Type="http://schemas.openxmlformats.org/officeDocument/2006/relationships/image" Id="rId54" Target="media/rId54.jpg" /><Relationship Type="http://schemas.openxmlformats.org/officeDocument/2006/relationships/image" Id="rId53" Target="media/rId53.jpg" /><Relationship Type="http://schemas.openxmlformats.org/officeDocument/2006/relationships/image" Id="rId52" Target="media/rId52.jpg" /><Relationship Type="http://schemas.openxmlformats.org/officeDocument/2006/relationships/image" Id="rId50" Target="media/rId50.jpg" /><Relationship Type="http://schemas.openxmlformats.org/officeDocument/2006/relationships/image" Id="rId49" Target="media/rId49.jpg" /><Relationship Type="http://schemas.openxmlformats.org/officeDocument/2006/relationships/hyperlink" Id="rId46" Target="http://blogs.ifas.ufl.edu/news/2019/03/19/citizen-scientists-needed-to-survey-seagrass-seaweed-in-charlotte-harbor/" TargetMode="External" /><Relationship Type="http://schemas.openxmlformats.org/officeDocument/2006/relationships/hyperlink" Id="rId62" Target="https://doi.org/10.1016/j.marpolbul.2010.11.017" TargetMode="External" /><Relationship Type="http://schemas.openxmlformats.org/officeDocument/2006/relationships/hyperlink" Id="rId66" Target="https://doi.org/10.1353/sgo.2017.0026" TargetMode="External" /><Relationship Type="http://schemas.openxmlformats.org/officeDocument/2006/relationships/hyperlink" Id="rId59" Target="https://doi.org/10.5281/zenodo.4666494" TargetMode="External" /><Relationship Type="http://schemas.openxmlformats.org/officeDocument/2006/relationships/hyperlink" Id="rId57" Target="https://doi.org/doi:10.5063/F1959G05" TargetMode="External" /><Relationship Type="http://schemas.openxmlformats.org/officeDocument/2006/relationships/hyperlink" Id="rId41" Target="https://github.com/tbep-tech/piney-point-manu" TargetMode="External" /><Relationship Type="http://schemas.openxmlformats.org/officeDocument/2006/relationships/hyperlink" Id="rId40" Target="https://knb.ecoinformatics.org/view/doi:10.5063/F1959G05" TargetMode="External" /><Relationship Type="http://schemas.openxmlformats.org/officeDocument/2006/relationships/hyperlink" Id="rId45" Target="https://public.myfwc.com/fwri/FishKillReport/searchresults.aspx" TargetMode="External" /><Relationship Type="http://schemas.openxmlformats.org/officeDocument/2006/relationships/hyperlink" Id="rId42" Target="https://shiny.tbep.org"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7"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2" Target="mailto:elise.morrison@essie.ufl.edu" TargetMode="External" /><Relationship Type="http://schemas.openxmlformats.org/officeDocument/2006/relationships/hyperlink" Id="rId36" Target="mailto:esherwood@tbep.org" TargetMode="External" /><Relationship Type="http://schemas.openxmlformats.org/officeDocument/2006/relationships/hyperlink" Id="rId34" Target="mailto:graulerson@tbep.org" TargetMode="External" /><Relationship Type="http://schemas.openxmlformats.org/officeDocument/2006/relationships/hyperlink" Id="rId27" Target="mailto:huc@usf.edu"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9" Target="mailto:jwhalen@tbep.org" TargetMode="External" /><Relationship Type="http://schemas.openxmlformats.org/officeDocument/2006/relationships/hyperlink" Id="rId28"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33" Target="mailto:phlips@ufl.edu" TargetMode="External" /><Relationship Type="http://schemas.openxmlformats.org/officeDocument/2006/relationships/hyperlink" Id="rId35" Target="mailto:sscolaro@tbep.org" TargetMode="External" /><Relationship Type="http://schemas.openxmlformats.org/officeDocument/2006/relationships/hyperlink" Id="rId38" Target="mailto:weisberg@usf.edu" TargetMode="External" /><Relationship Type="http://schemas.openxmlformats.org/officeDocument/2006/relationships/hyperlink" Id="rId29" Target="mailto:yliu@usf.edu" TargetMode="External" /></Relationships>
</file>

<file path=word/_rels/footnotes.xml.rels><?xml version="1.0" encoding="UTF-8"?><Relationships xmlns="http://schemas.openxmlformats.org/package/2006/relationships"><Relationship Type="http://schemas.openxmlformats.org/officeDocument/2006/relationships/hyperlink" Id="rId46" Target="http://blogs.ifas.ufl.edu/news/2019/03/19/citizen-scientists-needed-to-survey-seagrass-seaweed-in-charlotte-harbor/" TargetMode="External" /><Relationship Type="http://schemas.openxmlformats.org/officeDocument/2006/relationships/hyperlink" Id="rId62" Target="https://doi.org/10.1016/j.marpolbul.2010.11.017" TargetMode="External" /><Relationship Type="http://schemas.openxmlformats.org/officeDocument/2006/relationships/hyperlink" Id="rId66" Target="https://doi.org/10.1353/sgo.2017.0026" TargetMode="External" /><Relationship Type="http://schemas.openxmlformats.org/officeDocument/2006/relationships/hyperlink" Id="rId59" Target="https://doi.org/10.5281/zenodo.4666494" TargetMode="External" /><Relationship Type="http://schemas.openxmlformats.org/officeDocument/2006/relationships/hyperlink" Id="rId57" Target="https://doi.org/doi:10.5063/F1959G05" TargetMode="External" /><Relationship Type="http://schemas.openxmlformats.org/officeDocument/2006/relationships/hyperlink" Id="rId41" Target="https://github.com/tbep-tech/piney-point-manu" TargetMode="External" /><Relationship Type="http://schemas.openxmlformats.org/officeDocument/2006/relationships/hyperlink" Id="rId40" Target="https://knb.ecoinformatics.org/view/doi:10.5063/F1959G05" TargetMode="External" /><Relationship Type="http://schemas.openxmlformats.org/officeDocument/2006/relationships/hyperlink" Id="rId45" Target="https://public.myfwc.com/fwri/FishKillReport/searchresults.aspx" TargetMode="External" /><Relationship Type="http://schemas.openxmlformats.org/officeDocument/2006/relationships/hyperlink" Id="rId42" Target="https://shiny.tbep.org"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7"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2" Target="mailto:elise.morrison@essie.ufl.edu" TargetMode="External" /><Relationship Type="http://schemas.openxmlformats.org/officeDocument/2006/relationships/hyperlink" Id="rId36" Target="mailto:esherwood@tbep.org" TargetMode="External" /><Relationship Type="http://schemas.openxmlformats.org/officeDocument/2006/relationships/hyperlink" Id="rId34" Target="mailto:graulerson@tbep.org" TargetMode="External" /><Relationship Type="http://schemas.openxmlformats.org/officeDocument/2006/relationships/hyperlink" Id="rId27" Target="mailto:huc@usf.edu"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9" Target="mailto:jwhalen@tbep.org" TargetMode="External" /><Relationship Type="http://schemas.openxmlformats.org/officeDocument/2006/relationships/hyperlink" Id="rId28"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33" Target="mailto:phlips@ufl.edu" TargetMode="External" /><Relationship Type="http://schemas.openxmlformats.org/officeDocument/2006/relationships/hyperlink" Id="rId35" Target="mailto:sscolaro@tbep.org" TargetMode="External" /><Relationship Type="http://schemas.openxmlformats.org/officeDocument/2006/relationships/hyperlink" Id="rId38"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inorganic nutrient inputs from a legacy mining facility adjacent to Tampa Bay, Florida</dc:title>
  <dc:creator>Marcus W. Beck (mbeck@tbep.org), Andrew Altieri (andrew.altieri@essie.ufl.edu), Christine Angelini (christine.angelini@essie.ufl.edu), Maya C. Burke (mburke@tbep.org), Jing Chen (jchen15@usf.edu), Diana W. Chin (diwchin@gmail.com), Jayne Gardiner (jgardiner@ncf.edu), Chuanmin Hu (huc@usf.edu), Katherine A. Hubbard (katherine.hubbard@myfwc.com), Yonggang Liu (yliu@usf.edu), Cary Lopez (cary.lopez@myfwc.com), Miles Medina (miles.medina@ufl.edu), Elise Morrison (elise.morrison@essie.ufl.edu), Edward J. Phlips (phlips@ufl.edu), Gary E. Raulerson (graulerson@tbep.org), Sheila Scolaro (sscolaro@tbep.org), Edward T. Sherwood (esherwood@tbep.org), David Tomasko (dave@sarasotabay.org), Robert H. Weisberg (weisberg@usf.edu), Joe Whalen (jwhalen@tbep.org)</dc:creator>
  <cp:keywords/>
  <dcterms:created xsi:type="dcterms:W3CDTF">2022-03-17T14:36:33Z</dcterms:created>
  <dcterms:modified xsi:type="dcterms:W3CDTF">2022-03-17T14:36:33Z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