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5.jpg" ContentType="image/jpeg"/>
  <Override PartName="/word/media/rId54.jpg" ContentType="image/jpeg"/>
  <Override PartName="/word/media/rId53.jpg" ContentType="image/jpeg"/>
  <Override PartName="/word/media/rId51.jpg" ContentType="image/jpeg"/>
  <Override PartName="/word/media/rId50.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Jayne</w:t>
      </w:r>
      <w:r>
        <w:t xml:space="preserve"> </w:t>
      </w:r>
      <w:r>
        <w:t xml:space="preserve">Gardiner</w:t>
      </w:r>
      <w:r>
        <w:t xml:space="preserve"> </w:t>
      </w:r>
      <w:r>
        <w:t xml:space="preserve">(</w:t>
      </w:r>
      <w:hyperlink r:id="rId27">
        <w:r>
          <w:rPr>
            <w:rStyle w:val="Hyperlink"/>
          </w:rPr>
          <w:t xml:space="preserve">jgardiner@ncf.edu</w:t>
        </w:r>
      </w:hyperlink>
      <w:r>
        <w:t xml:space="preserve">),</w:t>
      </w:r>
      <w:r>
        <w:t xml:space="preserve"> </w:t>
      </w:r>
      <w:r>
        <w:t xml:space="preserve">Jessica</w:t>
      </w:r>
      <w:r>
        <w:t xml:space="preserve"> </w:t>
      </w:r>
      <w:r>
        <w:t xml:space="preserve">Lewis</w:t>
      </w:r>
      <w:r>
        <w:t xml:space="preserve"> </w:t>
      </w:r>
      <w:r>
        <w:t xml:space="preserve">(</w:t>
      </w:r>
      <w:hyperlink r:id="rId28">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9">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30">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1">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2">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3">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4">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5">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6">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7">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8">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9">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40">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1">
        <w:r>
          <w:rPr>
            <w:rStyle w:val="Hyperlink"/>
          </w:rPr>
          <w:t xml:space="preserve">jwhalen@tbep.org</w:t>
        </w:r>
      </w:hyperlink>
      <w:r>
        <w:t xml:space="preserve">)</w:t>
      </w:r>
    </w:p>
    <w:bookmarkStart w:id="42" w:name="history-of-piney-point"/>
    <w:p>
      <w:pPr>
        <w:pStyle w:val="Heading1"/>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204 million liters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33 centimeters of rain, causing over 38 million liters of wastewater to be released into Bishop Harbor, with an estimated 14 metric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939 million liters of wastewater from Piney Point were barged 193 kilometers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1.1 million cubic meters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640 million liters of dredged saltwater slurry and 3.2 metric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2"/>
    <w:bookmarkStart w:id="48" w:name="sampling-methods"/>
    <w:p>
      <w:pPr>
        <w:pStyle w:val="Heading1"/>
      </w:pPr>
      <w:r>
        <w:t xml:space="preserve">Sampling methods</w:t>
      </w:r>
    </w:p>
    <w:p>
      <w:pPr>
        <w:pStyle w:val="FirstParagraph"/>
      </w:pPr>
      <w:r>
        <w:t xml:space="preserve">Established laboratory and field sample protocols for all survey methods were based on an</w:t>
      </w:r>
      <w:r>
        <w:t xml:space="preserve"> </w:t>
      </w:r>
      <w:hyperlink r:id="rId43">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4">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 1a) given the hypothesized impacts adjacent to the discharge site as indicated by the TBCOM tracer model simulated plume patterns.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Data for</w:t>
      </w:r>
      <w:r>
        <w:t xml:space="preserve"> </w:t>
      </w:r>
      <w:r>
        <w:rPr>
          <w:iCs/>
          <w:i/>
        </w:rPr>
        <w:t xml:space="preserve">K. brevis</w:t>
      </w:r>
      <w:r>
        <w:t xml:space="preserve"> </w:t>
      </w:r>
      <w:r>
        <w:t xml:space="preserve">were obtained from event-based monitoring samples collected by FWC and available from a joint FWC-USF short-term red tide tracking product (</w:t>
      </w:r>
      <w:hyperlink r:id="rId45">
        <w:r>
          <w:rPr>
            <w:rStyle w:val="Hyperlink"/>
          </w:rPr>
          <w:t xml:space="preserve">http://ocgweb.marine.usf.edu/hab_tracking/wfcom_hab.html</w:t>
        </w:r>
      </w:hyperlink>
      <w:r>
        <w:t xml:space="preserve">) and from the Harmful Algal BloomS Observing System (</w:t>
      </w:r>
      <w:hyperlink r:id="rId46">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7">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from April to early October 2021.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 1a) depending on the analysis described below.</w:t>
      </w:r>
    </w:p>
    <w:bookmarkEnd w:id="48"/>
    <w:bookmarkStart w:id="56" w:name="figures"/>
    <w:p>
      <w:pPr>
        <w:pStyle w:val="Heading1"/>
      </w:pPr>
      <w:r>
        <w:t xml:space="preserve">Figures</w:t>
      </w:r>
    </w:p>
    <w:p>
      <w:pPr>
        <w:pStyle w:val="CaptionedFigure"/>
      </w:pPr>
      <w:r>
        <w:drawing>
          <wp:inline>
            <wp:extent cx="5943600" cy="4195482"/>
            <wp:effectExtent b="0" l="0" r="0" t="0"/>
            <wp:docPr descr="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title="" id="1" name="Picture"/>
            <a:graphic>
              <a:graphicData uri="http://schemas.openxmlformats.org/drawingml/2006/picture">
                <pic:pic>
                  <pic:nvPicPr>
                    <pic:cNvPr descr="T:/04_STAFF/MARCUS/03_GIT/piney-point-manu/figs/wqtrnds-supp.jpeg" id="0" name="Picture"/>
                    <pic:cNvPicPr>
                      <a:picLocks noChangeArrowheads="1" noChangeAspect="1"/>
                    </pic:cNvPicPr>
                  </pic:nvPicPr>
                  <pic:blipFill>
                    <a:blip r:embed="rId49"/>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1: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w:t>
      </w:r>
    </w:p>
    <w:p>
      <w:pPr>
        <w:pStyle w:val="CaptionedFigure"/>
      </w:pPr>
      <w:r>
        <w:drawing>
          <wp:inline>
            <wp:extent cx="5943600" cy="5094514"/>
            <wp:effectExtent b="0" l="0" r="0" t="0"/>
            <wp:docPr descr="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 title="" id="1" name="Picture"/>
            <a:graphic>
              <a:graphicData uri="http://schemas.openxmlformats.org/drawingml/2006/picture">
                <pic:pic>
                  <pic:nvPicPr>
                    <pic:cNvPr descr="figs/wqtrndsadd-supp.jpeg" id="0" name="Picture"/>
                    <pic:cNvPicPr>
                      <a:picLocks noChangeArrowheads="1" noChangeAspect="1"/>
                    </pic:cNvPicPr>
                  </pic:nvPicPr>
                  <pic:blipFill>
                    <a:blip r:embed="rId50"/>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2: Sampled water quality data by week for April to September 2021 in response to wastewater discharge from Piney Point for (a) total ammonia nitogen (mg/L), (b) orthophosphate (mg/L), (c) total phosphorus (mg/L), (d) dissolved oxygen saturation (%), (e) turbidity (NTU), and (f) salinity (ppt).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2020 for values collected at long-term monitoring sites within each area (Figure 1a).</w:t>
      </w:r>
    </w:p>
    <w:p>
      <w:pPr>
        <w:pStyle w:val="CaptionedFigure"/>
      </w:pPr>
      <w:r>
        <w:drawing>
          <wp:inline>
            <wp:extent cx="5943600" cy="5094514"/>
            <wp:effectExtent b="0" l="0" r="0" t="0"/>
            <wp:docPr descr="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 title="" id="1" name="Picture"/>
            <a:graphic>
              <a:graphicData uri="http://schemas.openxmlformats.org/drawingml/2006/picture">
                <pic:pic>
                  <pic:nvPicPr>
                    <pic:cNvPr descr="figs/wqgamadd-supp.jpeg" id="0" name="Picture"/>
                    <pic:cNvPicPr>
                      <a:picLocks noChangeArrowheads="1" noChangeAspect="1"/>
                    </pic:cNvPicPr>
                  </pic:nvPicPr>
                  <pic:blipFill>
                    <a:blip r:embed="rId5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3: Forecasted 2021 (a) total ammonia nitogen (mg/L), (b) orthophosphate (mg/L), (c) total phosphorus (mg/L), (d) dissolved oxygen saturation (%), (e) turbidity (NTU), and (f) salinity (ppt) by area based on historal seasonal models. Forecasts from the historical models for dates during and after the Piney Point discharge are shown in thick lines (+/- 95% confidence), with observed samples overlaid on the plots to emphasize deviation of 2021 data from historical seasonal estimates. Forecasted values are based on Generalized Additive Models fit to historical baseline data from 2006 to early 2021, with darker lines for more recent years. Results are grouped by assessment areas shown in Figure 1a.</w:t>
      </w:r>
    </w:p>
    <w:p>
      <w:pPr>
        <w:pStyle w:val="CaptionedFigure"/>
      </w:pPr>
      <w:r>
        <w:drawing>
          <wp:inline>
            <wp:extent cx="5943600" cy="3962400"/>
            <wp:effectExtent b="0" l="0" r="0" t="0"/>
            <wp:docPr descr="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 title="" id="1" name="Picture"/>
            <a:graphic>
              <a:graphicData uri="http://schemas.openxmlformats.org/drawingml/2006/picture">
                <pic:pic>
                  <pic:nvPicPr>
                    <pic:cNvPr descr="T:/04_STAFF/MARCUS/03_GIT/piney-point-manu/figs/trnabu-supp.jpeg" id="0" name="Picture"/>
                    <pic:cNvPicPr>
                      <a:picLocks noChangeArrowheads="1" noChangeAspect="1"/>
                    </pic:cNvPicPr>
                  </pic:nvPicPr>
                  <pic:blipFill>
                    <a:blip r:embed="rId52"/>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Abundance estimates (+/- 95% confidence) for (a) area 1 and (b) area 3 (Figure 1a) for macroalgae (top) and seagrass (bottom) rapid response transect surveys across all transects (n = 38) near Piney Point. Estimates are grouped by sample months in 2021. Points are offset slightly for readability.</w:t>
      </w:r>
    </w:p>
    <w:p>
      <w:pPr>
        <w:pStyle w:val="CaptionedFigure"/>
      </w:pPr>
      <w:r>
        <w:drawing>
          <wp:inline>
            <wp:extent cx="5943600" cy="5094514"/>
            <wp:effectExtent b="0" l="0" r="0" t="0"/>
            <wp:docPr descr="Figure 5: Wind rose plots for 2021 by month. Data are from St. Petersburg, Florida. Wind roses show relative counts of six minute observations in directional (30 degree bins, north is vertical) and speed (m/s) categories." title="" id="1" name="Picture"/>
            <a:graphic>
              <a:graphicData uri="http://schemas.openxmlformats.org/drawingml/2006/picture">
                <pic:pic>
                  <pic:nvPicPr>
                    <pic:cNvPr descr="figs/windroses-supp.jpeg" id="0" name="Picture"/>
                    <pic:cNvPicPr>
                      <a:picLocks noChangeArrowheads="1" noChangeAspect="1"/>
                    </pic:cNvPicPr>
                  </pic:nvPicPr>
                  <pic:blipFill>
                    <a:blip r:embed="rId53"/>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Wind rose plots for 2021 by month. Data are from St. Petersburg, Florida. Wind roses show relative counts of six minute observations in directional (30 degree bins, north is vertical) and speed (m/s) categories.</w:t>
      </w:r>
    </w:p>
    <w:p>
      <w:pPr>
        <w:pStyle w:val="CaptionedFigure"/>
      </w:pPr>
      <w:r>
        <w:drawing>
          <wp:inline>
            <wp:extent cx="5943600" cy="4245428"/>
            <wp:effectExtent b="0" l="0" r="0" t="0"/>
            <wp:docPr descr="Figure 6: Frequency occurrence estimates for (a) phytoplankton (diatoms and K. brevis)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 Asterionellopsis sp. and Skeletonema sp. Note that frequency occurrence is not a precise measure of cell concentrations." title="" id="1" name="Picture"/>
            <a:graphic>
              <a:graphicData uri="http://schemas.openxmlformats.org/drawingml/2006/picture">
                <pic:pic>
                  <pic:nvPicPr>
                    <pic:cNvPr descr="figs/phymcrfoest-supp.jpeg" id="0" name="Picture"/>
                    <pic:cNvPicPr>
                      <a:picLocks noChangeArrowheads="1" noChangeAspect="1"/>
                    </pic:cNvPicPr>
                  </pic:nvPicPr>
                  <pic:blipFill>
                    <a:blip r:embed="rId5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Frequency occurrence estimates for (a) phytoplankton (diatoms and</w:t>
      </w:r>
      <w:r>
        <w:t xml:space="preserve"> </w:t>
      </w:r>
      <w:r>
        <w:rPr>
          <w:iCs/>
          <w:i/>
        </w:rPr>
        <w:t xml:space="preserve">K. brevis</w:t>
      </w:r>
      <w:r>
        <w:t xml:space="preserve">) and (b) macroalgae groups. Frequency occurrence estimates are aggregated by week of observation based on all sample locations where a phytoplankton or macroalgal taxa was observed divided by all sample locations in a week. Estimates are not additive and are specific to each taxa. Sample dates are noted by vertical grey lines in each plot. Diatoms are based on presence/absense of</w:t>
      </w:r>
      <w:r>
        <w:t xml:space="preserve"> </w:t>
      </w:r>
      <w:r>
        <w:rPr>
          <w:iCs/>
          <w:i/>
        </w:rPr>
        <w:t xml:space="preserve">Asterionellopsis sp</w:t>
      </w:r>
      <w:r>
        <w:t xml:space="preserve">. and</w:t>
      </w:r>
      <w:r>
        <w:t xml:space="preserve"> </w:t>
      </w:r>
      <w:r>
        <w:rPr>
          <w:iCs/>
          <w:i/>
        </w:rPr>
        <w:t xml:space="preserve">Skeletonema sp</w:t>
      </w:r>
      <w:r>
        <w:t xml:space="preserve">. Note that frequency occurrence is not a precise measure of cell concentrations.</w:t>
      </w:r>
    </w:p>
    <w:p>
      <w:pPr>
        <w:pStyle w:val="CaptionedFigure"/>
      </w:pPr>
      <w:r>
        <w:drawing>
          <wp:inline>
            <wp:extent cx="3200400" cy="3657600"/>
            <wp:effectExtent b="0" l="0" r="0" t="0"/>
            <wp:docPr descr="Figure 7: Ordination results comparing weekly summarized observations across all sampled locations for total nitrogen concentrations, chlorophyll-a concentrations, diatom cell concentrations, Karenia brevis 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 K. brevis) or macroalgal dominance." title="" id="1" name="Picture"/>
            <a:graphic>
              <a:graphicData uri="http://schemas.openxmlformats.org/drawingml/2006/picture">
                <pic:pic>
                  <pic:nvPicPr>
                    <pic:cNvPr descr="figs/nutrientfloword-supp.jpeg" id="0" name="Picture"/>
                    <pic:cNvPicPr>
                      <a:picLocks noChangeArrowheads="1" noChangeAspect="1"/>
                    </pic:cNvPicPr>
                  </pic:nvPicPr>
                  <pic:blipFill>
                    <a:blip r:embed="rId55"/>
                    <a:stretch>
                      <a:fillRect/>
                    </a:stretch>
                  </pic:blipFill>
                  <pic:spPr bwMode="auto">
                    <a:xfrm>
                      <a:off x="0" y="0"/>
                      <a:ext cx="3200400" cy="3657600"/>
                    </a:xfrm>
                    <a:prstGeom prst="rect">
                      <a:avLst/>
                    </a:prstGeom>
                    <a:noFill/>
                    <a:ln w="9525">
                      <a:noFill/>
                      <a:headEnd/>
                      <a:tailEnd/>
                    </a:ln>
                  </pic:spPr>
                </pic:pic>
              </a:graphicData>
            </a:graphic>
          </wp:inline>
        </w:drawing>
      </w:r>
    </w:p>
    <w:p>
      <w:pPr>
        <w:pStyle w:val="ImageCaption"/>
      </w:pPr>
      <w:r>
        <w:t xml:space="preserve">Figure 7: Ordination results comparing weekly summarized observations across all sampled locations for total nitrogen concentrations, chlorophyll-a concentrations, diatom cell concentrations,</w:t>
      </w:r>
      <w:r>
        <w:t xml:space="preserve"> </w:t>
      </w:r>
      <w:r>
        <w:rPr>
          <w:iCs/>
          <w:i/>
        </w:rPr>
        <w:t xml:space="preserve">Karenia brevis</w:t>
      </w:r>
      <w:r>
        <w:t xml:space="preserve"> </w:t>
      </w:r>
      <w:r>
        <w:t xml:space="preserve">cell concentrations, and cyanobacteria macroalgal abundances. Ordination results are from non-metric multi-dimensional scaling performed on the 97.5th percentile values of observations in each week for each parameter. Observations are grouped by month periods based on phytoplankton (diatoms or</w:t>
      </w:r>
      <w:r>
        <w:t xml:space="preserve"> </w:t>
      </w:r>
      <w:r>
        <w:rPr>
          <w:iCs/>
          <w:i/>
        </w:rPr>
        <w:t xml:space="preserve">K. brevis</w:t>
      </w:r>
      <w:r>
        <w:t xml:space="preserve">) or macroalgal dominance.</w:t>
      </w:r>
    </w:p>
    <w:bookmarkEnd w:id="56"/>
    <w:bookmarkStart w:id="57" w:name="tables"/>
    <w:p>
      <w:pPr>
        <w:pStyle w:val="Heading1"/>
      </w:pPr>
      <w:r>
        <w:t xml:space="preserve">Tables</w:t>
      </w:r>
    </w:p>
    <w:p>
      <w:pPr>
        <w:pStyle w:val="TableCaption"/>
      </w:pPr>
      <w:r>
        <w:t xml:space="preserve">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1: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23.48**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22</w:t>
            </w:r>
          </w:p>
        </w:tc>
        <w:tc>
          <w:p>
            <w:pPr>
              <w:pStyle w:val="Compact"/>
              <w:jc w:val="left"/>
            </w:pPr>
            <w:r>
              <w:t xml:space="preserve">0.571 (0, 1)</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20</w:t>
            </w:r>
          </w:p>
        </w:tc>
        <w:tc>
          <w:p>
            <w:pPr>
              <w:pStyle w:val="Compact"/>
              <w:jc w:val="left"/>
            </w:pPr>
            <w:r>
              <w:t xml:space="preserve">0.732 (0, 1)</w:t>
            </w:r>
          </w:p>
        </w:tc>
      </w:tr>
      <w:tr>
        <w:tc>
          <w:p/>
        </w:tc>
        <w:tc>
          <w:p>
            <w:pPr>
              <w:pStyle w:val="Compact"/>
              <w:jc w:val="left"/>
            </w:pPr>
            <w:r>
              <w:t xml:space="preserve">Green</w:t>
            </w:r>
          </w:p>
        </w:tc>
        <w:tc>
          <w:p>
            <w:pPr>
              <w:pStyle w:val="Compact"/>
              <w:jc w:val="left"/>
            </w:pPr>
            <w:r>
              <w:t xml:space="preserve">4.69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0.833)</w:t>
            </w:r>
          </w:p>
        </w:tc>
      </w:tr>
      <w:tr>
        <w:tc>
          <w:p/>
        </w:tc>
        <w:tc>
          <w:p>
            <w:pPr>
              <w:pStyle w:val="Compact"/>
              <w:jc w:val="left"/>
            </w:pPr>
            <w:r>
              <w:t xml:space="preserve">Cyanobacteria</w:t>
            </w:r>
          </w:p>
        </w:tc>
        <w:tc>
          <w:p>
            <w:pPr>
              <w:pStyle w:val="Compact"/>
              <w:jc w:val="left"/>
            </w:pPr>
            <w:r>
              <w:t xml:space="preserve">53.5**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0.167)</w:t>
            </w:r>
          </w:p>
        </w:tc>
      </w:tr>
      <w:tr>
        <w:tc>
          <w:p>
            <w:pPr>
              <w:pStyle w:val="Compact"/>
              <w:jc w:val="left"/>
            </w:pPr>
            <w:r>
              <w:t xml:space="preserve">3</w:t>
            </w:r>
          </w:p>
        </w:tc>
        <w:tc>
          <w:p>
            <w:pPr>
              <w:pStyle w:val="Compact"/>
              <w:jc w:val="left"/>
            </w:pPr>
            <w:r>
              <w:t xml:space="preserve">Red</w:t>
            </w:r>
          </w:p>
        </w:tc>
        <w:tc>
          <w:p>
            <w:pPr>
              <w:pStyle w:val="Compact"/>
              <w:jc w:val="left"/>
            </w:pPr>
            <w:r>
              <w:t xml:space="preserve">27.57**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abc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Aug</w:t>
            </w:r>
          </w:p>
        </w:tc>
        <w:tc>
          <w:p>
            <w:pPr>
              <w:pStyle w:val="Compact"/>
              <w:jc w:val="right"/>
            </w:pPr>
            <w:r>
              <w:t xml:space="preserve">6</w:t>
            </w:r>
          </w:p>
        </w:tc>
        <w:tc>
          <w:p>
            <w:pPr>
              <w:pStyle w:val="Compact"/>
              <w:jc w:val="left"/>
            </w:pPr>
            <w:r>
              <w:t xml:space="preserve">0.083 (0, 0.833)</w:t>
            </w:r>
          </w:p>
        </w:tc>
      </w:tr>
      <w:tr>
        <w:tc>
          <w:p/>
        </w:tc>
        <w:tc>
          <w:p/>
        </w:tc>
        <w:tc>
          <w:p/>
        </w:tc>
        <w:tc>
          <w:p>
            <w:pPr>
              <w:pStyle w:val="Compact"/>
              <w:jc w:val="left"/>
            </w:pPr>
            <w:r>
              <w:t xml:space="preserve">c</w:t>
            </w:r>
          </w:p>
        </w:tc>
        <w:tc>
          <w:p>
            <w:pPr>
              <w:pStyle w:val="Compact"/>
              <w:jc w:val="left"/>
            </w:pPr>
            <w:r>
              <w:t xml:space="preserve">Sep</w:t>
            </w:r>
          </w:p>
        </w:tc>
        <w:tc>
          <w:p>
            <w:pPr>
              <w:pStyle w:val="Compact"/>
              <w:jc w:val="right"/>
            </w:pPr>
            <w:r>
              <w:t xml:space="preserve">5</w:t>
            </w:r>
          </w:p>
        </w:tc>
        <w:tc>
          <w:p>
            <w:pPr>
              <w:pStyle w:val="Compact"/>
              <w:jc w:val="left"/>
            </w:pPr>
            <w:r>
              <w:t xml:space="preserve">0.167 (0, 0.5)</w:t>
            </w:r>
          </w:p>
        </w:tc>
      </w:tr>
      <w:tr>
        <w:tc>
          <w:p/>
        </w:tc>
        <w:tc>
          <w:p>
            <w:pPr>
              <w:pStyle w:val="Compact"/>
              <w:jc w:val="left"/>
            </w:pPr>
            <w:r>
              <w:t xml:space="preserve">Green</w:t>
            </w:r>
          </w:p>
        </w:tc>
        <w:tc>
          <w:p>
            <w:pPr>
              <w:pStyle w:val="Compact"/>
              <w:jc w:val="left"/>
            </w:pPr>
            <w:r>
              <w:t xml:space="preserve">5.42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1)</w:t>
            </w:r>
          </w:p>
        </w:tc>
      </w:tr>
      <w:tr>
        <w:tc>
          <w:p/>
        </w:tc>
        <w:tc>
          <w:p>
            <w:pPr>
              <w:pStyle w:val="Compact"/>
              <w:jc w:val="left"/>
            </w:pPr>
            <w:r>
              <w:t xml:space="preserve">Cyanobacteria</w:t>
            </w:r>
          </w:p>
        </w:tc>
        <w:tc>
          <w:p>
            <w:pPr>
              <w:pStyle w:val="Compact"/>
              <w:jc w:val="left"/>
            </w:pPr>
            <w:r>
              <w:t xml:space="preserve">14.33*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2: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1.4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0.389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0.458 (0, 1)</w:t>
            </w:r>
          </w:p>
        </w:tc>
      </w:tr>
      <w:tr>
        <w:tc>
          <w:p/>
        </w:tc>
        <w:tc>
          <w:p>
            <w:pPr>
              <w:pStyle w:val="Compact"/>
              <w:jc w:val="left"/>
            </w:pPr>
            <w:r>
              <w:t xml:space="preserve">Halodule wrightii</w:t>
            </w:r>
          </w:p>
        </w:tc>
        <w:tc>
          <w:p>
            <w:pPr>
              <w:pStyle w:val="Compact"/>
              <w:jc w:val="left"/>
            </w:pPr>
            <w:r>
              <w:t xml:space="preserve">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0.167 (0, 1)</w:t>
            </w:r>
          </w:p>
        </w:tc>
      </w:tr>
      <w:tr>
        <w:tc>
          <w:p/>
        </w:tc>
        <w:tc>
          <w:p>
            <w:pPr>
              <w:pStyle w:val="Compact"/>
              <w:jc w:val="left"/>
            </w:pPr>
            <w:r>
              <w:t xml:space="preserve">Syringodium filiforme</w:t>
            </w:r>
          </w:p>
        </w:tc>
        <w:tc>
          <w:p>
            <w:pPr>
              <w:pStyle w:val="Compact"/>
              <w:jc w:val="left"/>
            </w:pPr>
            <w:r>
              <w:t xml:space="preserve">0.39</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20</w:t>
            </w:r>
          </w:p>
        </w:tc>
        <w:tc>
          <w:p>
            <w:pPr>
              <w:pStyle w:val="Compact"/>
              <w:jc w:val="left"/>
            </w:pPr>
            <w:r>
              <w:t xml:space="preserve">0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3.56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r>
        <w:tc>
          <w:p/>
        </w:tc>
        <w:tc>
          <w:p>
            <w:pPr>
              <w:pStyle w:val="Compact"/>
              <w:jc w:val="left"/>
            </w:pPr>
            <w:r>
              <w:t xml:space="preserve">Halodule wrightii</w:t>
            </w:r>
          </w:p>
        </w:tc>
        <w:tc>
          <w:p>
            <w:pPr>
              <w:pStyle w:val="Compact"/>
              <w:jc w:val="left"/>
            </w:pPr>
            <w:r>
              <w:t xml:space="preserve">2.82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0.5 (0, 1)</w:t>
            </w:r>
          </w:p>
        </w:tc>
      </w:tr>
      <w:tr>
        <w:tc>
          <w:p/>
        </w:tc>
        <w:tc>
          <w:p>
            <w:pPr>
              <w:pStyle w:val="Compact"/>
              <w:jc w:val="left"/>
            </w:pPr>
            <w:r>
              <w:t xml:space="preserve">Syringodium filiforme</w:t>
            </w:r>
          </w:p>
        </w:tc>
        <w:tc>
          <w:p>
            <w:pPr>
              <w:pStyle w:val="Compact"/>
              <w:jc w:val="left"/>
            </w:pPr>
            <w:r>
              <w:t xml:space="preserve">1.75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6</w:t>
            </w:r>
          </w:p>
        </w:tc>
        <w:tc>
          <w:p>
            <w:pPr>
              <w:pStyle w:val="Compact"/>
              <w:jc w:val="left"/>
            </w:pPr>
            <w:r>
              <w:t xml:space="preserve">0.208 (0, 0.917)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w:t>
            </w:r>
          </w:p>
        </w:tc>
      </w:tr>
    </w:tbl>
    <w:p/>
    <w:p>
      <w:pPr>
        <w:pStyle w:val="TableCaption"/>
      </w:pPr>
      <w:r>
        <w:t xml:space="preserve">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macroalgae Braun-Blanquet abundances by areas of interest (Figure 1a) and month. Overall signifance of differences of abundances between months for macroalgae groups and area combination are shown with Chi-squared statistics based on Kruskall-Wallis rank sum tests. Multiple comparisons with Mann-Whitney U tests (Comp. column) were used to evaluate pairwise monthly abundances for each macroalgae group in each area. Rows that share a letter within each area and macroalgae group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61.85**</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3.333 (0, 5)</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1.833 (0, 4.286)</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0.286 (0, 3)</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22</w:t>
            </w:r>
          </w:p>
        </w:tc>
        <w:tc>
          <w:p>
            <w:pPr>
              <w:pStyle w:val="Compact"/>
              <w:jc w:val="left"/>
            </w:pPr>
            <w:r>
              <w:t xml:space="preserve">0.464 (0, 1.833)</w:t>
            </w:r>
          </w:p>
        </w:tc>
      </w:tr>
      <w:tr>
        <w:tc>
          <w:p/>
        </w:tc>
        <w:tc>
          <w:p/>
        </w:tc>
        <w:tc>
          <w:p/>
        </w:tc>
        <w:tc>
          <w:p>
            <w:pPr>
              <w:pStyle w:val="Compact"/>
              <w:jc w:val="left"/>
            </w:pPr>
            <w:r>
              <w:t xml:space="preserve">c</w:t>
            </w:r>
          </w:p>
        </w:tc>
        <w:tc>
          <w:p>
            <w:pPr>
              <w:pStyle w:val="Compact"/>
              <w:jc w:val="left"/>
            </w:pPr>
            <w:r>
              <w:t xml:space="preserve">Aug</w:t>
            </w:r>
          </w:p>
        </w:tc>
        <w:tc>
          <w:p>
            <w:pPr>
              <w:pStyle w:val="Compact"/>
              <w:jc w:val="right"/>
            </w:pPr>
            <w:r>
              <w:t xml:space="preserve">31</w:t>
            </w:r>
          </w:p>
        </w:tc>
        <w:tc>
          <w:p>
            <w:pPr>
              <w:pStyle w:val="Compact"/>
              <w:jc w:val="left"/>
            </w:pPr>
            <w:r>
              <w:t xml:space="preserve">0.857 (0, 3)</w:t>
            </w:r>
          </w:p>
        </w:tc>
      </w:tr>
      <w:tr>
        <w:tc>
          <w:p/>
        </w:tc>
        <w:tc>
          <w:p/>
        </w:tc>
        <w:tc>
          <w:p/>
        </w:tc>
        <w:tc>
          <w:p>
            <w:pPr>
              <w:pStyle w:val="Compact"/>
              <w:jc w:val="left"/>
            </w:pPr>
            <w:r>
              <w:t xml:space="preserve">bc</w:t>
            </w:r>
          </w:p>
        </w:tc>
        <w:tc>
          <w:p>
            <w:pPr>
              <w:pStyle w:val="Compact"/>
              <w:jc w:val="left"/>
            </w:pPr>
            <w:r>
              <w:t xml:space="preserve">Sep</w:t>
            </w:r>
          </w:p>
        </w:tc>
        <w:tc>
          <w:p>
            <w:pPr>
              <w:pStyle w:val="Compact"/>
              <w:jc w:val="right"/>
            </w:pPr>
            <w:r>
              <w:t xml:space="preserve">31</w:t>
            </w:r>
          </w:p>
        </w:tc>
        <w:tc>
          <w:p>
            <w:pPr>
              <w:pStyle w:val="Compact"/>
              <w:jc w:val="left"/>
            </w:pPr>
            <w:r>
              <w:t xml:space="preserve">1.333 (0, 3.444)</w:t>
            </w:r>
          </w:p>
        </w:tc>
      </w:tr>
      <w:tr>
        <w:tc>
          <w:p/>
        </w:tc>
        <w:tc>
          <w:p>
            <w:pPr>
              <w:pStyle w:val="Compact"/>
              <w:jc w:val="left"/>
            </w:pPr>
            <w:r>
              <w:t xml:space="preserve">Green</w:t>
            </w:r>
          </w:p>
        </w:tc>
        <w:tc>
          <w:p>
            <w:pPr>
              <w:pStyle w:val="Compact"/>
              <w:jc w:val="left"/>
            </w:pPr>
            <w:r>
              <w:t xml:space="preserve">6.66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2.167)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 (0, 0.5)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1.5)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1.333)</w:t>
            </w:r>
          </w:p>
        </w:tc>
      </w:tr>
      <w:tr>
        <w:tc>
          <w:p/>
        </w:tc>
        <w:tc>
          <w:p>
            <w:pPr>
              <w:pStyle w:val="Compact"/>
              <w:jc w:val="left"/>
            </w:pPr>
            <w:r>
              <w:t xml:space="preserve">Cyanobacteria</w:t>
            </w:r>
          </w:p>
        </w:tc>
        <w:tc>
          <w:p>
            <w:pPr>
              <w:pStyle w:val="Compact"/>
              <w:jc w:val="left"/>
            </w:pPr>
            <w:r>
              <w:t xml:space="preserve">63.56**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46</w:t>
            </w:r>
          </w:p>
        </w:tc>
        <w:tc>
          <w:p>
            <w:pPr>
              <w:pStyle w:val="Compact"/>
              <w:jc w:val="left"/>
            </w:pPr>
            <w:r>
              <w:t xml:space="preserve">0 (0, 3.667)</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45</w:t>
            </w:r>
          </w:p>
        </w:tc>
        <w:tc>
          <w:p>
            <w:pPr>
              <w:pStyle w:val="Compact"/>
              <w:jc w:val="left"/>
            </w:pPr>
            <w:r>
              <w:t xml:space="preserve">0.167 (0, 4.4)</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22</w:t>
            </w:r>
          </w:p>
        </w:tc>
        <w:tc>
          <w:p>
            <w:pPr>
              <w:pStyle w:val="Compact"/>
              <w:jc w:val="left"/>
            </w:pPr>
            <w:r>
              <w:t xml:space="preserve">0 (0, 1)</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31</w:t>
            </w:r>
          </w:p>
        </w:tc>
        <w:tc>
          <w:p>
            <w:pPr>
              <w:pStyle w:val="Compact"/>
              <w:jc w:val="left"/>
            </w:pPr>
            <w:r>
              <w:t xml:space="preserve">0 (0, 0.333)</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31</w:t>
            </w:r>
          </w:p>
        </w:tc>
        <w:tc>
          <w:p>
            <w:pPr>
              <w:pStyle w:val="Compact"/>
              <w:jc w:val="left"/>
            </w:pPr>
            <w:r>
              <w:t xml:space="preserve">0 (0, 0.5)</w:t>
            </w:r>
          </w:p>
        </w:tc>
      </w:tr>
      <w:tr>
        <w:tc>
          <w:p>
            <w:pPr>
              <w:pStyle w:val="Compact"/>
              <w:jc w:val="left"/>
            </w:pPr>
            <w:r>
              <w:t xml:space="preserve">3</w:t>
            </w:r>
          </w:p>
        </w:tc>
        <w:tc>
          <w:p>
            <w:pPr>
              <w:pStyle w:val="Compact"/>
              <w:jc w:val="left"/>
            </w:pPr>
            <w:r>
              <w:t xml:space="preserve">Red</w:t>
            </w:r>
          </w:p>
        </w:tc>
        <w:tc>
          <w:p>
            <w:pPr>
              <w:pStyle w:val="Compact"/>
              <w:jc w:val="left"/>
            </w:pPr>
            <w:r>
              <w:t xml:space="preserve">36.16**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2.417 (1.667, 4.833)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1.667 (0, 4.667)</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 (0, 2.833)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0.833 (0, 2)</w:t>
            </w:r>
          </w:p>
        </w:tc>
      </w:tr>
      <w:tr>
        <w:tc>
          <w:p/>
        </w:tc>
        <w:tc>
          <w:p/>
        </w:tc>
        <w:tc>
          <w:p/>
        </w:tc>
        <w:tc>
          <w:p>
            <w:pPr>
              <w:pStyle w:val="Compact"/>
              <w:jc w:val="left"/>
            </w:pPr>
            <w:r>
              <w:t xml:space="preserve">b</w:t>
            </w:r>
          </w:p>
        </w:tc>
        <w:tc>
          <w:p>
            <w:pPr>
              <w:pStyle w:val="Compact"/>
              <w:jc w:val="left"/>
            </w:pPr>
            <w:r>
              <w:t xml:space="preserve">Aug</w:t>
            </w:r>
          </w:p>
        </w:tc>
        <w:tc>
          <w:p>
            <w:pPr>
              <w:pStyle w:val="Compact"/>
              <w:jc w:val="right"/>
            </w:pPr>
            <w:r>
              <w:t xml:space="preserve">12</w:t>
            </w:r>
          </w:p>
        </w:tc>
        <w:tc>
          <w:p>
            <w:pPr>
              <w:pStyle w:val="Compact"/>
              <w:jc w:val="left"/>
            </w:pPr>
            <w:r>
              <w:t xml:space="preserve">0.167 (0, 1.5)</w:t>
            </w:r>
          </w:p>
        </w:tc>
      </w:tr>
      <w:tr>
        <w:tc>
          <w:p/>
        </w:tc>
        <w:tc>
          <w:p/>
        </w:tc>
        <w:tc>
          <w:p/>
        </w:tc>
        <w:tc>
          <w:p>
            <w:pPr>
              <w:pStyle w:val="Compact"/>
              <w:jc w:val="left"/>
            </w:pPr>
            <w:r>
              <w:t xml:space="preserve">b</w:t>
            </w:r>
          </w:p>
        </w:tc>
        <w:tc>
          <w:p>
            <w:pPr>
              <w:pStyle w:val="Compact"/>
              <w:jc w:val="left"/>
            </w:pPr>
            <w:r>
              <w:t xml:space="preserve">Sep</w:t>
            </w:r>
          </w:p>
        </w:tc>
        <w:tc>
          <w:p>
            <w:pPr>
              <w:pStyle w:val="Compact"/>
              <w:jc w:val="right"/>
            </w:pPr>
            <w:r>
              <w:t xml:space="preserve">5</w:t>
            </w:r>
          </w:p>
        </w:tc>
        <w:tc>
          <w:p>
            <w:pPr>
              <w:pStyle w:val="Compact"/>
              <w:jc w:val="left"/>
            </w:pPr>
            <w:r>
              <w:t xml:space="preserve">0.167 (0, 0.833)</w:t>
            </w:r>
          </w:p>
        </w:tc>
      </w:tr>
      <w:tr>
        <w:tc>
          <w:p/>
        </w:tc>
        <w:tc>
          <w:p>
            <w:pPr>
              <w:pStyle w:val="Compact"/>
              <w:jc w:val="left"/>
            </w:pPr>
            <w:r>
              <w:t xml:space="preserve">Green</w:t>
            </w:r>
          </w:p>
        </w:tc>
        <w:tc>
          <w:p>
            <w:pPr>
              <w:pStyle w:val="Compact"/>
              <w:jc w:val="left"/>
            </w:pPr>
            <w:r>
              <w:t xml:space="preserve">5.61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1.667)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1.833)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1.167)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3.167)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 (0, 3.5)</w:t>
            </w:r>
          </w:p>
        </w:tc>
      </w:tr>
      <w:tr>
        <w:tc>
          <w:p/>
        </w:tc>
        <w:tc>
          <w:p>
            <w:pPr>
              <w:pStyle w:val="Compact"/>
              <w:jc w:val="left"/>
            </w:pPr>
            <w:r>
              <w:t xml:space="preserve">Cyanobacteria</w:t>
            </w:r>
          </w:p>
        </w:tc>
        <w:tc>
          <w:p>
            <w:pPr>
              <w:pStyle w:val="Compact"/>
              <w:jc w:val="left"/>
            </w:pPr>
            <w:r>
              <w:t xml:space="preserve">21.31**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19</w:t>
            </w:r>
          </w:p>
        </w:tc>
        <w:tc>
          <w:p>
            <w:pPr>
              <w:pStyle w:val="Compact"/>
              <w:jc w:val="left"/>
            </w:pPr>
            <w:r>
              <w:t xml:space="preserve">0 (0, 5)</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24</w:t>
            </w:r>
          </w:p>
        </w:tc>
        <w:tc>
          <w:p>
            <w:pPr>
              <w:pStyle w:val="Compact"/>
              <w:jc w:val="left"/>
            </w:pPr>
            <w:r>
              <w:t xml:space="preserve">0.333 (0, 4.833)</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Sep</w:t>
            </w:r>
          </w:p>
        </w:tc>
        <w:tc>
          <w:p>
            <w:pPr>
              <w:pStyle w:val="Compact"/>
              <w:jc w:val="right"/>
            </w:pPr>
            <w:r>
              <w:t xml:space="preserve">5</w:t>
            </w:r>
          </w:p>
        </w:tc>
        <w:tc>
          <w:p>
            <w:pPr>
              <w:pStyle w:val="Compact"/>
              <w:jc w:val="left"/>
            </w:pPr>
            <w:r>
              <w:t xml:space="preserve">0 (0, 0)</w:t>
            </w:r>
          </w:p>
        </w:tc>
      </w:tr>
    </w:tbl>
    <w:p/>
    <w:p>
      <w:pPr>
        <w:pStyle w:val="TableCaption"/>
      </w:pPr>
      <w:r>
        <w:t xml:space="preserve">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seagrass species Braun-Blanquet abundances by areas of interest (Figure 1a) and month. Overall signifance of differences of abundances between months for seagrass species and area combination are shown with Chi-squared statistics based on Kruskall-Wallis rank sum tests. Multiple comparisons with Mann-Whitney U tests (Comp. column) were used to evaluate pairwise monthly abudances for each seagrass species in each area. Rows that share a letter within each area and seagrass species combination have abunda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7.36</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1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1.083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0.667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0.583 (0, 3.667)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0.5 (0, 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0.667 (0, 4.333)</w:t>
            </w:r>
          </w:p>
        </w:tc>
      </w:tr>
      <w:tr>
        <w:tc>
          <w:p/>
        </w:tc>
        <w:tc>
          <w:p>
            <w:pPr>
              <w:pStyle w:val="Compact"/>
              <w:jc w:val="left"/>
            </w:pPr>
            <w:r>
              <w:t xml:space="preserve">Halodule wrightii</w:t>
            </w:r>
          </w:p>
        </w:tc>
        <w:tc>
          <w:p>
            <w:pPr>
              <w:pStyle w:val="Compact"/>
              <w:jc w:val="left"/>
            </w:pPr>
            <w:r>
              <w:t xml:space="preserve">2.49</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0.333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0.333 (0, 4.167)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0.333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0.25 (0,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0.167 (0, 2.5)</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0.5 (0, 4.667)</w:t>
            </w:r>
          </w:p>
        </w:tc>
      </w:tr>
      <w:tr>
        <w:tc>
          <w:p/>
        </w:tc>
        <w:tc>
          <w:p>
            <w:pPr>
              <w:pStyle w:val="Compact"/>
              <w:jc w:val="left"/>
            </w:pPr>
            <w:r>
              <w:t xml:space="preserve">Syringodium filiforme</w:t>
            </w:r>
          </w:p>
        </w:tc>
        <w:tc>
          <w:p>
            <w:pPr>
              <w:pStyle w:val="Compact"/>
              <w:jc w:val="left"/>
            </w:pPr>
            <w:r>
              <w:t xml:space="preserve">3.53</w:t>
            </w:r>
          </w:p>
        </w:tc>
        <w:tc>
          <w:p>
            <w:pPr>
              <w:pStyle w:val="Compact"/>
              <w:jc w:val="left"/>
            </w:pPr>
            <w:r>
              <w:t xml:space="preserve">a</w:t>
            </w:r>
          </w:p>
        </w:tc>
        <w:tc>
          <w:p>
            <w:pPr>
              <w:pStyle w:val="Compact"/>
              <w:jc w:val="left"/>
            </w:pPr>
            <w:r>
              <w:t xml:space="preserve">Apr</w:t>
            </w:r>
          </w:p>
        </w:tc>
        <w:tc>
          <w:p>
            <w:pPr>
              <w:pStyle w:val="Compact"/>
              <w:jc w:val="right"/>
            </w:pPr>
            <w:r>
              <w:t xml:space="preserve">45</w:t>
            </w:r>
          </w:p>
        </w:tc>
        <w:tc>
          <w:p>
            <w:pPr>
              <w:pStyle w:val="Compact"/>
              <w:jc w:val="left"/>
            </w:pPr>
            <w:r>
              <w:t xml:space="preserve">0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46</w:t>
            </w:r>
          </w:p>
        </w:tc>
        <w:tc>
          <w:p>
            <w:pPr>
              <w:pStyle w:val="Compact"/>
              <w:jc w:val="left"/>
            </w:pPr>
            <w:r>
              <w:t xml:space="preserve">0.083 (0, 3.667)</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45</w:t>
            </w:r>
          </w:p>
        </w:tc>
        <w:tc>
          <w:p>
            <w:pPr>
              <w:pStyle w:val="Compact"/>
              <w:jc w:val="left"/>
            </w:pPr>
            <w:r>
              <w:t xml:space="preserve">0 (0, 4)</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22</w:t>
            </w:r>
          </w:p>
        </w:tc>
        <w:tc>
          <w:p>
            <w:pPr>
              <w:pStyle w:val="Compact"/>
              <w:jc w:val="left"/>
            </w:pPr>
            <w:r>
              <w:t xml:space="preserve">0.417 (0, 3.167)</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31</w:t>
            </w:r>
          </w:p>
        </w:tc>
        <w:tc>
          <w:p>
            <w:pPr>
              <w:pStyle w:val="Compact"/>
              <w:jc w:val="left"/>
            </w:pPr>
            <w:r>
              <w:t xml:space="preserve">0 (0, 2.667)</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31</w:t>
            </w:r>
          </w:p>
        </w:tc>
        <w:tc>
          <w:p>
            <w:pPr>
              <w:pStyle w:val="Compact"/>
              <w:jc w:val="left"/>
            </w:pPr>
            <w:r>
              <w:t xml:space="preserve">0 (0, 3.167)</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12.96*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2.833 (0, 4.5)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2.167 (0, 5)</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2.417 (0, 4.833)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2.167 (1.167, 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0.75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1.833)</w:t>
            </w:r>
          </w:p>
        </w:tc>
      </w:tr>
      <w:tr>
        <w:tc>
          <w:p/>
        </w:tc>
        <w:tc>
          <w:p>
            <w:pPr>
              <w:pStyle w:val="Compact"/>
              <w:jc w:val="left"/>
            </w:pPr>
            <w:r>
              <w:t xml:space="preserve">Halodule wrightii</w:t>
            </w:r>
          </w:p>
        </w:tc>
        <w:tc>
          <w:p>
            <w:pPr>
              <w:pStyle w:val="Compact"/>
              <w:jc w:val="left"/>
            </w:pPr>
            <w:r>
              <w:t xml:space="preserve">2.81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3.667)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0.667 (0, 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0.75 (0, 2.833)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2.5)</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0.583 (0, 2)</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0.667 (0, 2)</w:t>
            </w:r>
          </w:p>
        </w:tc>
      </w:tr>
      <w:tr>
        <w:tc>
          <w:p/>
        </w:tc>
        <w:tc>
          <w:p>
            <w:pPr>
              <w:pStyle w:val="Compact"/>
              <w:jc w:val="left"/>
            </w:pPr>
            <w:r>
              <w:t xml:space="preserve">Syringodium filiforme</w:t>
            </w:r>
          </w:p>
        </w:tc>
        <w:tc>
          <w:p>
            <w:pPr>
              <w:pStyle w:val="Compact"/>
              <w:jc w:val="left"/>
            </w:pPr>
            <w:r>
              <w:t xml:space="preserve">1.74</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0.75 (0, 4.667)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19</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24</w:t>
            </w:r>
          </w:p>
        </w:tc>
        <w:tc>
          <w:p>
            <w:pPr>
              <w:pStyle w:val="Compact"/>
              <w:jc w:val="left"/>
            </w:pPr>
            <w:r>
              <w:t xml:space="preserve">0 (0, 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3.333)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12</w:t>
            </w:r>
          </w:p>
        </w:tc>
        <w:tc>
          <w:p>
            <w:pPr>
              <w:pStyle w:val="Compact"/>
              <w:jc w:val="left"/>
            </w:pPr>
            <w:r>
              <w:t xml:space="preserve">0.167 (0, 1.333)</w:t>
            </w:r>
          </w:p>
        </w:tc>
      </w:tr>
      <w:tr>
        <w:tc>
          <w:p/>
        </w:tc>
        <w:tc>
          <w:p/>
        </w:tc>
        <w:tc>
          <w:p/>
        </w:tc>
        <w:tc>
          <w:p>
            <w:pPr>
              <w:pStyle w:val="Compact"/>
              <w:jc w:val="left"/>
            </w:pPr>
            <w:r>
              <w:t xml:space="preserve">a</w:t>
            </w:r>
          </w:p>
        </w:tc>
        <w:tc>
          <w:p>
            <w:pPr>
              <w:pStyle w:val="Compact"/>
              <w:jc w:val="left"/>
            </w:pPr>
            <w:r>
              <w:t xml:space="preserve">Sep</w:t>
            </w:r>
          </w:p>
        </w:tc>
        <w:tc>
          <w:p>
            <w:pPr>
              <w:pStyle w:val="Compact"/>
              <w:jc w:val="right"/>
            </w:pPr>
            <w:r>
              <w:t xml:space="preserve">5</w:t>
            </w:r>
          </w:p>
        </w:tc>
        <w:tc>
          <w:p>
            <w:pPr>
              <w:pStyle w:val="Compact"/>
              <w:jc w:val="left"/>
            </w:pPr>
            <w:r>
              <w:t xml:space="preserve">0.333 (0, 1.333)</w:t>
            </w:r>
          </w:p>
        </w:tc>
      </w:tr>
    </w:tbl>
    <w:bookmarkEnd w:id="57"/>
    <w:bookmarkStart w:id="68" w:name="references"/>
    <w:p>
      <w:pPr>
        <w:pStyle w:val="Heading1"/>
      </w:pPr>
      <w:r>
        <w:t xml:space="preserve">References</w:t>
      </w:r>
    </w:p>
    <w:bookmarkStart w:id="67" w:name="refs"/>
    <w:bookmarkStart w:id="59"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58">
        <w:r>
          <w:rPr>
            <w:rStyle w:val="Hyperlink"/>
          </w:rPr>
          <w:t xml:space="preserve">https://doi.org/10.1016/j.marpolbul.2010.11.017</w:t>
        </w:r>
      </w:hyperlink>
    </w:p>
    <w:bookmarkEnd w:id="59"/>
    <w:bookmarkStart w:id="6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0"/>
    <w:bookmarkStart w:id="61" w:name="ref-Holm79"/>
    <w:p>
      <w:pPr>
        <w:pStyle w:val="Bibliography"/>
      </w:pPr>
      <w:r>
        <w:t xml:space="preserve">Holm, S., 1979. A simple sequentially rejective multiple test procedure. Scandinavian journal of statistics 65–70.</w:t>
      </w:r>
    </w:p>
    <w:bookmarkEnd w:id="61"/>
    <w:bookmarkStart w:id="62"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62"/>
    <w:bookmarkStart w:id="64"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63">
        <w:r>
          <w:rPr>
            <w:rStyle w:val="Hyperlink"/>
          </w:rPr>
          <w:t xml:space="preserve">https://doi.org/10.1353/sgo.2017.0026</w:t>
        </w:r>
      </w:hyperlink>
    </w:p>
    <w:bookmarkEnd w:id="64"/>
    <w:bookmarkStart w:id="65"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65"/>
    <w:bookmarkStart w:id="6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66"/>
    <w:bookmarkEnd w:id="67"/>
    <w:bookmarkEnd w:id="6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5" Target="media/rId55.jpg" /><Relationship Type="http://schemas.openxmlformats.org/officeDocument/2006/relationships/image" Id="rId54" Target="media/rId54.jpg" /><Relationship Type="http://schemas.openxmlformats.org/officeDocument/2006/relationships/image" Id="rId53" Target="media/rId53.jpg" /><Relationship Type="http://schemas.openxmlformats.org/officeDocument/2006/relationships/image" Id="rId51" Target="media/rId51.jpg" /><Relationship Type="http://schemas.openxmlformats.org/officeDocument/2006/relationships/image" Id="rId50" Target="media/rId50.jpg" /><Relationship Type="http://schemas.openxmlformats.org/officeDocument/2006/relationships/hyperlink" Id="rId45"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45" Target="http://ocgweb.marine.usf.edu/hab_tracking/wfcom_hab.html" TargetMode="External" /><Relationship Type="http://schemas.openxmlformats.org/officeDocument/2006/relationships/hyperlink" Id="rId58" Target="https://doi.org/10.1016/j.marpolbul.2010.11.017" TargetMode="External" /><Relationship Type="http://schemas.openxmlformats.org/officeDocument/2006/relationships/hyperlink" Id="rId63" Target="https://doi.org/10.1353/sgo.2017.0026" TargetMode="External" /><Relationship Type="http://schemas.openxmlformats.org/officeDocument/2006/relationships/hyperlink" Id="rId43" Target="https://drive.google.com/drive/u/0/folders/1oBGvjdve-Gpo4Kn3Ovn8a8-yVoP25eec" TargetMode="External" /><Relationship Type="http://schemas.openxmlformats.org/officeDocument/2006/relationships/hyperlink" Id="rId46" Target="https://habsos.noaa.gov/" TargetMode="External" /><Relationship Type="http://schemas.openxmlformats.org/officeDocument/2006/relationships/hyperlink" Id="rId47" Target="https://public.myfwc.com/fwri/FishKillReport/searchresults.aspx" TargetMode="External" /><Relationship Type="http://schemas.openxmlformats.org/officeDocument/2006/relationships/hyperlink" Id="rId44" Target="https://tbep.org/our-work/boards-committees/technical-advisory-committee/#ramp" TargetMode="External" /><Relationship Type="http://schemas.openxmlformats.org/officeDocument/2006/relationships/hyperlink" Id="rId34"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30"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8"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2" Target="mailto:elise.morrison@essie.ufl.edu" TargetMode="External" /><Relationship Type="http://schemas.openxmlformats.org/officeDocument/2006/relationships/hyperlink" Id="rId37" Target="mailto:esherwood@tbep.org" TargetMode="External" /><Relationship Type="http://schemas.openxmlformats.org/officeDocument/2006/relationships/hyperlink" Id="rId35"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gardiner@ncf.edu" TargetMode="External" /><Relationship Type="http://schemas.openxmlformats.org/officeDocument/2006/relationships/hyperlink" Id="rId28" Target="mailto:jlewis@tbep.org" TargetMode="External" /><Relationship Type="http://schemas.openxmlformats.org/officeDocument/2006/relationships/hyperlink" Id="rId41"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1" Target="mailto:miles.medina@ufl.edu" TargetMode="External" /><Relationship Type="http://schemas.openxmlformats.org/officeDocument/2006/relationships/hyperlink" Id="rId40" Target="mailto:nijole.wellendorf@floridadep.org" TargetMode="External" /><Relationship Type="http://schemas.openxmlformats.org/officeDocument/2006/relationships/hyperlink" Id="rId33" Target="mailto:phlips@ufl.edu" TargetMode="External" /><Relationship Type="http://schemas.openxmlformats.org/officeDocument/2006/relationships/hyperlink" Id="rId36" Target="mailto:sscolar@tbep.org" TargetMode="External" /><Relationship Type="http://schemas.openxmlformats.org/officeDocument/2006/relationships/hyperlink" Id="rId39" Target="mailto:weisberg@usf.edu" TargetMode="External" /><Relationship Type="http://schemas.openxmlformats.org/officeDocument/2006/relationships/hyperlink" Id="rId29"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Jayne Gardiner (jgardiner@ncf.edu),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2021-10-26T13:30:08Z</dcterms:created>
  <dcterms:modified xsi:type="dcterms:W3CDTF">2021-10-26T13:30:08Z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