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2">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3">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4">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5">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6">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7">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39"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discharge events to surficial and ground waters. For example, tropical storm Gabrielle in 2001 produced 33 centimeters of rain, causing over 38 million liters of discharge from Piney Point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discharge for 2021).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39"/>
    <w:bookmarkStart w:id="46"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0">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1">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at the time of the discharge event and weather restrictions on boating. As appropriate, water quality data were aggregated at the weekly scale and by major areas of interest (Figure 1a) given the hypothesized impacts adjacent to the discharge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2">
        <w:r>
          <w:rPr>
            <w:rStyle w:val="Hyperlink"/>
          </w:rPr>
          <w:t xml:space="preserve">http://ocgweb.marine.usf.edu/hab_tracking/wfcom_hab.html</w:t>
        </w:r>
      </w:hyperlink>
      <w:r>
        <w:t xml:space="preserve">) and from the Harmful Algal BloomS Observing System (</w:t>
      </w:r>
      <w:hyperlink r:id="rId43">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discharge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discharg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discharge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discharg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discharge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rPr>
                <w:iCs/>
                <w:i/>
              </w:rP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rPr>
                <w:iCs/>
                <w:i/>
              </w:rP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rPr>
                <w:iCs/>
                <w:i/>
              </w:rP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rPr>
                <w:iCs/>
                <w:i/>
              </w:rP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rPr>
                <w:iCs/>
                <w:i/>
              </w:rP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rPr>
                <w:iCs/>
                <w:i/>
              </w:rP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rPr>
                <w:iCs/>
                <w:i/>
              </w:rP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rPr>
                <w:iCs/>
                <w:i/>
              </w:rP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rPr>
                <w:iCs/>
                <w:i/>
              </w:rP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rPr>
                <w:iCs/>
                <w:i/>
              </w:rP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rPr>
                <w:iCs/>
                <w:i/>
              </w:rP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rPr>
                <w:iCs/>
                <w:i/>
              </w:rP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5"/>
    <w:bookmarkStart w:id="66" w:name="references"/>
    <w:p>
      <w:pPr>
        <w:pStyle w:val="Heading1"/>
      </w:pPr>
      <w:r>
        <w:t xml:space="preserve">References</w:t>
      </w:r>
    </w:p>
    <w:bookmarkStart w:id="65" w:name="refs"/>
    <w:bookmarkStart w:id="56"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56"/>
    <w:bookmarkStart w:id="58"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7">
        <w:r>
          <w:rPr>
            <w:rStyle w:val="Hyperlink"/>
          </w:rPr>
          <w:t xml:space="preserve">https://doi.org/10.1016/j.marpolbul.2010.11.017</w:t>
        </w:r>
      </w:hyperlink>
    </w:p>
    <w:bookmarkEnd w:id="58"/>
    <w:bookmarkStart w:id="5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9"/>
    <w:bookmarkStart w:id="60"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0"/>
    <w:bookmarkStart w:id="6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1">
        <w:r>
          <w:rPr>
            <w:rStyle w:val="Hyperlink"/>
          </w:rPr>
          <w:t xml:space="preserve">https://doi.org/10.1353/sgo.2017.0026</w:t>
        </w:r>
      </w:hyperlink>
    </w:p>
    <w:bookmarkEnd w:id="62"/>
    <w:bookmarkStart w:id="6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3"/>
    <w:bookmarkStart w:id="6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4"/>
    <w:bookmarkEnd w:id="65"/>
    <w:bookmarkEnd w:id="6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42" Target="http://ocgweb.marine.usf.edu/hab_tracking/wfcom_hab.html" TargetMode="External" /><Relationship Type="http://schemas.openxmlformats.org/officeDocument/2006/relationships/hyperlink" Id="rId57" Target="https://doi.org/10.1016/j.marpolbul.2010.11.017" TargetMode="External" /><Relationship Type="http://schemas.openxmlformats.org/officeDocument/2006/relationships/hyperlink" Id="rId61" Target="https://doi.org/10.1353/sgo.2017.0026" TargetMode="External" /><Relationship Type="http://schemas.openxmlformats.org/officeDocument/2006/relationships/hyperlink" Id="rId40" Target="https://drive.google.com/drive/u/0/folders/1oBGvjdve-Gpo4Kn3Ovn8a8-yVoP25eec" TargetMode="External" /><Relationship Type="http://schemas.openxmlformats.org/officeDocument/2006/relationships/hyperlink" Id="rId43" Target="https://habsos.noaa.gov/"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discharge into Tampa Bay, Florida</dc:title>
  <dc:creator>Marcus W. Beck (mbeck@tbep.org), Andrew Altieri (andrew.altieri@essie.ufl.edu), Christine Angelini (christine.angelini@essie.ufl.edu), Maya C. Burke (mburke@tbep.org), Jing Chen (jchen15@usf.edu), Diana W. Chin (diwchin@gmail.com), Jayne Gardiner (jgardiner@ncf.edu), Yonggang Liu (yliu@usf.edu), Cary Lopez (cary.lopez@myfwc.com), Miles Medina (miles.medina@ufl.edu), Elise Morrison (elise.morrison@essie.ufl.edu), Edward J. Phlips (phlips@ufl.edu),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2021-11-10T21:20:51Z</dcterms:created>
  <dcterms:modified xsi:type="dcterms:W3CDTF">2021-11-10T21:20:51Z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