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jpg" ContentType="image/jpeg"/>
  <Override PartName="/word/media/rId50.jpg" ContentType="image/jpeg"/>
  <Override PartName="/word/media/rId56.jpg" ContentType="image/jpeg"/>
  <Override PartName="/word/media/rId55.jpg" ContentType="image/jpeg"/>
  <Override PartName="/word/media/rId54.jpg" ContentType="image/jpeg"/>
  <Override PartName="/word/media/rId52.jpg" ContentType="image/jpeg"/>
  <Override PartName="/word/media/rId5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2">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3">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4">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5">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6">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7">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1"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and citable at:</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39">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to evaluate changing water quality conditions as new data become available. The dashboard is available at</w:t>
      </w:r>
      <w:r>
        <w:t xml:space="preserve"> </w:t>
      </w:r>
      <w:hyperlink r:id="rId40">
        <w:r>
          <w:rPr>
            <w:rStyle w:val="Hyperlink"/>
          </w:rPr>
          <w:t xml:space="preserve">https://shiny.tbep.org</w:t>
        </w:r>
      </w:hyperlink>
      <w:r>
        <w:t xml:space="preserve"> </w:t>
      </w:r>
      <w:r>
        <w:t xml:space="preserve">and citable at</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1"/>
    <w:bookmarkStart w:id="42"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2"/>
    <w:bookmarkStart w:id="49"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3">
        <w:r>
          <w:rPr>
            <w:rStyle w:val="Hyperlink"/>
          </w:rPr>
          <w:t xml:space="preserve">Interagency Monitoring Project Plan</w:t>
        </w:r>
      </w:hyperlink>
      <w:r>
        <w:t xml:space="preserve"> </w:t>
      </w:r>
      <w:r>
        <w:t xml:space="preserve">maintained by the TBEP in agreement with USEPA standards and those of the inter-agency partners.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4">
        <w:r>
          <w:rPr>
            <w:rStyle w:val="Hyperlink"/>
          </w:rPr>
          <w:t xml:space="preserve">Regional Ambient Monitoring Program</w:t>
        </w:r>
      </w:hyperlink>
      <w:r>
        <w:t xml:space="preserve"> </w:t>
      </w:r>
      <w:r>
        <w:t xml:space="preserve">(RAMP) that ensures similar standards and protocols are followed in the collection and processing of monitoring data, including routine cross-reference of samples between laboratories to check precision of measured values. Discrete water quality samples were taken primarily from surface grabs by boat and processed for relevant parameters (see below) by the respective laboratories of each participating agency. Surface samples requiring laboratory analysis (e.g., nutrient assays) were obtained primarily from bottle collection at the surface, whereas in situ measurements were available for many parameters (e.g., dissolved oxygen, secchi depth, etc.). In situ measurements were collected using common monitoring equipment, such as YSI sondes or Seabird CTD casts depending on monitoring agency. Laboratory methods used to process samples were based on accepted procedures promoted through the Southwest Florida RAMP.</w:t>
      </w:r>
    </w:p>
    <w:p>
      <w:pPr>
        <w:pStyle w:val="BodyText"/>
      </w:pPr>
      <w:r>
        <w:t xml:space="preserve">For data analysis in this paper, we focus on water quality parameters related to the Tampa Bay nutrient management paradigm and the expected phytoplankton response from a dense, inorganic nitrogen plume entering the bay. This included statistical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(C), and dissolved oxygen saturation (%) were also evaluated given the role these parameters can have as indicators of surface water contamination (pH), physical drivers of primary production (salinity, temperature), and indicators of primary production and respiration (dissolved oxygen, mg/L). Overall, sample frequency was approximately biweekly over the subsequent months, with some variability given agency resource limitations during the event and weather restrictions on boating. As appropriate, water quality data were aggregated at the weekly scale and by major areas of interest (Figure 1a) given the hypothesized impacts adjacent to the release site as indicated by the TBCOM tracer model simulated plume patterns.</w:t>
      </w:r>
    </w:p>
    <w:p>
      <w:pPr>
        <w:pStyle w:val="BodyText"/>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5">
        <w:r>
          <w:rPr>
            <w:rStyle w:val="Hyperlink"/>
          </w:rPr>
          <w:t xml:space="preserve">http://ocgweb.marine.usf.edu/hab_tracking/wfcom_hab.html</w:t>
        </w:r>
      </w:hyperlink>
      <w:r>
        <w:t xml:space="preserve">) and from the Harmful Algal BloomS Observing System (</w:t>
      </w:r>
      <w:hyperlink r:id="rId46">
        <w:r>
          <w:rPr>
            <w:rStyle w:val="Hyperlink"/>
          </w:rPr>
          <w:t xml:space="preserve">HABSOS</w:t>
        </w:r>
      </w:hyperlink>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7">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8">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9"/>
    <w:bookmarkStart w:id="57"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5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release are shown in thick lines (+/- 95% confidence), with observed samples overlaid on the plots to emphasize deviation of 2021 data from historical seasonal estimates. Forecasted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6"/>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7"/>
    <w:bookmarkStart w:id="58"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8"/>
    <w:bookmarkStart w:id="72" w:name="references"/>
    <w:p>
      <w:pPr>
        <w:pStyle w:val="Heading1"/>
      </w:pPr>
      <w:r>
        <w:t xml:space="preserve">References</w:t>
      </w:r>
    </w:p>
    <w:bookmarkStart w:id="71" w:name="refs"/>
    <w:bookmarkStart w:id="60" w:name="ref-Beck21c"/>
    <w:p>
      <w:pPr>
        <w:pStyle w:val="Bibliography"/>
      </w:pPr>
      <w:r>
        <w:t xml:space="preserve">Beck, M.W., Burke, M.C., Raulerson, G.E., Scolaro, S.C., Sherwood, E.T., Whalen, J.D., 2021. Tbep-tech/piney-point: v1.0.0. Zenodo.</w:t>
      </w:r>
      <w:r>
        <w:t xml:space="preserve"> </w:t>
      </w:r>
      <w:hyperlink r:id="rId59">
        <w:r>
          <w:rPr>
            <w:rStyle w:val="Hyperlink"/>
          </w:rPr>
          <w:t xml:space="preserve">https://doi.org/10.5281/zenodo.4666494</w:t>
        </w:r>
      </w:hyperlink>
    </w:p>
    <w:bookmarkEnd w:id="60"/>
    <w:bookmarkStart w:id="61"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1"/>
    <w:bookmarkStart w:id="63"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2">
        <w:r>
          <w:rPr>
            <w:rStyle w:val="Hyperlink"/>
          </w:rPr>
          <w:t xml:space="preserve">https://doi.org/10.1016/j.marpolbul.2010.11.017</w:t>
        </w:r>
      </w:hyperlink>
    </w:p>
    <w:bookmarkEnd w:id="63"/>
    <w:bookmarkStart w:id="6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4"/>
    <w:bookmarkStart w:id="6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5"/>
    <w:bookmarkStart w:id="6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6">
        <w:r>
          <w:rPr>
            <w:rStyle w:val="Hyperlink"/>
          </w:rPr>
          <w:t xml:space="preserve">https://doi.org/10.1353/sgo.2017.0026</w:t>
        </w:r>
      </w:hyperlink>
    </w:p>
    <w:bookmarkEnd w:id="67"/>
    <w:bookmarkStart w:id="68"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8"/>
    <w:bookmarkStart w:id="69"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9"/>
    <w:bookmarkStart w:id="70" w:name="ref-Xie20"/>
    <w:p>
      <w:pPr>
        <w:pStyle w:val="Bibliography"/>
      </w:pPr>
      <w:r>
        <w:t xml:space="preserve">Xie, Y., Dervieux, C., Riederer, E., 2020. R markdown cookbook. Chapman; Hall/CRC, Boca Raton, Florida.</w:t>
      </w:r>
    </w:p>
    <w:bookmarkEnd w:id="70"/>
    <w:bookmarkEnd w:id="71"/>
    <w:bookmarkEnd w:id="72"/>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jpg" /><Relationship Type="http://schemas.openxmlformats.org/officeDocument/2006/relationships/image" Id="rId50" Target="media/rId50.jpg" /><Relationship Type="http://schemas.openxmlformats.org/officeDocument/2006/relationships/image" Id="rId56" Target="media/rId56.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hyperlink" Id="rId48" Target="http://blogs.ifas.ufl.edu/news/2019/03/19/citizen-scientists-needed-to-survey-seagrass-seaweed-in-charlotte-harbor/" TargetMode="External" /><Relationship Type="http://schemas.openxmlformats.org/officeDocument/2006/relationships/hyperlink" Id="rId45" Target="http://ocgweb.marine.usf.edu/hab_tracking/wfcom_hab.html"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39" Target="https://github.com/tbep-tech/piney-point-manu"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0" Target="https://shiny.tbep.org"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o@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8" Target="http://blogs.ifas.ufl.edu/news/2019/03/19/citizen-scientists-needed-to-survey-seagrass-seaweed-in-charlotte-harbor/" TargetMode="External" /><Relationship Type="http://schemas.openxmlformats.org/officeDocument/2006/relationships/hyperlink" Id="rId45" Target="http://ocgweb.marine.usf.edu/hab_tracking/wfcom_hab.html" TargetMode="External" /><Relationship Type="http://schemas.openxmlformats.org/officeDocument/2006/relationships/hyperlink" Id="rId62" Target="https://doi.org/10.1016/j.marpolbul.2010.11.017" TargetMode="External" /><Relationship Type="http://schemas.openxmlformats.org/officeDocument/2006/relationships/hyperlink" Id="rId66" Target="https://doi.org/10.1353/sgo.2017.0026" TargetMode="External" /><Relationship Type="http://schemas.openxmlformats.org/officeDocument/2006/relationships/hyperlink" Id="rId59" Target="https://doi.org/10.5281/zenodo.4666494"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39" Target="https://github.com/tbep-tech/piney-point-manu"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0" Target="https://shiny.tbep.org"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5"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0" Target="mailto:elise.morrison@essie.ufl.edu" TargetMode="External" /><Relationship Type="http://schemas.openxmlformats.org/officeDocument/2006/relationships/hyperlink" Id="rId34" Target="mailto:esherwood@tbep.org" TargetMode="External" /><Relationship Type="http://schemas.openxmlformats.org/officeDocument/2006/relationships/hyperlink" Id="rId32"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7"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3" Target="mailto:sscolaro@tbep.org" TargetMode="External" /><Relationship Type="http://schemas.openxmlformats.org/officeDocument/2006/relationships/hyperlink" Id="rId36"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Bob Weisberg (weisberg@usf.edu), Nijole Wellendorf (nijole.wellendorf@floridadep.org), Joe Whalen (jwhalen@tbep.org)</dc:creator>
  <cp:keywords/>
  <dcterms:created xsi:type="dcterms:W3CDTF">2021-12-01T19:43:14Z</dcterms:created>
  <dcterms:modified xsi:type="dcterms:W3CDTF">2021-12-01T19:43:14Z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