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3.jpg" ContentType="image/jpeg"/>
  <Override PartName="/word/media/rId40.jpg" ContentType="image/jpeg"/>
  <Override PartName="/word/media/rId34.jpg" ContentType="image/jpeg"/>
  <Override PartName="/word/media/rId37.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discharage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talk</w:t>
      </w:r>
      <w:r>
        <w:t xml:space="preserve"> </w:t>
      </w:r>
      <w:r>
        <w:t xml:space="preserve">will</w:t>
      </w:r>
      <w:r>
        <w:t xml:space="preserve"> </w:t>
      </w:r>
      <w:r>
        <w:t xml:space="preserve">discuss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will</w:t>
      </w:r>
      <w:r>
        <w:t xml:space="preserve"> </w:t>
      </w:r>
      <w:r>
        <w:t xml:space="preserve">also</w:t>
      </w:r>
      <w:r>
        <w:t xml:space="preserve"> </w:t>
      </w:r>
      <w:r>
        <w:t xml:space="preserve">be</w:t>
      </w:r>
      <w:r>
        <w:t xml:space="preserve"> </w:t>
      </w:r>
      <w:r>
        <w:t xml:space="preserve">discussed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2022-05-16 13:42:14</w:t>
      </w:r>
    </w:p>
    <w:p>
      <w:r>
        <w:br w:type="page"/>
      </w:r>
    </w:p>
    <w:bookmarkStart w:id="26" w:name="introduction"/>
    <w:p>
      <w:pPr>
        <w:pStyle w:val="Heading1"/>
      </w:pPr>
      <w:r>
        <w:t xml:space="preserve">Introduction</w:t>
      </w:r>
    </w:p>
    <w:p>
      <w:pPr>
        <w:numPr>
          <w:ilvl w:val="0"/>
          <w:numId w:val="1001"/>
        </w:numPr>
        <w:pStyle w:val="Compact"/>
      </w:pPr>
      <w:r>
        <w:t xml:space="preserve">Piney Point background</w:t>
      </w:r>
    </w:p>
    <w:p>
      <w:pPr>
        <w:numPr>
          <w:ilvl w:val="0"/>
          <w:numId w:val="1001"/>
        </w:numPr>
        <w:pStyle w:val="Compact"/>
      </w:pPr>
      <w:r>
        <w:t xml:space="preserve">Monitoring response</w:t>
      </w:r>
    </w:p>
    <w:p>
      <w:pPr>
        <w:numPr>
          <w:ilvl w:val="0"/>
          <w:numId w:val="1001"/>
        </w:numPr>
        <w:pStyle w:val="Compact"/>
      </w:pPr>
      <w:r>
        <w:t xml:space="preserve">Challenges with data synthesis and need for rapid assessment tools, TBEP commitment to OS</w:t>
      </w:r>
    </w:p>
    <w:p>
      <w:pPr>
        <w:pStyle w:val="FirstParagraph"/>
      </w:pPr>
      <w:r>
        <w:t xml:space="preserve">This paper describe the data synthesis and communication tools that were used during the 2021 Piney Point release into Tampa Bay, Florida. We focus specifically on the open science methods and products that were created to organize, contextualize, and communicate these data, including the Piney Point environmental monitoring dashboard developed by the Tampa Bay Estuary Program to rapidly deliver results for data collected in near real-time. A discussion of the technical and philosophical challenges of synthesizing data from multiple disparate sources, as well as the lessons learned, is also provided to inform future response-based monitoring efforts.</w:t>
      </w:r>
    </w:p>
    <w:bookmarkEnd w:id="26"/>
    <w:bookmarkStart w:id="28" w:name="data-collection-and-synthesis"/>
    <w:p>
      <w:pPr>
        <w:pStyle w:val="Heading1"/>
      </w:pPr>
      <w:r>
        <w:t xml:space="preserve">Data collection and synthesis</w:t>
      </w:r>
    </w:p>
    <w:p>
      <w:pPr>
        <w:pStyle w:val="FirstParagraph"/>
      </w:pPr>
      <w:r>
        <w:t xml:space="preserve">Monitoring of bay resources in response to release from Piney Point began in late March of 2021 and continued through the summer and early fall. Dozens of local and state institutions conducted monitoring of water quality, phytoplankton (including the red tide organism</w:t>
      </w:r>
      <w:r>
        <w:t xml:space="preserve"> </w:t>
      </w:r>
      <w:r>
        <w:rPr>
          <w:iCs/>
          <w:i/>
        </w:rPr>
        <w:t xml:space="preserve">Karenia brevis</w:t>
      </w:r>
      <w:r>
        <w:t xml:space="preserve">), seagrasses, macroalgae, and benthic habitats. Monitoring partners included the Florida Department of Environmental Protection (FDEP), Environmental Protection Commission (EPC) of Hillsborough County, Parks and Natural Resources Department of Manatee County, Pinellas County Division of Environmental Management, Fish and Wildlife Research Institute (FWRI) of the Florida Fish and Wildlife Conservation Commission (FWC), City of St. Petersburg, Tampa Bay Estuary Program (TBEP), Sarasota Bay Estuary Program, Environmental Science Associates, University of South Florida, University of Florida, and New College of Florida (Figure</w:t>
      </w:r>
      <w:r>
        <w:t xml:space="preserve"> </w:t>
      </w:r>
      <w:r>
        <w:t xml:space="preserve">1</w:t>
      </w:r>
      <w:r>
        <w:t xml:space="preserve">). Coordination among monitoring agencies was facilitated by the TBEP and under guidance of a plume simulation model run by the Ocean Circulation Lab at the University of South Florida (USF), College of Marine Science</w:t>
      </w:r>
      <w:r>
        <w:t xml:space="preserve"> </w:t>
      </w:r>
      <w:r>
        <w:t xml:space="preserve">(</w:t>
      </w:r>
      <w:hyperlink w:anchor="ref-Chen18">
        <w:r>
          <w:rPr>
            <w:rStyle w:val="Hyperlink"/>
          </w:rPr>
          <w:t xml:space="preserve">Chen et al. 2018</w:t>
        </w:r>
      </w:hyperlink>
      <w:r>
        <w:t xml:space="preserve">,</w:t>
      </w:r>
      <w:r>
        <w:t xml:space="preserve"> </w:t>
      </w:r>
      <w:hyperlink w:anchor="ref-Chen19">
        <w:r>
          <w:rPr>
            <w:rStyle w:val="Hyperlink"/>
          </w:rPr>
          <w:t xml:space="preserve">2019</w:t>
        </w:r>
      </w:hyperlink>
      <w:r>
        <w:t xml:space="preserve">)</w:t>
      </w:r>
      <w:r>
        <w:t xml:space="preserve">. Initial effort was focused near the release site at Port Manatee (Figure</w:t>
      </w:r>
      <w:r>
        <w:t xml:space="preserve"> </w:t>
      </w:r>
      <w:r>
        <w:t xml:space="preserve">1</w:t>
      </w:r>
      <w:r>
        <w:t xml:space="preserve">), but later expanded throughout middle and lower Tampa Bay, Boca Ciega Bay, Manatee River, and Sarasota Bay as the simulation model predicted dispersal of the plume elsewhere</w:t>
      </w:r>
      <w:r>
        <w:t xml:space="preserve"> </w:t>
      </w:r>
      <w:r>
        <w:t xml:space="preserve">(</w:t>
      </w:r>
      <w:hyperlink w:anchor="ref-Liu21">
        <w:r>
          <w:rPr>
            <w:rStyle w:val="Hyperlink"/>
          </w:rPr>
          <w:t xml:space="preserve">Liu et al. 2021</w:t>
        </w:r>
      </w:hyperlink>
      <w:r>
        <w:t xml:space="preserve">)</w:t>
      </w:r>
      <w:r>
        <w:t xml:space="preserve">. Sampling effort was most intense in April, with less frequent sampling from May through September, although seagrass and macroalgae sampling was consistent throughout the study period (Table</w:t>
      </w:r>
      <w:r>
        <w:t xml:space="preserve"> </w:t>
      </w:r>
      <w:r>
        <w:t xml:space="preserve">1</w:t>
      </w:r>
      <w:r>
        <w:t xml:space="preserve">).</w:t>
      </w:r>
    </w:p>
    <w:p>
      <w:pPr>
        <w:pStyle w:val="BodyText"/>
      </w:pPr>
      <w:r>
        <w:t xml:space="preserve">Water quality monitoring focused on parameters that were expected to indicate a response to elevated nutrient loads from the release from Piney Point. Because Tampa Bay is a nitrogen-limited system</w:t>
      </w:r>
      <w:r>
        <w:t xml:space="preserve"> </w:t>
      </w:r>
      <w:r>
        <w:t xml:space="preserve">(</w:t>
      </w:r>
      <w:hyperlink w:anchor="ref-Wang99">
        <w:r>
          <w:rPr>
            <w:rStyle w:val="Hyperlink"/>
          </w:rPr>
          <w:t xml:space="preserve">Wang et al. 1999</w:t>
        </w:r>
      </w:hyperlink>
      <w:r>
        <w:t xml:space="preserve">;</w:t>
      </w:r>
      <w:r>
        <w:t xml:space="preserve"> </w:t>
      </w:r>
      <w:hyperlink w:anchor="ref-Greening06">
        <w:r>
          <w:rPr>
            <w:rStyle w:val="Hyperlink"/>
          </w:rPr>
          <w:t xml:space="preserve">Greening &amp; Janicki 2006</w:t>
        </w:r>
      </w:hyperlink>
      <w:r>
        <w:t xml:space="preserve">;</w:t>
      </w:r>
      <w:r>
        <w:t xml:space="preserve"> </w:t>
      </w:r>
      <w:hyperlink w:anchor="ref-Greening14">
        <w:r>
          <w:rPr>
            <w:rStyle w:val="Hyperlink"/>
          </w:rPr>
          <w:t xml:space="preserve">Greening et al. 2014</w:t>
        </w:r>
      </w:hyperlink>
      <w:r>
        <w:t xml:space="preserve">)</w:t>
      </w:r>
      <w:r>
        <w:t xml:space="preserve">, water quality samples were processed for total nitrogen and inorganic forms (i.e., total ammonia nitrogen, nitrate/nitrite), chlorophyll-a as an indication of phytoplankton growth, and additional parameters expected to respond to nutrient loading (e.g., secchi depth, dissolved oxygen). Phytoplankton monitoring included both qualitative (presence/absence) and quantitative (cells/L) summaries of taxa enumerated by microscopy from water samples taken at similar frequency and distribution as the water quality sites. Phytoplankton data also included event-based sampling for</w:t>
      </w:r>
      <w:r>
        <w:t xml:space="preserve"> </w:t>
      </w:r>
      <w:r>
        <w:rPr>
          <w:iCs/>
          <w:i/>
        </w:rPr>
        <w:t xml:space="preserve">Karenia brevis</w:t>
      </w:r>
      <w:r>
        <w:t xml:space="preserve">. Finally, seagrass and macroalgae data were collected by transect sampling at locations on the southern shore of Tampa Bay near Piney Point. Transect sampling included identification of seagrass species and macroalgae, typically to genus, and Braun-Blanquet abundance estimates at 10 m distances along each 50 m transect. Details on all sampling methods are provided in</w:t>
      </w:r>
      <w:r>
        <w:t xml:space="preserve"> </w:t>
      </w:r>
      <w:r>
        <w:t xml:space="preserve">Beck et al. (</w:t>
      </w:r>
      <w:hyperlink w:anchor="ref-Beck22">
        <w:r>
          <w:rPr>
            <w:rStyle w:val="Hyperlink"/>
          </w:rPr>
          <w:t xml:space="preserve">2022</w:t>
        </w:r>
      </w:hyperlink>
      <w:r>
        <w:t xml:space="preserve">)</w:t>
      </w:r>
      <w:r>
        <w:t xml:space="preserve">.</w:t>
      </w:r>
    </w:p>
    <w:p>
      <w:pPr>
        <w:pStyle w:val="BodyText"/>
      </w:pPr>
      <w:r>
        <w:t xml:space="preserve">The synthesis of data from multiple partners included several challenges that TBEP staff addressed by employing open science principles within the time and resource limitations of the event. First, a centralized location for sharing data was required as a starting location for the synthesis effort. Partner agencies were requested to voluntarily upload their data to a publicly accessible Google Drive folder, or share via email with TBEP staff for upload if access issues to the main drive were encountered. Datasets were also downloaded by TBEP staff from source (e.g., FDEP,</w:t>
      </w:r>
      <w:r>
        <w:t xml:space="preserve"> </w:t>
      </w:r>
      <w:hyperlink r:id="rId27">
        <w:r>
          <w:rPr>
            <w:rStyle w:val="Hyperlink"/>
          </w:rPr>
          <w:t xml:space="preserve">https://floridadep.gov/dear/dear/content/tampa-bay-sampling-response-and-results</w:t>
        </w:r>
      </w:hyperlink>
      <w:r>
        <w:t xml:space="preserve">) and uploaded to the Google Drive. Although more formal data hosting services that included full metadata</w:t>
      </w:r>
    </w:p>
    <w:p>
      <w:pPr>
        <w:numPr>
          <w:ilvl w:val="0"/>
          <w:numId w:val="1002"/>
        </w:numPr>
        <w:pStyle w:val="Compact"/>
      </w:pPr>
      <w:r>
        <w:t xml:space="preserve">Synthesis workflow Figure</w:t>
      </w:r>
      <w:r>
        <w:t xml:space="preserve"> </w:t>
      </w:r>
      <w:r>
        <w:t xml:space="preserve">2</w:t>
      </w:r>
    </w:p>
    <w:p>
      <w:pPr>
        <w:numPr>
          <w:ilvl w:val="1"/>
          <w:numId w:val="1003"/>
        </w:numPr>
        <w:pStyle w:val="Compact"/>
      </w:pPr>
      <w:r>
        <w:t xml:space="preserve">Challenges - multiple streams, messy AF</w:t>
      </w:r>
    </w:p>
    <w:p>
      <w:pPr>
        <w:numPr>
          <w:ilvl w:val="1"/>
          <w:numId w:val="1003"/>
        </w:numPr>
        <w:pStyle w:val="Compact"/>
      </w:pPr>
      <w:r>
        <w:t xml:space="preserve">Solutions - centralized data uploads, R tools for synthesis (import, testing, app integration)</w:t>
      </w:r>
    </w:p>
    <w:p>
      <w:pPr>
        <w:numPr>
          <w:ilvl w:val="1"/>
          <w:numId w:val="1003"/>
        </w:numPr>
        <w:pStyle w:val="Compact"/>
      </w:pPr>
      <w:r>
        <w:t xml:space="preserve">Sorta unified data structure (but see metadata section)</w:t>
      </w:r>
    </w:p>
    <w:p>
      <w:pPr>
        <w:numPr>
          <w:ilvl w:val="0"/>
          <w:numId w:val="1002"/>
        </w:numPr>
        <w:pStyle w:val="Compact"/>
      </w:pPr>
      <w:r>
        <w:t xml:space="preserve">Repository setup - synthesis and app,</w:t>
      </w:r>
      <w:r>
        <w:t xml:space="preserve"> </w:t>
      </w:r>
      <w:r>
        <w:t xml:space="preserve">Beck (</w:t>
      </w:r>
      <w:hyperlink w:anchor="ref-Beck21d">
        <w:r>
          <w:rPr>
            <w:rStyle w:val="Hyperlink"/>
          </w:rPr>
          <w:t xml:space="preserve">2021</w:t>
        </w:r>
      </w:hyperlink>
      <w:r>
        <w:t xml:space="preserve">)</w:t>
      </w:r>
    </w:p>
    <w:bookmarkEnd w:id="28"/>
    <w:bookmarkStart w:id="31" w:name="the-piney-point-dashboard"/>
    <w:p>
      <w:pPr>
        <w:pStyle w:val="Heading1"/>
      </w:pPr>
      <w:r>
        <w:t xml:space="preserve">The Piney Point Dashboard</w:t>
      </w:r>
    </w:p>
    <w:bookmarkStart w:id="29" w:name="setup"/>
    <w:p>
      <w:pPr>
        <w:pStyle w:val="Heading2"/>
      </w:pPr>
      <w:r>
        <w:t xml:space="preserve">Setup</w:t>
      </w:r>
    </w:p>
    <w:p>
      <w:pPr>
        <w:numPr>
          <w:ilvl w:val="0"/>
          <w:numId w:val="1004"/>
        </w:numPr>
        <w:pStyle w:val="Compact"/>
      </w:pPr>
      <w:r>
        <w:t xml:space="preserve">App creation and hosting, Figure</w:t>
      </w:r>
      <w:r>
        <w:t xml:space="preserve"> </w:t>
      </w:r>
      <w:r>
        <w:t xml:space="preserve">3</w:t>
      </w:r>
      <w:r>
        <w:t xml:space="preserve">,</w:t>
      </w:r>
      <w:r>
        <w:t xml:space="preserve"> </w:t>
      </w:r>
      <w:r>
        <w:t xml:space="preserve">Beck et al. (</w:t>
      </w:r>
      <w:hyperlink w:anchor="ref-Beck21c">
        <w:r>
          <w:rPr>
            <w:rStyle w:val="Hyperlink"/>
          </w:rPr>
          <w:t xml:space="preserve">2021</w:t>
        </w:r>
      </w:hyperlink>
      <w:r>
        <w:t xml:space="preserve">)</w:t>
      </w:r>
    </w:p>
    <w:p>
      <w:pPr>
        <w:numPr>
          <w:ilvl w:val="0"/>
          <w:numId w:val="1004"/>
        </w:numPr>
        <w:pStyle w:val="Compact"/>
      </w:pPr>
      <w:r>
        <w:t xml:space="preserve">App structure - backend</w:t>
      </w:r>
    </w:p>
    <w:p>
      <w:pPr>
        <w:numPr>
          <w:ilvl w:val="1"/>
          <w:numId w:val="1005"/>
        </w:numPr>
        <w:pStyle w:val="Compact"/>
      </w:pPr>
      <w:r>
        <w:t xml:space="preserve">R/dat_proc.R to data folder, logs</w:t>
      </w:r>
    </w:p>
    <w:p>
      <w:pPr>
        <w:numPr>
          <w:ilvl w:val="1"/>
          <w:numId w:val="1005"/>
        </w:numPr>
        <w:pStyle w:val="Compact"/>
      </w:pPr>
      <w:r>
        <w:t xml:space="preserve">Testing why and how (testthat, GitHub Actions)</w:t>
      </w:r>
    </w:p>
    <w:p>
      <w:pPr>
        <w:numPr>
          <w:ilvl w:val="1"/>
          <w:numId w:val="1005"/>
        </w:numPr>
        <w:pStyle w:val="Compact"/>
      </w:pPr>
      <w:r>
        <w:t xml:space="preserve">Rmarkdown w/ flexdashboard: Dependencies/globals, reactives, UI setup with text descriptions and dynamic inputs</w:t>
      </w:r>
    </w:p>
    <w:p>
      <w:pPr>
        <w:numPr>
          <w:ilvl w:val="1"/>
          <w:numId w:val="1005"/>
        </w:numPr>
        <w:pStyle w:val="Compact"/>
      </w:pPr>
      <w:r>
        <w:t xml:space="preserve">CSS styling</w:t>
      </w:r>
    </w:p>
    <w:p>
      <w:pPr>
        <w:numPr>
          <w:ilvl w:val="1"/>
          <w:numId w:val="1005"/>
        </w:numPr>
        <w:pStyle w:val="Compact"/>
      </w:pPr>
      <w:r>
        <w:t xml:space="preserve">Google Analytics js</w:t>
      </w:r>
    </w:p>
    <w:p>
      <w:pPr>
        <w:numPr>
          <w:ilvl w:val="0"/>
          <w:numId w:val="1004"/>
        </w:numPr>
        <w:pStyle w:val="Compact"/>
      </w:pPr>
      <w:r>
        <w:t xml:space="preserve">App structure - frontend</w:t>
      </w:r>
    </w:p>
    <w:p>
      <w:pPr>
        <w:numPr>
          <w:ilvl w:val="1"/>
          <w:numId w:val="1006"/>
        </w:numPr>
        <w:pStyle w:val="Compact"/>
      </w:pPr>
      <w:r>
        <w:t xml:space="preserve">Landing page</w:t>
      </w:r>
    </w:p>
    <w:p>
      <w:pPr>
        <w:numPr>
          <w:ilvl w:val="1"/>
          <w:numId w:val="1006"/>
        </w:numPr>
        <w:pStyle w:val="Compact"/>
      </w:pPr>
      <w:r>
        <w:t xml:space="preserve">Current data</w:t>
      </w:r>
    </w:p>
    <w:p>
      <w:pPr>
        <w:numPr>
          <w:ilvl w:val="2"/>
          <w:numId w:val="1007"/>
        </w:numPr>
        <w:pStyle w:val="Compact"/>
      </w:pPr>
      <w:r>
        <w:t xml:space="preserve">Water quality results</w:t>
      </w:r>
    </w:p>
    <w:p>
      <w:pPr>
        <w:numPr>
          <w:ilvl w:val="2"/>
          <w:numId w:val="1007"/>
        </w:numPr>
        <w:pStyle w:val="Compact"/>
      </w:pPr>
      <w:r>
        <w:t xml:space="preserve">Algal surveys</w:t>
      </w:r>
    </w:p>
    <w:p>
      <w:pPr>
        <w:numPr>
          <w:ilvl w:val="2"/>
          <w:numId w:val="1007"/>
        </w:numPr>
        <w:pStyle w:val="Compact"/>
      </w:pPr>
      <w:r>
        <w:t xml:space="preserve">Seagrass/macroalgae</w:t>
      </w:r>
    </w:p>
    <w:p>
      <w:pPr>
        <w:numPr>
          <w:ilvl w:val="2"/>
          <w:numId w:val="1007"/>
        </w:numPr>
        <w:pStyle w:val="Compact"/>
      </w:pPr>
      <w:r>
        <w:t xml:space="preserve">Contaminants</w:t>
      </w:r>
    </w:p>
    <w:p>
      <w:pPr>
        <w:numPr>
          <w:ilvl w:val="2"/>
          <w:numId w:val="1007"/>
        </w:numPr>
        <w:pStyle w:val="Compact"/>
      </w:pPr>
      <w:r>
        <w:t xml:space="preserve">Benthic</w:t>
      </w:r>
    </w:p>
    <w:p>
      <w:pPr>
        <w:numPr>
          <w:ilvl w:val="1"/>
          <w:numId w:val="1006"/>
        </w:numPr>
        <w:pStyle w:val="Compact"/>
      </w:pPr>
      <w:r>
        <w:t xml:space="preserve">Baseline data</w:t>
      </w:r>
    </w:p>
    <w:p>
      <w:pPr>
        <w:numPr>
          <w:ilvl w:val="2"/>
          <w:numId w:val="1008"/>
        </w:numPr>
        <w:pStyle w:val="Compact"/>
      </w:pPr>
      <w:r>
        <w:t xml:space="preserve">Water quality</w:t>
      </w:r>
    </w:p>
    <w:p>
      <w:pPr>
        <w:numPr>
          <w:ilvl w:val="2"/>
          <w:numId w:val="1008"/>
        </w:numPr>
        <w:pStyle w:val="Compact"/>
      </w:pPr>
      <w:r>
        <w:t xml:space="preserve">Seagrasses</w:t>
      </w:r>
    </w:p>
    <w:bookmarkEnd w:id="29"/>
    <w:bookmarkStart w:id="30" w:name="analytics"/>
    <w:p>
      <w:pPr>
        <w:pStyle w:val="Heading2"/>
      </w:pPr>
      <w:r>
        <w:t xml:space="preserve">Analytics</w:t>
      </w:r>
    </w:p>
    <w:p>
      <w:pPr>
        <w:numPr>
          <w:ilvl w:val="0"/>
          <w:numId w:val="1009"/>
        </w:numPr>
        <w:pStyle w:val="Compact"/>
      </w:pPr>
      <w:r>
        <w:t xml:space="preserve">Analytics and where it was linked (e.g., DEP, myfwc), note analytics did not start until May 13th, 2021</w:t>
      </w:r>
    </w:p>
    <w:p>
      <w:pPr>
        <w:numPr>
          <w:ilvl w:val="1"/>
          <w:numId w:val="1010"/>
        </w:numPr>
        <w:pStyle w:val="Compact"/>
      </w:pPr>
      <w:r>
        <w:t xml:space="preserve">Average time spent on app, mobile vs desktop (go to analytics to get this)</w:t>
      </w:r>
    </w:p>
    <w:p>
      <w:pPr>
        <w:numPr>
          <w:ilvl w:val="1"/>
          <w:numId w:val="1010"/>
        </w:numPr>
        <w:pStyle w:val="Compact"/>
      </w:pPr>
      <w:r>
        <w:t xml:space="preserve">Total users over time (from Google Analytics), Figure</w:t>
      </w:r>
      <w:r>
        <w:t xml:space="preserve"> </w:t>
      </w:r>
      <w:r>
        <w:t xml:space="preserve">4</w:t>
      </w:r>
    </w:p>
    <w:p>
      <w:pPr>
        <w:numPr>
          <w:ilvl w:val="1"/>
          <w:numId w:val="1010"/>
        </w:numPr>
        <w:pStyle w:val="Compact"/>
      </w:pPr>
      <w:r>
        <w:t xml:space="preserve">Users by geographic location (country, state, city), Table</w:t>
      </w:r>
      <w:r>
        <w:t xml:space="preserve"> </w:t>
      </w:r>
      <w:r>
        <w:t xml:space="preserve">2</w:t>
      </w:r>
    </w:p>
    <w:bookmarkEnd w:id="30"/>
    <w:bookmarkEnd w:id="31"/>
    <w:bookmarkStart w:id="32" w:name="data-archive"/>
    <w:p>
      <w:pPr>
        <w:pStyle w:val="Heading1"/>
      </w:pPr>
      <w:r>
        <w:t xml:space="preserve">Data Archive</w:t>
      </w:r>
    </w:p>
    <w:p>
      <w:pPr>
        <w:numPr>
          <w:ilvl w:val="0"/>
          <w:numId w:val="1011"/>
        </w:numPr>
        <w:pStyle w:val="Compact"/>
      </w:pPr>
      <w:r>
        <w:t xml:space="preserve">Rationale, maybe make relative to past PP events (no data) and highlight importance of metadata</w:t>
      </w:r>
    </w:p>
    <w:p>
      <w:pPr>
        <w:numPr>
          <w:ilvl w:val="0"/>
          <w:numId w:val="1011"/>
        </w:numPr>
        <w:pStyle w:val="Compact"/>
      </w:pPr>
      <w:r>
        <w:t xml:space="preserve">Workflow and GitHub repository</w:t>
      </w:r>
    </w:p>
    <w:p>
      <w:pPr>
        <w:numPr>
          <w:ilvl w:val="0"/>
          <w:numId w:val="1011"/>
        </w:numPr>
        <w:pStyle w:val="Compact"/>
      </w:pPr>
      <w:r>
        <w:t xml:space="preserve">EML, KNB location, download stats</w:t>
      </w:r>
    </w:p>
    <w:bookmarkEnd w:id="32"/>
    <w:bookmarkStart w:id="33" w:name="discussion"/>
    <w:p>
      <w:pPr>
        <w:pStyle w:val="Heading1"/>
      </w:pPr>
      <w:r>
        <w:t xml:space="preserve">Discussion</w:t>
      </w:r>
    </w:p>
    <w:p>
      <w:pPr>
        <w:numPr>
          <w:ilvl w:val="0"/>
          <w:numId w:val="1012"/>
        </w:numPr>
        <w:pStyle w:val="Compact"/>
      </w:pPr>
      <w:r>
        <w:t xml:space="preserve">Added value of the app</w:t>
      </w:r>
    </w:p>
    <w:p>
      <w:pPr>
        <w:numPr>
          <w:ilvl w:val="1"/>
          <w:numId w:val="1013"/>
        </w:numPr>
        <w:pStyle w:val="Compact"/>
      </w:pPr>
      <w:r>
        <w:t xml:space="preserve">analytics speak for themselves, but not the whole picture. How did users get to our dashboard (some of this info is in Analytics, but which of our comms products drove the bus)? How was it used (e.g., screenshots for pres, K. Hubbard pers. comm.)?</w:t>
      </w:r>
    </w:p>
    <w:p>
      <w:pPr>
        <w:numPr>
          <w:ilvl w:val="1"/>
          <w:numId w:val="1013"/>
        </w:numPr>
        <w:pStyle w:val="Compact"/>
      </w:pPr>
      <w:r>
        <w:t xml:space="preserve">how can we better assess the value of these tools more holistically? What is the true measure of success in terms of behavior change or driving policy, if any?</w:t>
      </w:r>
    </w:p>
    <w:p>
      <w:pPr>
        <w:numPr>
          <w:ilvl w:val="0"/>
          <w:numId w:val="1012"/>
        </w:numPr>
        <w:pStyle w:val="Compact"/>
      </w:pPr>
      <w:r>
        <w:t xml:space="preserve">Relevant considerations</w:t>
      </w:r>
    </w:p>
    <w:p>
      <w:pPr>
        <w:numPr>
          <w:ilvl w:val="1"/>
          <w:numId w:val="1014"/>
        </w:numPr>
        <w:pStyle w:val="Compact"/>
      </w:pPr>
      <w:r>
        <w:t xml:space="preserve">What worked - use of OS tools, but still very time-consuming (e.g., R/dat_proc.R is thousands of lines of code)</w:t>
      </w:r>
    </w:p>
    <w:p>
      <w:pPr>
        <w:numPr>
          <w:ilvl w:val="1"/>
          <w:numId w:val="1014"/>
        </w:numPr>
        <w:pStyle w:val="Compact"/>
      </w:pPr>
      <w:r>
        <w:t xml:space="preserve">Need for unified datasets, use of tidy principles, etc. Also mention that this relied on partners sending us data/putting data on GDrive, not everyone did that (note issues with the latter, i.e., access from elsewhere can be unreliable, but we also didn’t have all the data). Highly value of partnerships - data collection and sharing.</w:t>
      </w:r>
    </w:p>
    <w:p>
      <w:pPr>
        <w:numPr>
          <w:ilvl w:val="1"/>
          <w:numId w:val="1014"/>
        </w:numPr>
        <w:pStyle w:val="Compact"/>
      </w:pPr>
      <w:r>
        <w:t xml:space="preserve">Value of historical data and contextualized summaries</w:t>
      </w:r>
    </w:p>
    <w:p>
      <w:pPr>
        <w:numPr>
          <w:ilvl w:val="1"/>
          <w:numId w:val="1014"/>
        </w:numPr>
        <w:pStyle w:val="Compact"/>
      </w:pPr>
      <w:r>
        <w:t xml:space="preserve">Exposure of additional data needs (e.g., macroalgae)</w:t>
      </w:r>
    </w:p>
    <w:p>
      <w:pPr>
        <w:numPr>
          <w:ilvl w:val="0"/>
          <w:numId w:val="1012"/>
        </w:numPr>
        <w:pStyle w:val="Compact"/>
      </w:pPr>
      <w:r>
        <w:t xml:space="preserve">Future of Piney Point, next steps, etc.</w:t>
      </w:r>
    </w:p>
    <w:p>
      <w:r>
        <w:br w:type="page"/>
      </w:r>
    </w:p>
    <w:bookmarkEnd w:id="33"/>
    <w:bookmarkStart w:id="46"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 title="" id="35" name="Picture"/>
            <a:graphic>
              <a:graphicData uri="http://schemas.openxmlformats.org/drawingml/2006/picture">
                <pic:pic>
                  <pic:nvPicPr>
                    <pic:cNvPr descr="figs/map.jpeg" id="36" name="Picture"/>
                    <pic:cNvPicPr>
                      <a:picLocks noChangeArrowheads="1" noChangeAspect="1"/>
                    </pic:cNvPicPr>
                  </pic:nvPicPr>
                  <pic:blipFill>
                    <a:blip r:embed="rId34"/>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March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 title="" id="38" name="Picture"/>
            <a:graphic>
              <a:graphicData uri="http://schemas.openxmlformats.org/drawingml/2006/picture">
                <pic:pic>
                  <pic:nvPicPr>
                    <pic:cNvPr descr="figs/synthesis.JPG" id="39" name="Picture"/>
                    <pic:cNvPicPr>
                      <a:picLocks noChangeArrowheads="1" noChangeAspect="1"/>
                    </pic:cNvPicPr>
                  </pic:nvPicPr>
                  <pic:blipFill>
                    <a:blip r:embed="rId37"/>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then the app was deployed using Shiny Server.</w:t>
      </w:r>
    </w:p>
    <w:p>
      <w:pPr>
        <w:pStyle w:val="CaptionedFigure"/>
      </w:pPr>
      <w:r>
        <w:drawing>
          <wp:inline>
            <wp:extent cx="5943600" cy="3340563"/>
            <wp:effectExtent b="0" l="0" r="0" t="0"/>
            <wp:docPr descr="Figure 3: Landing page for the Piney Point dashboard. Users can view a summary of effort to date and access additional tabs to view specific datasets." title="" id="41" name="Picture"/>
            <a:graphic>
              <a:graphicData uri="http://schemas.openxmlformats.org/drawingml/2006/picture">
                <pic:pic>
                  <pic:nvPicPr>
                    <pic:cNvPr descr="figs/dashboard.JPG" id="42" name="Picture"/>
                    <pic:cNvPicPr>
                      <a:picLocks noChangeArrowheads="1" noChangeAspect="1"/>
                    </pic:cNvPicPr>
                  </pic:nvPicPr>
                  <pic:blipFill>
                    <a:blip r:embed="rId40"/>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4" name="Picture"/>
            <a:graphic>
              <a:graphicData uri="http://schemas.openxmlformats.org/drawingml/2006/picture">
                <pic:pic>
                  <pic:nvPicPr>
                    <pic:cNvPr descr="figs/analytics.jpeg" id="45" name="Picture"/>
                    <pic:cNvPicPr>
                      <a:picLocks noChangeArrowheads="1" noChangeAspect="1"/>
                    </pic:cNvPicPr>
                  </pic:nvPicPr>
                  <pic:blipFill>
                    <a:blip r:embed="rId43"/>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p>
      <w:r>
        <w:br w:type="page"/>
      </w:r>
    </w:p>
    <w:bookmarkEnd w:id="46"/>
    <w:bookmarkStart w:id="47"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s for water quality, algae (phytoplankton), and seagrass/macroalgae in Tampa Bay. Values in parentheses show the percentage of the total for each monitoring typ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all locations. Total cities, states, and countries that accessed the dashboard are shown in the column headers in parentheses. Summaries are from May 13th, 2021 when analytics were included in the dashboard to October 1st, 2021."/>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47"/>
    <w:bookmarkStart w:id="66" w:name="references"/>
    <w:p>
      <w:pPr>
        <w:pStyle w:val="Heading1"/>
      </w:pPr>
      <w:r>
        <w:t xml:space="preserve">References</w:t>
      </w:r>
    </w:p>
    <w:bookmarkStart w:id="65" w:name="refs"/>
    <w:bookmarkStart w:id="49" w:name="ref-Beck21d"/>
    <w:p>
      <w:pPr>
        <w:pStyle w:val="Bibliography"/>
      </w:pPr>
      <w:r>
        <w:t xml:space="preserve">Beck MW. 2021.</w:t>
      </w:r>
      <w:r>
        <w:t xml:space="preserve"> </w:t>
      </w:r>
      <w:hyperlink r:id="rId48">
        <w:r>
          <w:rPr>
            <w:rStyle w:val="Hyperlink"/>
          </w:rPr>
          <w:t xml:space="preserve">2021 Piney Point Sampling in Tampa Bay. Knowledge Network for Biocomplexity. urn:node:KNB.</w:t>
        </w:r>
      </w:hyperlink>
    </w:p>
    <w:bookmarkEnd w:id="49"/>
    <w:bookmarkStart w:id="51" w:name="ref-Beck22"/>
    <w:p>
      <w:pPr>
        <w:pStyle w:val="Bibliography"/>
      </w:pPr>
      <w:r>
        <w:t xml:space="preserve">Beck MW, Altieri A, Angelini C, Burke MC, Chen J, Chin DW, Gardiner J, Hu C, Hubbard KA, Liu Y, Lopez C, Medina M, Morrison E, Phlips EJ, Raulerson GE, Scolaro S, Sherwood ET, Tomasko D, Weisberg RH, Whalen J. 2022.</w:t>
      </w:r>
      <w:r>
        <w:t xml:space="preserve"> </w:t>
      </w:r>
      <w:hyperlink r:id="rId50">
        <w:r>
          <w:rPr>
            <w:rStyle w:val="Hyperlink"/>
          </w:rPr>
          <w:t xml:space="preserve">Initial estuarine response to inorganic nutrient inputs from a legacy mining facility adjacent to</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Marine Pollution Bulletin 178: 113598.</w:t>
      </w:r>
    </w:p>
    <w:bookmarkEnd w:id="51"/>
    <w:bookmarkStart w:id="53" w:name="ref-Beck21c"/>
    <w:p>
      <w:pPr>
        <w:pStyle w:val="Bibliography"/>
      </w:pPr>
      <w:r>
        <w:t xml:space="preserve">Beck MW, Burke MC, Raulerson GE, Scolaro SC, Sherwood ET, Whalen JD. 2021.</w:t>
      </w:r>
      <w:r>
        <w:t xml:space="preserve"> </w:t>
      </w:r>
      <w:hyperlink r:id="rId52">
        <w:r>
          <w:rPr>
            <w:rStyle w:val="Hyperlink"/>
          </w:rPr>
          <w:t xml:space="preserve">P</w:t>
        </w:r>
        <w:r>
          <w:rPr>
            <w:rStyle w:val="Hyperlink"/>
          </w:rPr>
          <w:t xml:space="preserve">iney</w:t>
        </w:r>
        <w:r>
          <w:rPr>
            <w:rStyle w:val="Hyperlink"/>
          </w:rPr>
          <w:t xml:space="preserve"> </w:t>
        </w:r>
        <w:r>
          <w:rPr>
            <w:rStyle w:val="Hyperlink"/>
          </w:rPr>
          <w:t xml:space="preserve">P</w:t>
        </w:r>
        <w:r>
          <w:rPr>
            <w:rStyle w:val="Hyperlink"/>
          </w:rPr>
          <w:t xml:space="preserve">oint environmental monitoring dashboard.</w:t>
        </w:r>
        <w:r>
          <w:rPr>
            <w:rStyle w:val="Hyperlink"/>
          </w:rPr>
          <w:t xml:space="preserve"> </w:t>
        </w:r>
        <w:r>
          <w:rPr>
            <w:rStyle w:val="Hyperlink"/>
          </w:rPr>
          <w:t xml:space="preserve">t</w:t>
        </w:r>
        <w:r>
          <w:rPr>
            <w:rStyle w:val="Hyperlink"/>
          </w:rPr>
          <w:t xml:space="preserve">bep-tech/piney-point: v1.0.0</w:t>
        </w:r>
      </w:hyperlink>
      <w:r>
        <w:t xml:space="preserve">. Zenodo.</w:t>
      </w:r>
    </w:p>
    <w:bookmarkEnd w:id="53"/>
    <w:bookmarkStart w:id="55" w:name="ref-Chen18"/>
    <w:p>
      <w:pPr>
        <w:pStyle w:val="Bibliography"/>
      </w:pPr>
      <w:r>
        <w:t xml:space="preserve">Chen J, Weisberg RH, Liu Y, Zheng L. 2018.</w:t>
      </w:r>
      <w:r>
        <w:t xml:space="preserve"> </w:t>
      </w:r>
      <w:hyperlink r:id="rId54">
        <w:r>
          <w:rPr>
            <w:rStyle w:val="Hyperlink"/>
          </w:rPr>
          <w:t xml:space="preserve">The</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C</w:t>
        </w:r>
        <w:r>
          <w:rPr>
            <w:rStyle w:val="Hyperlink"/>
          </w:rPr>
          <w:t xml:space="preserve">oastal</w:t>
        </w:r>
        <w:r>
          <w:rPr>
            <w:rStyle w:val="Hyperlink"/>
          </w:rPr>
          <w:t xml:space="preserve"> </w:t>
        </w:r>
        <w:r>
          <w:rPr>
            <w:rStyle w:val="Hyperlink"/>
          </w:rPr>
          <w:t xml:space="preserve">O</w:t>
        </w:r>
        <w:r>
          <w:rPr>
            <w:rStyle w:val="Hyperlink"/>
          </w:rPr>
          <w:t xml:space="preserve">cean</w:t>
        </w:r>
        <w:r>
          <w:rPr>
            <w:rStyle w:val="Hyperlink"/>
          </w:rPr>
          <w:t xml:space="preserve"> </w:t>
        </w:r>
        <w:r>
          <w:rPr>
            <w:rStyle w:val="Hyperlink"/>
          </w:rPr>
          <w:t xml:space="preserve">M</w:t>
        </w:r>
        <w:r>
          <w:rPr>
            <w:rStyle w:val="Hyperlink"/>
          </w:rPr>
          <w:t xml:space="preserve">odel performance for</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w:t>
        </w:r>
      </w:hyperlink>
      <w:r>
        <w:t xml:space="preserve">. Marine Technology Society Journal 52: 33–42.</w:t>
      </w:r>
    </w:p>
    <w:bookmarkEnd w:id="55"/>
    <w:bookmarkStart w:id="57" w:name="ref-Chen19"/>
    <w:p>
      <w:pPr>
        <w:pStyle w:val="Bibliography"/>
      </w:pPr>
      <w:r>
        <w:t xml:space="preserve">Chen J, Weisberg RH, Liu Y, Zheng L, Zhu J. 2019.</w:t>
      </w:r>
      <w:r>
        <w:t xml:space="preserve"> </w:t>
      </w:r>
      <w:hyperlink r:id="rId56">
        <w:r>
          <w:rPr>
            <w:rStyle w:val="Hyperlink"/>
          </w:rPr>
          <w:t xml:space="preserve">On the momentum balance of tampa bay</w:t>
        </w:r>
      </w:hyperlink>
      <w:r>
        <w:t xml:space="preserve">. Journal of Geophysical Research: Oceans 124: 4492–4510.</w:t>
      </w:r>
    </w:p>
    <w:bookmarkEnd w:id="57"/>
    <w:bookmarkStart w:id="59" w:name="ref-Greening06"/>
    <w:p>
      <w:pPr>
        <w:pStyle w:val="Bibliography"/>
      </w:pPr>
      <w:r>
        <w:t xml:space="preserve">Greening H, Janicki A. 2006.</w:t>
      </w:r>
      <w:r>
        <w:t xml:space="preserve"> </w:t>
      </w:r>
      <w:hyperlink r:id="rId58">
        <w:r>
          <w:rPr>
            <w:rStyle w:val="Hyperlink"/>
          </w:rPr>
          <w:t xml:space="preserve">Toward reversal of eutrophic conditions in a subtropical estuary: Water quality and seagrass response to nitrogen loading reductions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hyperlink>
      <w:r>
        <w:t xml:space="preserve">. Environmental Management 38: 163–178.</w:t>
      </w:r>
    </w:p>
    <w:bookmarkEnd w:id="59"/>
    <w:bookmarkStart w:id="61" w:name="ref-Greening14"/>
    <w:p>
      <w:pPr>
        <w:pStyle w:val="Bibliography"/>
      </w:pPr>
      <w:r>
        <w:t xml:space="preserve">Greening H, Janicki A, Sherwood E, Pribble R, Johansson JOR. 2014.</w:t>
      </w:r>
      <w:r>
        <w:t xml:space="preserve"> </w:t>
      </w:r>
      <w:hyperlink r:id="rId60">
        <w:r>
          <w:rPr>
            <w:rStyle w:val="Hyperlink"/>
          </w:rPr>
          <w:t xml:space="preserve">Ecosystem responses to long-term nutrient management in an urban estuary: Tampa Bay, Florida, USA</w:t>
        </w:r>
      </w:hyperlink>
      <w:r>
        <w:t xml:space="preserve">. Estuarine, Coastal and Shelf Science 151: A1–A16.</w:t>
      </w:r>
    </w:p>
    <w:bookmarkEnd w:id="61"/>
    <w:bookmarkStart w:id="62" w:name="ref-Liu21"/>
    <w:p>
      <w:pPr>
        <w:pStyle w:val="Bibliography"/>
      </w:pPr>
      <w:r>
        <w:t xml:space="preserve">Liu Y, Weisberg RH, Zheng L, Sun Y, Chen J. 2021. Nowcast/forecast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A rapid response,</w:t>
      </w:r>
      <w:r>
        <w:t xml:space="preserve"> </w:t>
      </w:r>
      <w:r>
        <w:rPr>
          <w:iCs/>
          <w:i/>
        </w:rPr>
        <w:t xml:space="preserve">In</w:t>
      </w:r>
      <w:r>
        <w:t xml:space="preserve"> </w:t>
      </w:r>
      <w:r>
        <w:t xml:space="preserve">Abstract (OS35B-1036) presented at AGU fall meeting, december, 2021. New Orleans, Lousiana.</w:t>
      </w:r>
    </w:p>
    <w:bookmarkEnd w:id="62"/>
    <w:bookmarkStart w:id="64" w:name="ref-Wang99"/>
    <w:p>
      <w:pPr>
        <w:pStyle w:val="Bibliography"/>
      </w:pPr>
      <w:r>
        <w:t xml:space="preserve">Wang P, Martin J, Morrison G. 1999.</w:t>
      </w:r>
      <w:r>
        <w:t xml:space="preserve"> </w:t>
      </w:r>
      <w:hyperlink r:id="rId63">
        <w:r>
          <w:rPr>
            <w:rStyle w:val="Hyperlink"/>
          </w:rPr>
          <w:t xml:space="preserve">Water quality and eutrophication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Estuarine, Coastal and Shelf Science 49: 1–20.</w:t>
      </w:r>
    </w:p>
    <w:bookmarkEnd w:id="64"/>
    <w:bookmarkEnd w:id="65"/>
    <w:bookmarkEnd w:id="66"/>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FC2263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80ACE2F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9BF0DE2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7422D53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D5800C2"/>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C64EC"/>
    <w:pPr>
      <w:spacing w:after="180" w:before="180" w:line="360" w:lineRule="auto"/>
    </w:pPr>
  </w:style>
  <w:style w:customStyle="1" w:styleId="FirstParagraph" w:type="paragraph">
    <w:name w:val="First Paragraph"/>
    <w:basedOn w:val="BodyText"/>
    <w:next w:val="BodyText"/>
    <w:qFormat/>
    <w:rsid w:val="009C64EC"/>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C64EC"/>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3" Target="media/rId43.jpg" /><Relationship Type="http://schemas.openxmlformats.org/officeDocument/2006/relationships/image" Id="rId40" Target="media/rId40.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hyperlink" Id="rId63" Target="https://doi.org/10.1006/ecss.1999.0490" TargetMode="External" /><Relationship Type="http://schemas.openxmlformats.org/officeDocument/2006/relationships/hyperlink" Id="rId58" Target="https://doi.org/10.1007/s00267-005-0079-4" TargetMode="External" /><Relationship Type="http://schemas.openxmlformats.org/officeDocument/2006/relationships/hyperlink" Id="rId60" Target="https://doi.org/10.1016/j.ecss.2014.10.003" TargetMode="External" /><Relationship Type="http://schemas.openxmlformats.org/officeDocument/2006/relationships/hyperlink" Id="rId50" Target="https://doi.org/10.1016/j.marpolbul.2022.113598" TargetMode="External" /><Relationship Type="http://schemas.openxmlformats.org/officeDocument/2006/relationships/hyperlink" Id="rId56" Target="https://doi.org/10.1029/2018JC014890" TargetMode="External" /><Relationship Type="http://schemas.openxmlformats.org/officeDocument/2006/relationships/hyperlink" Id="rId54" Target="https://doi.org/10.4031/MTSJ.52.3.6" TargetMode="External" /><Relationship Type="http://schemas.openxmlformats.org/officeDocument/2006/relationships/hyperlink" Id="rId52" Target="https://doi.org/10.5281/zenodo.4666494" TargetMode="External" /><Relationship Type="http://schemas.openxmlformats.org/officeDocument/2006/relationships/hyperlink" Id="rId48" Target="https://doi.org/doi:10.5063/F1959G05"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06/ecss.1999.0490" TargetMode="External" /><Relationship Type="http://schemas.openxmlformats.org/officeDocument/2006/relationships/hyperlink" Id="rId58" Target="https://doi.org/10.1007/s00267-005-0079-4" TargetMode="External" /><Relationship Type="http://schemas.openxmlformats.org/officeDocument/2006/relationships/hyperlink" Id="rId60" Target="https://doi.org/10.1016/j.ecss.2014.10.003" TargetMode="External" /><Relationship Type="http://schemas.openxmlformats.org/officeDocument/2006/relationships/hyperlink" Id="rId50" Target="https://doi.org/10.1016/j.marpolbul.2022.113598" TargetMode="External" /><Relationship Type="http://schemas.openxmlformats.org/officeDocument/2006/relationships/hyperlink" Id="rId56" Target="https://doi.org/10.1029/2018JC014890" TargetMode="External" /><Relationship Type="http://schemas.openxmlformats.org/officeDocument/2006/relationships/hyperlink" Id="rId54" Target="https://doi.org/10.4031/MTSJ.52.3.6" TargetMode="External" /><Relationship Type="http://schemas.openxmlformats.org/officeDocument/2006/relationships/hyperlink" Id="rId52" Target="https://doi.org/10.5281/zenodo.4666494" TargetMode="External" /><Relationship Type="http://schemas.openxmlformats.org/officeDocument/2006/relationships/hyperlink" Id="rId48" Target="https://doi.org/doi:10.5063/F1959G05" TargetMode="External" /><Relationship Type="http://schemas.openxmlformats.org/officeDocument/2006/relationships/hyperlink" Id="rId27" Target="https://floridadep.gov/dear/dear/content/tampa-bay-sampling-response-and-results"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discharage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2022-05-16T17:42:18Z</dcterms:created>
  <dcterms:modified xsi:type="dcterms:W3CDTF">2022-05-16T17:42:18Z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talk will discuss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will also be discussed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