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jpg" ContentType="image/jpeg"/>
  <Override PartName="/word/media/rId44.jpg" ContentType="image/jpeg"/>
  <Override PartName="/word/media/rId38.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paper</w:t>
      </w:r>
      <w:r>
        <w:t xml:space="preserve"> </w:t>
      </w:r>
      <w:r>
        <w:t xml:space="preserve">describes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is</w:t>
      </w:r>
      <w:r>
        <w:t xml:space="preserve"> </w:t>
      </w:r>
      <w:r>
        <w:t xml:space="preserve">also</w:t>
      </w:r>
      <w:r>
        <w:t xml:space="preserve"> </w:t>
      </w:r>
      <w:r>
        <w:t xml:space="preserve">presented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2022-05-24 16:11:39</w:t>
      </w:r>
    </w:p>
    <w:p>
      <w:r>
        <w:br w:type="page"/>
      </w:r>
    </w:p>
    <w:bookmarkStart w:id="26" w:name="introduction"/>
    <w:p>
      <w:pPr>
        <w:pStyle w:val="Heading1"/>
      </w:pPr>
      <w:r>
        <w:t xml:space="preserve">Introduction</w:t>
      </w:r>
    </w:p>
    <w:p>
      <w:pPr>
        <w:pStyle w:val="FirstParagraph"/>
      </w:pPr>
      <w:r>
        <w:t xml:space="preserve">The long-term recovery of Tampa Bay, Florida represents a collaborative, multi-stakeholder effort to quantify and limit external nitrogen loading as a key stressor impacting ecosystem health. Nitrogen has been reduced by approximately two thirds of historical loading primarily through upgrades to wastewater treatment systems, stormwater controls, and habitat restoration projects</w:t>
      </w:r>
      <w:r>
        <w:t xml:space="preserve"> </w:t>
      </w:r>
      <w:r>
        <w:t xml:space="preserve">(</w:t>
      </w:r>
      <w:hyperlink w:anchor="ref-Johansson91">
        <w:r>
          <w:rPr>
            <w:rStyle w:val="Hyperlink"/>
          </w:rPr>
          <w:t xml:space="preserve">Johansson 1991</w:t>
        </w:r>
      </w:hyperlink>
      <w:r>
        <w:t xml:space="preserve">;</w:t>
      </w:r>
      <w:r>
        <w:t xml:space="preserve"> </w:t>
      </w:r>
      <w:hyperlink w:anchor="ref-Lewis98">
        <w:r>
          <w:rPr>
            <w:rStyle w:val="Hyperlink"/>
          </w:rPr>
          <w:t xml:space="preserve">Lewis et al. 1998</w:t>
        </w:r>
      </w:hyperlink>
      <w:r>
        <w:t xml:space="preserve">;</w:t>
      </w:r>
      <w:r>
        <w:t xml:space="preserve"> </w:t>
      </w:r>
      <w:hyperlink w:anchor="ref-Greening14">
        <w:r>
          <w:rPr>
            <w:rStyle w:val="Hyperlink"/>
          </w:rPr>
          <w:t xml:space="preserve">Greening et al. 2014</w:t>
        </w:r>
      </w:hyperlink>
      <w:r>
        <w:t xml:space="preserve">;</w:t>
      </w:r>
      <w:r>
        <w:t xml:space="preserve"> </w:t>
      </w:r>
      <w:hyperlink w:anchor="ref-Beck19">
        <w:r>
          <w:rPr>
            <w:rStyle w:val="Hyperlink"/>
          </w:rPr>
          <w:t xml:space="preserve">Beck et al. 2019</w:t>
        </w:r>
      </w:hyperlink>
      <w:r>
        <w:t xml:space="preserve">)</w:t>
      </w:r>
      <w:r>
        <w:t xml:space="preserve">. As a result, chlorophyll concentrations have decreased, water clarity has improved, and seagrasses have recovered to a historical 1950s baseline by 2016</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Despite these historical gains, ongoing management challenges for protecting and restoring the natural resources of Tampa Bay persist from continued threats of climate change and increasing watershed development. Recent seagrass losses and seasonal harmful algal blooms highlight the potential impacts of persistent and increasing stressors affecting the bay</w:t>
      </w:r>
      <w:r>
        <w:t xml:space="preserve"> </w:t>
      </w:r>
      <w:r>
        <w:t xml:space="preserve">(</w:t>
      </w:r>
      <w:hyperlink w:anchor="ref-Lopez16">
        <w:r>
          <w:rPr>
            <w:rStyle w:val="Hyperlink"/>
          </w:rPr>
          <w:t xml:space="preserve">Lopez et al. 2016</w:t>
        </w:r>
      </w:hyperlink>
      <w:r>
        <w:t xml:space="preserve">;</w:t>
      </w:r>
      <w:r>
        <w:t xml:space="preserve"> </w:t>
      </w:r>
      <w:hyperlink w:anchor="ref-Tomasko20">
        <w:r>
          <w:rPr>
            <w:rStyle w:val="Hyperlink"/>
          </w:rPr>
          <w:t xml:space="preserve">Tomasko et al. 2020</w:t>
        </w:r>
      </w:hyperlink>
      <w:r>
        <w:t xml:space="preserve">)</w:t>
      </w:r>
      <w:r>
        <w:t xml:space="preserve">.</w:t>
      </w:r>
    </w:p>
    <w:p>
      <w:pPr>
        <w:pStyle w:val="BodyText"/>
      </w:pPr>
      <w:r>
        <w:t xml:space="preserve">Impacts to human health and the environment associated with extractive mining activities are pervasive worldwide. In Florida, phosphate mining has generated a multi-billion dollar fertilizer industry that supports agricultural production on the global market</w:t>
      </w:r>
      <w:r>
        <w:t xml:space="preserve"> </w:t>
      </w:r>
      <w:r>
        <w:t xml:space="preserve">(</w:t>
      </w:r>
      <w:hyperlink w:anchor="ref-Henderson04">
        <w:r>
          <w:rPr>
            <w:rStyle w:val="Hyperlink"/>
          </w:rPr>
          <w:t xml:space="preserve">Henderson 2004</w:t>
        </w:r>
      </w:hyperlink>
      <w:r>
        <w:t xml:space="preserve">)</w:t>
      </w:r>
      <w:r>
        <w:t xml:space="preserve">. Seventeen phosphate mining facilities occur in the Tampa Bay watershed and wastewater release into surface waters from these facilities has negatively impacted environmental resources. The Piney Point facility on the southeast shore of Tampa Bay has been inactive for over twenty years and holding capacity to maintain wastewater onsite has decreased over time, contributing to releases in the early 2000s and in 2011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In March 2021, a leak was identified in the southern holding pond and wastewater release was authorized by the Florida Department of Environmental Protection (FDEP) to prevent catastrophic failure of the holding ponds. Approximately 215 million gallons of mixed legacy phosphate mining wastewater and seawater from port dredging operations were discharged over a ten day period, introducing 205 tons of nitrogen to Tampa Bay</w:t>
      </w:r>
      <w:r>
        <w:t xml:space="preserve"> </w:t>
      </w:r>
      <w:r>
        <w:t xml:space="preserve">(</w:t>
      </w:r>
      <w:hyperlink w:anchor="ref-Beck22">
        <w:r>
          <w:rPr>
            <w:rStyle w:val="Hyperlink"/>
          </w:rPr>
          <w:t xml:space="preserve">Beck et al. 2022</w:t>
        </w:r>
      </w:hyperlink>
      <w:r>
        <w:t xml:space="preserve">)</w:t>
      </w:r>
      <w:r>
        <w:t xml:space="preserve">.</w:t>
      </w:r>
    </w:p>
    <w:p>
      <w:pPr>
        <w:pStyle w:val="BodyText"/>
      </w:pPr>
      <w:r>
        <w:t xml:space="preserve">In response to the 2021 release from Piney Point, local resource managers coordinated an unprecedented monitoring effort to assess the potential impacts to bay resources. The influx of data from multiple monitoring groups created a need to rapidly convey the results to a concerned public, in addition to informing the management response to rapidly changing conditions. This paper describes the data synthesis tools that were used by the Tampa Bay Estuary Program (TBEP) beginning in April 2021 and continuing into the fall once conditions were relatively stable. We focus specifically on the open science methods and products that were created to organize, contextualize, and communicate these data, including the Piney Point environmental monitoring dashboard to rapidly deliver results for data collected in near real-time. A discussion of the technical and philosophical challenges of synthesizing data from multiple disparate sources, as well as the lessons learned, is also provided to inform future response-based monitoring efforts.</w:t>
      </w:r>
    </w:p>
    <w:bookmarkEnd w:id="26"/>
    <w:bookmarkStart w:id="27" w:name="data-collection"/>
    <w:p>
      <w:pPr>
        <w:pStyle w:val="Heading1"/>
      </w:pPr>
      <w:r>
        <w:t xml:space="preserve">Data collection</w:t>
      </w:r>
    </w:p>
    <w:p>
      <w:pPr>
        <w:pStyle w:val="FirstParagraph"/>
      </w:pPr>
      <w:r>
        <w:t xml:space="preserve">Monitoring of bay resources in response to release from Piney Point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run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Piney Point</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that were expected to indicate a response to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total nitrogen and inorganic forms (i.e., total ammonia nitrogen, nitrate/nitrite), chlorophyll-a as an indication of phytoplankton growth, and additional parameters expected to respond to nutrient loading (e.g., secchi depth,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by transect sampling at locations covering the shoreline north of Piney Point and extending to the south into northern Sarasota Bay. Transect sampling included identification of seagrass species and macroalgae, typically to genus, and Braun-Blanquet abundance estimates 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bookmarkEnd w:id="27"/>
    <w:bookmarkStart w:id="30" w:name="data-synthesis"/>
    <w:p>
      <w:pPr>
        <w:pStyle w:val="Heading1"/>
      </w:pPr>
      <w:r>
        <w:t xml:space="preserve">Data synthesis</w:t>
      </w:r>
    </w:p>
    <w:p>
      <w:pPr>
        <w:pStyle w:val="FirstParagraph"/>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8">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to view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(e.g.,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 tidy 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for use with the dashboard (i.e., individual file for water quality, phytoplankton, etc.).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 that were applied to each file. For example, parameters included in each water quality file were converted to a common set of names and all units were standardized (e.g.,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(e.g.,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for easily filtering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(i.e., on a personal computer) before pushing data to the dashboard and constantly revising the code to address new data formats or issues encountered when new files were uploaded.</w:t>
      </w:r>
    </w:p>
    <w:p>
      <w:pPr>
        <w:pStyle w:val="BodyText"/>
      </w:pPr>
      <w:r>
        <w:t xml:space="preserve">The local workflow created by TBEP was hosted online in a GitHub repository</w:t>
      </w:r>
      <w:r>
        <w:t xml:space="preserve"> </w:t>
      </w:r>
      <w:r>
        <w:t xml:space="preserve">(</w:t>
      </w:r>
      <w:hyperlink r:id="rId29">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of 1) using version control to document and track changes using Git software, 2) making the code publicly accessible for transparency with the larger research and management community, 3) allowing automated testing of repository content, and 4) serving as an access point for deploying the dashboard on Shiny Server (see below). The use of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local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An automated notification was sent via email to TBEP staff if an error was encountered. This service reduced the amount of time required to manually check the data and provided assurance that the reported results in the dashboard were correct.</w:t>
      </w:r>
    </w:p>
    <w:bookmarkEnd w:id="30"/>
    <w:bookmarkStart w:id="34" w:name="the-piney-point-dashboard"/>
    <w:p>
      <w:pPr>
        <w:pStyle w:val="Heading1"/>
      </w:pPr>
      <w:r>
        <w:t xml:space="preserve">The Piney Point Dashboard</w:t>
      </w:r>
    </w:p>
    <w:bookmarkStart w:id="32"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used to update input datasets during the course of the 2021 monitoring effort. All code used to synthesize the datasets from Google Drive and the code used to create the dashboard were contained in the same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w:t>
      </w:r>
      <w:r>
        <w:t xml:space="preserve"> </w:t>
      </w:r>
      <w:hyperlink r:id="rId31">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(e.g., water quality, phytoplankton, etc.). Each log file was used to display on the dashboard when a data type was last modified, to inform users when updates were made to the input data.</w:t>
      </w:r>
    </w:p>
    <w:p>
      <w:pPr>
        <w:pStyle w:val="BodyText"/>
      </w:pPr>
      <w:r>
        <w:t xml:space="preserve">The remainder of the R Markdown file was used to create the dashboard UI (681 lines, 29% of total). The flexdashboard package rendered with R Markdown was used to place shiny content in specific CSS elements for easily navigable content,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(e.g., number of sites sampled, total days sampling, etc., Figure</w:t>
      </w:r>
      <w:r>
        <w:t xml:space="preserve"> </w:t>
      </w:r>
      <w:r>
        <w:t xml:space="preserve">3</w:t>
      </w:r>
      <w:r>
        <w:t xml:space="preserve">). Each tab for the current data was organized specifically for each monitoring data type, although common elements included maps and tabular summaries where the displayed data could be chosen by date ranges or selected parameters from the user. Finally, the baseline data tab displayed multi-decadal monitoring data for water quality and seagrasses to provide a comparison with the response-based monitoring data.</w:t>
      </w:r>
    </w:p>
    <w:p>
      <w:pPr>
        <w:pStyle w:val="BodyText"/>
      </w:pPr>
      <w:r>
        <w:t xml:space="preserve">An important service provided by the dashboard was creating context for the response-based monitoring relative to baseline conditions in Tampa Bay. This allowed dashboard users to quickly assess if the 2021 conditions were abnormal relative to typical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the expected seasonal range.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by leveraging the decades of long-term monitoring data available for Tampa Bay.</w:t>
      </w:r>
    </w:p>
    <w:bookmarkEnd w:id="32"/>
    <w:bookmarkStart w:id="33"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personal computer.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3"/>
    <w:bookmarkEnd w:id="34"/>
    <w:bookmarkStart w:id="36"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defined in the Strategic Management Plan</w:t>
      </w:r>
      <w:r>
        <w:t xml:space="preserve"> </w:t>
      </w:r>
      <w:r>
        <w:t xml:space="preserve">(</w:t>
      </w:r>
      <w:hyperlink w:anchor="ref-Burke20">
        <w:r>
          <w:rPr>
            <w:rStyle w:val="Hyperlink"/>
          </w:rPr>
          <w:t xml:space="preserve">Burke &amp; Amaral 2020</w:t>
        </w:r>
      </w:hyperlink>
      <w:r>
        <w:t xml:space="preserve">)</w:t>
      </w:r>
      <w:r>
        <w:t xml:space="preserve"> </w:t>
      </w:r>
      <w:r>
        <w:t xml:space="preserve">and an essential part of this effort is ensuring that data are available and documented appropriately for reuse by others. Notably, documentation and data describing past spill and release events from Piney Point are lacking. Making the data available from the 2021 event, in addition to publishing an open access journal article describing the results</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community can learn from this event, both to inform research of estuarine impacts from inorganic nutrient inputs from phosphate mining and efforts in response-based monitoring conducted by the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use of the data is done responsibly by allowing other analysts to determine if the data are appropriate for their needs and they are conducting the analysis within the limits of the data. An additional repository on GitHub (</w:t>
      </w:r>
      <w:hyperlink r:id="rId35">
        <w:r>
          <w:rPr>
            <w:rStyle w:val="Hyperlink"/>
          </w:rPr>
          <w:t xml:space="preserve">https://github.com/tbep-tech/piney-point-metadata</w:t>
        </w:r>
      </w:hyperlink>
      <w:r>
        <w:t xml:space="preserve">) was created with a workflow for documenting the metadata with EML and pushing the contents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 to archive other data in the future.</w:t>
      </w:r>
    </w:p>
    <w:bookmarkEnd w:id="36"/>
    <w:bookmarkStart w:id="37" w:name="discussion"/>
    <w:p>
      <w:pPr>
        <w:pStyle w:val="Heading1"/>
      </w:pPr>
      <w:r>
        <w:t xml:space="preserve">Discussion</w:t>
      </w:r>
    </w:p>
    <w:p>
      <w:pPr>
        <w:pStyle w:val="FirstParagraph"/>
      </w:pPr>
      <w:r>
        <w:t xml:space="preserve">The release of wastewater from Piney Point in the spring of 2021 mobilized dozens of local resource managers and stakeholders to track the potential impacts to Tampa Bay. The communication tools and workflows used to synthesize the data collected in this effort were useful for informing the management response and the analytics of our dashboard suggested that the products created by TBEP were valuable resources in 2021. However, dashboard analytics are not the only metric of success and additional information can help assess the effectiveness of these tools to efficiently and transparently communicate science for decision-making. Area researchers and managers were able to use screenshots from the dashboard to communicate results in real time, although there was no formal metric for these applications. More holistically assessing the value of open science tools is needed, such as how they may be used to inform policy or regulatory changes aimed at minimizing environmental impacts.</w:t>
      </w:r>
    </w:p>
    <w:p>
      <w:pPr>
        <w:pStyle w:val="BodyText"/>
      </w:pPr>
      <w:r>
        <w:t xml:space="preserve">From a data science perspective, several lessons were learned from the need to rapidly synthesize multiple sources of information collected during the response-based monitoring. Broader use of</w:t>
      </w:r>
      <w:r>
        <w:t xml:space="preserve"> </w:t>
      </w:r>
      <w:r>
        <w:t xml:space="preserve">“</w:t>
      </w:r>
      <w:r>
        <w:t xml:space="preserve">tidy</w:t>
      </w:r>
      <w:r>
        <w:t xml:space="preserve">”</w:t>
      </w:r>
      <w:r>
        <w:t xml:space="preserve"> </w:t>
      </w:r>
      <w:r>
        <w:t xml:space="preserve">data principles would significantly decrease the processing time required to create data in a usable format for analysis. Data entry sheets or digital platforms for sharing data should be structured to more easily transform the the results into tidy format (i.e., one observation per row, one variable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by communication between institutions to adopt similar data standards. Finding solutions for sharing data was also problematic. Although Google Drive was useful, not everyone was able to access the information given IT limitations that were agency-specific. Moreover, hosting data on Google Drive was contingent on trust and willingness to share data with TBEP. The TBEP did not have access to all data collected for Piney Point, despite the dozens of partners that did share data with the organization. Building and sustaining partnerships is a fundamental mission of the National Estuary Program. Past successes of TBEP have helped build this trust and the continued success of the organization is dependent on sustaining and growing partnerships in the future.</w:t>
      </w:r>
    </w:p>
    <w:p>
      <w:pPr>
        <w:pStyle w:val="BodyText"/>
      </w:pPr>
      <w:r>
        <w:t xml:space="preserve">The 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can facilitate conversations towards broader goals. In addition to Piney Point, mining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is one path to effectively enable positive change through better science communication.</w:t>
      </w:r>
    </w:p>
    <w:p>
      <w:r>
        <w:br w:type="page"/>
      </w:r>
    </w:p>
    <w:bookmarkEnd w:id="37"/>
    <w:bookmarkStart w:id="50"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 title="" id="39" name="Picture"/>
            <a:graphic>
              <a:graphicData uri="http://schemas.openxmlformats.org/drawingml/2006/picture">
                <pic:pic>
                  <pic:nvPicPr>
                    <pic:cNvPr descr="figs/map.jpeg" id="40" name="Picture"/>
                    <pic:cNvPicPr>
                      <a:picLocks noChangeArrowheads="1" noChangeAspect="1"/>
                    </pic:cNvPicPr>
                  </pic:nvPicPr>
                  <pic:blipFill>
                    <a:blip r:embed="rId38"/>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 title="" id="42" name="Picture"/>
            <a:graphic>
              <a:graphicData uri="http://schemas.openxmlformats.org/drawingml/2006/picture">
                <pic:pic>
                  <pic:nvPicPr>
                    <pic:cNvPr descr="figs/synthesis.JPG" id="43" name="Picture"/>
                    <pic:cNvPicPr>
                      <a:picLocks noChangeArrowheads="1" noChangeAspect="1"/>
                    </pic:cNvPicPr>
                  </pic:nvPicPr>
                  <pic:blipFill>
                    <a:blip r:embed="rId41"/>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w:t>
      </w:r>
    </w:p>
    <w:p>
      <w:pPr>
        <w:pStyle w:val="CaptionedFigure"/>
      </w:pPr>
      <w:r>
        <w:drawing>
          <wp:inline>
            <wp:extent cx="5943600" cy="3340563"/>
            <wp:effectExtent b="0" l="0" r="0" t="0"/>
            <wp:docPr descr="Figure 3: Landing page for the Piney Point dashboard. Users can view a summary of effort to date, when the data were last updated, and access additional tabs to view specific datasets." title="" id="45" name="Picture"/>
            <a:graphic>
              <a:graphicData uri="http://schemas.openxmlformats.org/drawingml/2006/picture">
                <pic:pic>
                  <pic:nvPicPr>
                    <pic:cNvPr descr="figs/dashboard.JPG" id="46" name="Picture"/>
                    <pic:cNvPicPr>
                      <a:picLocks noChangeArrowheads="1" noChangeAspect="1"/>
                    </pic:cNvPicPr>
                  </pic:nvPicPr>
                  <pic:blipFill>
                    <a:blip r:embed="rId44"/>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when the data were last updated,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e.g., direct URL to the dashboard, email links, etc.). Analytics were included in the dashboard beginning on May 13th, 2021." title="" id="48" name="Picture"/>
            <a:graphic>
              <a:graphicData uri="http://schemas.openxmlformats.org/drawingml/2006/picture">
                <pic:pic>
                  <pic:nvPicPr>
                    <pic:cNvPr descr="figs/analytics.jpeg" id="49" name="Picture"/>
                    <pic:cNvPicPr>
                      <a:picLocks noChangeArrowheads="1" noChangeAspect="1"/>
                    </pic:cNvPicPr>
                  </pic:nvPicPr>
                  <pic:blipFill>
                    <a:blip r:embed="rId47"/>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(e.g., direct URL to the dashboard, email links, etc.). Analytics were included in the dashboard beginning on May 13th, 2021.</w:t>
      </w:r>
    </w:p>
    <w:p>
      <w:r>
        <w:br w:type="page"/>
      </w:r>
    </w:p>
    <w:bookmarkEnd w:id="50"/>
    <w:bookmarkStart w:id="51"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1"/>
    <w:bookmarkStart w:id="108" w:name="references"/>
    <w:p>
      <w:pPr>
        <w:pStyle w:val="Heading1"/>
      </w:pPr>
      <w:r>
        <w:t xml:space="preserve">References</w:t>
      </w:r>
    </w:p>
    <w:bookmarkStart w:id="107" w:name="refs"/>
    <w:bookmarkStart w:id="53" w:name="ref-Beck21d"/>
    <w:p>
      <w:pPr>
        <w:pStyle w:val="Bibliography"/>
      </w:pPr>
      <w:r>
        <w:t xml:space="preserve">Beck MW. 2021.</w:t>
      </w:r>
      <w:r>
        <w:t xml:space="preserve"> </w:t>
      </w:r>
      <w:hyperlink r:id="rId52">
        <w:r>
          <w:rPr>
            <w:rStyle w:val="Hyperlink"/>
          </w:rPr>
          <w:t xml:space="preserve">2021 Piney Point Sampling in Tampa Bay. Knowledge Network for Biocomplexity. urn:node:KNB.</w:t>
        </w:r>
      </w:hyperlink>
    </w:p>
    <w:bookmarkEnd w:id="53"/>
    <w:bookmarkStart w:id="55"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4">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5"/>
    <w:bookmarkStart w:id="57" w:name="ref-Beck21c"/>
    <w:p>
      <w:pPr>
        <w:pStyle w:val="Bibliography"/>
      </w:pPr>
      <w:r>
        <w:t xml:space="preserve">Beck MW, Burke MC, Raulerson GE, Scolaro SC, Sherwood ET, Whalen JD. 2021.</w:t>
      </w:r>
      <w:r>
        <w:t xml:space="preserve"> </w:t>
      </w:r>
      <w:hyperlink r:id="rId56">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7"/>
    <w:bookmarkStart w:id="59" w:name="ref-Beck19"/>
    <w:p>
      <w:pPr>
        <w:pStyle w:val="Bibliography"/>
      </w:pPr>
      <w:r>
        <w:t xml:space="preserve">Beck MW, Sherwood ET, Henkel JR, Dorans K, Ireland K, Varela P. 2019.</w:t>
      </w:r>
      <w:r>
        <w:t xml:space="preserve"> </w:t>
      </w:r>
      <w:hyperlink r:id="rId58">
        <w:r>
          <w:rPr>
            <w:rStyle w:val="Hyperlink"/>
          </w:rPr>
          <w:t xml:space="preserve">Assessment of the cumulative effects of restoration activities on water quality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Estuaries and Coasts 42: 1774–1791.</w:t>
      </w:r>
    </w:p>
    <w:bookmarkEnd w:id="59"/>
    <w:bookmarkStart w:id="61" w:name="ref-Boettiger21"/>
    <w:p>
      <w:pPr>
        <w:pStyle w:val="Bibliography"/>
      </w:pPr>
      <w:r>
        <w:t xml:space="preserve">Boettiger C, Jones MB. 2021.</w:t>
      </w:r>
      <w:r>
        <w:t xml:space="preserve"> </w:t>
      </w:r>
      <w:hyperlink r:id="rId60">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61"/>
    <w:bookmarkStart w:id="63" w:name="ref-Bryan20"/>
    <w:p>
      <w:pPr>
        <w:pStyle w:val="Bibliography"/>
      </w:pPr>
      <w:r>
        <w:t xml:space="preserve">Bryan J. 2020.</w:t>
      </w:r>
      <w:r>
        <w:t xml:space="preserve"> </w:t>
      </w:r>
      <w:hyperlink r:id="rId62">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3"/>
    <w:bookmarkStart w:id="65" w:name="ref-Burke20"/>
    <w:p>
      <w:pPr>
        <w:pStyle w:val="Bibliography"/>
      </w:pPr>
      <w:r>
        <w:t xml:space="preserve">Burke M, Amaral M. 2020.</w:t>
      </w:r>
      <w:r>
        <w:t xml:space="preserve"> </w:t>
      </w:r>
      <w:hyperlink r:id="rId64">
        <w:r>
          <w:rPr>
            <w:rStyle w:val="Hyperlink"/>
          </w:rPr>
          <w:t xml:space="preserve">2021-2025 Strategic Plan</w:t>
        </w:r>
      </w:hyperlink>
      <w:r>
        <w:t xml:space="preserve">. Tampa Bay Estuary Program, St. Petersburg, Florida, 19pp.</w:t>
      </w:r>
    </w:p>
    <w:bookmarkEnd w:id="65"/>
    <w:bookmarkStart w:id="67" w:name="ref-Chang21"/>
    <w:p>
      <w:pPr>
        <w:pStyle w:val="Bibliography"/>
      </w:pPr>
      <w:r>
        <w:t xml:space="preserve">Chang W, Cheng J, Allaire J, Sievert C, Schloerke B, Xie Y, Allen J, McPherson J, Dipert A, Borges B. 2021.</w:t>
      </w:r>
      <w:r>
        <w:t xml:space="preserve"> </w:t>
      </w:r>
      <w:hyperlink r:id="rId66">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7"/>
    <w:bookmarkStart w:id="69" w:name="ref-Chen18"/>
    <w:p>
      <w:pPr>
        <w:pStyle w:val="Bibliography"/>
      </w:pPr>
      <w:r>
        <w:t xml:space="preserve">Chen J, Weisberg RH, Liu Y, Zheng L. 2018.</w:t>
      </w:r>
      <w:r>
        <w:t xml:space="preserve"> </w:t>
      </w:r>
      <w:hyperlink r:id="rId68">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9"/>
    <w:bookmarkStart w:id="71" w:name="ref-Chen19"/>
    <w:p>
      <w:pPr>
        <w:pStyle w:val="Bibliography"/>
      </w:pPr>
      <w:r>
        <w:t xml:space="preserve">Chen J, Weisberg RH, Liu Y, Zheng L, Zhu J. 2019.</w:t>
      </w:r>
      <w:r>
        <w:t xml:space="preserve"> </w:t>
      </w:r>
      <w:hyperlink r:id="rId70">
        <w:r>
          <w:rPr>
            <w:rStyle w:val="Hyperlink"/>
          </w:rPr>
          <w:t xml:space="preserve">On the momentum balance of tampa bay</w:t>
        </w:r>
      </w:hyperlink>
      <w:r>
        <w:t xml:space="preserve">. Journal of Geophysical Research: Oceans 124: 4492–4510.</w:t>
      </w:r>
    </w:p>
    <w:bookmarkEnd w:id="71"/>
    <w:bookmarkStart w:id="73" w:name="ref-DAgostino20"/>
    <w:p>
      <w:pPr>
        <w:pStyle w:val="Bibliography"/>
      </w:pPr>
      <w:r>
        <w:t xml:space="preserve">D’Agostino McGowan L, Bryan J. 2020.</w:t>
      </w:r>
      <w:r>
        <w:t xml:space="preserve"> </w:t>
      </w:r>
      <w:hyperlink r:id="rId72">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3"/>
    <w:bookmarkStart w:id="75" w:name="ref-Garrett11"/>
    <w:p>
      <w:pPr>
        <w:pStyle w:val="Bibliography"/>
      </w:pPr>
      <w:r>
        <w:t xml:space="preserve">Garrett M, Wolny J, Truby E, Heil C, Kovach C. 2011.</w:t>
      </w:r>
      <w:r>
        <w:t xml:space="preserve"> </w:t>
      </w:r>
      <w:hyperlink r:id="rId74">
        <w:r>
          <w:rPr>
            <w:rStyle w:val="Hyperlink"/>
          </w:rPr>
          <w:t xml:space="preserve">Harmful algal bloom species and phosphate-processing effluent: Field and laboratory studies</w:t>
        </w:r>
      </w:hyperlink>
      <w:r>
        <w:t xml:space="preserve">. Marine Pollution Bulletin 62: 596–601.</w:t>
      </w:r>
    </w:p>
    <w:bookmarkEnd w:id="75"/>
    <w:bookmarkStart w:id="77" w:name="ref-Greening06"/>
    <w:p>
      <w:pPr>
        <w:pStyle w:val="Bibliography"/>
      </w:pPr>
      <w:r>
        <w:t xml:space="preserve">Greening H, Janicki A. 2006.</w:t>
      </w:r>
      <w:r>
        <w:t xml:space="preserve"> </w:t>
      </w:r>
      <w:hyperlink r:id="rId7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7"/>
    <w:bookmarkStart w:id="79" w:name="ref-Greening14"/>
    <w:p>
      <w:pPr>
        <w:pStyle w:val="Bibliography"/>
      </w:pPr>
      <w:r>
        <w:t xml:space="preserve">Greening H, Janicki A, Sherwood E, Pribble R, Johansson JOR. 2014.</w:t>
      </w:r>
      <w:r>
        <w:t xml:space="preserve"> </w:t>
      </w:r>
      <w:hyperlink r:id="rId78">
        <w:r>
          <w:rPr>
            <w:rStyle w:val="Hyperlink"/>
          </w:rPr>
          <w:t xml:space="preserve">Ecosystem responses to long-term nutrient management in an urban estuary: Tampa Bay, Florida, USA</w:t>
        </w:r>
      </w:hyperlink>
      <w:r>
        <w:t xml:space="preserve">. Estuarine, Coastal and Shelf Science 151: A1–A16.</w:t>
      </w:r>
    </w:p>
    <w:bookmarkEnd w:id="79"/>
    <w:bookmarkStart w:id="8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80"/>
    <w:bookmarkStart w:id="82" w:name="ref-Iannone20"/>
    <w:p>
      <w:pPr>
        <w:pStyle w:val="Bibliography"/>
      </w:pPr>
      <w:r>
        <w:t xml:space="preserve">Iannone R, Allaire J, Borges B. 2020.</w:t>
      </w:r>
      <w:r>
        <w:t xml:space="preserve"> </w:t>
      </w:r>
      <w:hyperlink r:id="rId81">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82"/>
    <w:bookmarkStart w:id="83" w:name="ref-Johansson91"/>
    <w:p>
      <w:pPr>
        <w:pStyle w:val="Bibliography"/>
      </w:pPr>
      <w:r>
        <w:t xml:space="preserve">Johansson JOR. 1991. Long-term trends of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Treat SF, Clark PA [eds.]. : 157–176.</w:t>
      </w:r>
    </w:p>
    <w:bookmarkEnd w:id="83"/>
    <w:bookmarkStart w:id="85" w:name="ref-Jones20"/>
    <w:p>
      <w:pPr>
        <w:pStyle w:val="Bibliography"/>
      </w:pPr>
      <w:r>
        <w:t xml:space="preserve">Jones MB, Slaughter P, Nahf R, Boettiger C, Jones C, Mecum B, Clark J, Read J, Walker L, Hart E, Chamberlain S. 2020.</w:t>
      </w:r>
      <w:r>
        <w:t xml:space="preserve"> </w:t>
      </w:r>
      <w:hyperlink r:id="rId84">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85"/>
    <w:bookmarkStart w:id="87" w:name="ref-Lewis98"/>
    <w:p>
      <w:pPr>
        <w:pStyle w:val="Bibliography"/>
      </w:pPr>
      <w:r>
        <w:t xml:space="preserve">Lewis RR, Clark PA, Fehring WK, Greening HS, Johansson RO, Paul RT. 1998.</w:t>
      </w:r>
      <w:r>
        <w:t xml:space="preserve"> </w:t>
      </w:r>
      <w:hyperlink r:id="rId86">
        <w:r>
          <w:rPr>
            <w:rStyle w:val="Hyperlink"/>
          </w:rPr>
          <w:t xml:space="preserve">The rehabilitation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E</w:t>
        </w:r>
        <w:r>
          <w:rPr>
            <w:rStyle w:val="Hyperlink"/>
          </w:rPr>
          <w:t xml:space="preserve">stuary,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r>
          <w:rPr>
            <w:rStyle w:val="Hyperlink"/>
          </w:rPr>
          <w:t xml:space="preserve">, as an example of successful integrated coastal management</w:t>
        </w:r>
      </w:hyperlink>
      <w:r>
        <w:t xml:space="preserve">. Marine Pollution Bulletin 37: 468–473.</w:t>
      </w:r>
    </w:p>
    <w:bookmarkEnd w:id="87"/>
    <w:bookmarkStart w:id="88"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88"/>
    <w:bookmarkStart w:id="89" w:name="ref-Lopez16"/>
    <w:p>
      <w:pPr>
        <w:pStyle w:val="Bibliography"/>
      </w:pPr>
      <w:r>
        <w:t xml:space="preserve">Lopez CB, smith CG, Marot ME, Karlen DJ, Corcoran AA. 2016. The role of seedbeds of</w:t>
      </w:r>
      <w:r>
        <w:t xml:space="preserve"> </w:t>
      </w:r>
      <w:r>
        <w:rPr>
          <w:iCs/>
          <w:i/>
        </w:rPr>
        <w:t xml:space="preserve">P</w:t>
      </w:r>
      <w:r>
        <w:rPr>
          <w:iCs/>
          <w:i/>
        </w:rPr>
        <w:t xml:space="preserve">yrodinium bahamense</w:t>
      </w:r>
      <w:r>
        <w:t xml:space="preserve"> </w:t>
      </w:r>
      <w:r>
        <w:t xml:space="preserve">bloom dynamics in</w:t>
      </w:r>
      <w:r>
        <w:t xml:space="preserve"> </w:t>
      </w:r>
      <w:r>
        <w:t xml:space="preserve">T</w:t>
      </w:r>
      <w:r>
        <w:t xml:space="preserve">ampa</w:t>
      </w:r>
      <w:r>
        <w:t xml:space="preserve"> </w:t>
      </w:r>
      <w:r>
        <w:t xml:space="preserve">B</w:t>
      </w:r>
      <w:r>
        <w:t xml:space="preserve">ay, pp. 78–83</w:t>
      </w:r>
      <w:r>
        <w:t xml:space="preserve"> </w:t>
      </w:r>
      <w:r>
        <w:rPr>
          <w:iCs/>
          <w:i/>
        </w:rPr>
        <w:t xml:space="preserve">In</w:t>
      </w:r>
      <w:r>
        <w:t xml:space="preserve"> </w:t>
      </w:r>
      <w:r>
        <w:t xml:space="preserve">Burke MC [ed.], Proceedings of the sixth tampa bay area scientific information symposium, BASIS 6. Saint Petersburg, Florida, USA.</w:t>
      </w:r>
    </w:p>
    <w:bookmarkEnd w:id="89"/>
    <w:bookmarkStart w:id="91" w:name="ref-RCT20"/>
    <w:p>
      <w:pPr>
        <w:pStyle w:val="Bibliography"/>
      </w:pPr>
      <w:r>
        <w:t xml:space="preserve">R Core Team. 2021.</w:t>
      </w:r>
      <w:r>
        <w:t xml:space="preserve"> </w:t>
      </w:r>
      <w:hyperlink r:id="rId90">
        <w:r>
          <w:rPr>
            <w:rStyle w:val="Hyperlink"/>
          </w:rPr>
          <w:t xml:space="preserve">R: A language and environment for statistical computing, v4.1.2</w:t>
        </w:r>
      </w:hyperlink>
      <w:r>
        <w:t xml:space="preserve">. R Foundation for Statistical Computing, Vienna, Austria.</w:t>
      </w:r>
    </w:p>
    <w:bookmarkEnd w:id="91"/>
    <w:bookmarkStart w:id="93" w:name="ref-Sherwood17"/>
    <w:p>
      <w:pPr>
        <w:pStyle w:val="Bibliography"/>
      </w:pPr>
      <w:r>
        <w:t xml:space="preserve">Sherwood E, Greening H, Johansson JOR, Kaufman K, Raulerson G. 2017.</w:t>
      </w:r>
      <w:r>
        <w:t xml:space="preserve"> </w:t>
      </w:r>
      <w:hyperlink r:id="rId92">
        <w:r>
          <w:rPr>
            <w:rStyle w:val="Hyperlink"/>
          </w:rPr>
          <w:t xml:space="preserve">Tampa Bay (Florida, USA): Documenting seagrass recovery since the 1980’s and reviewing the benefits</w:t>
        </w:r>
      </w:hyperlink>
      <w:r>
        <w:t xml:space="preserve">. Southeastern Geographer 57: 294–319.</w:t>
      </w:r>
    </w:p>
    <w:bookmarkEnd w:id="93"/>
    <w:bookmarkStart w:id="9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 24pp.</w:t>
      </w:r>
    </w:p>
    <w:bookmarkEnd w:id="94"/>
    <w:bookmarkStart w:id="96" w:name="ref-Tomasko20"/>
    <w:p>
      <w:pPr>
        <w:pStyle w:val="Bibliography"/>
      </w:pPr>
      <w:r>
        <w:t xml:space="preserve">Tomasko D, Alderson M, Burnes R, Hecker J, Iadevaia N, Leverone J, Raulerson G, Sherwood E. 2020.</w:t>
      </w:r>
      <w:r>
        <w:t xml:space="preserve"> </w:t>
      </w:r>
      <w:hyperlink r:id="rId95">
        <w:r>
          <w:rPr>
            <w:rStyle w:val="Hyperlink"/>
          </w:rPr>
          <w:t xml:space="preserve">The effects of</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 on seagrass meadows in previously eutrophic estuaries in</w:t>
        </w:r>
        <w:r>
          <w:rPr>
            <w:rStyle w:val="Hyperlink"/>
          </w:rPr>
          <w:t xml:space="preserve"> </w:t>
        </w:r>
        <w:r>
          <w:rPr>
            <w:rStyle w:val="Hyperlink"/>
          </w:rPr>
          <w:t xml:space="preserve">S</w:t>
        </w:r>
        <w:r>
          <w:rPr>
            <w:rStyle w:val="Hyperlink"/>
          </w:rPr>
          <w:t xml:space="preserve">outhwest</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Marine Pollution Bulletin 156: 111247.</w:t>
      </w:r>
    </w:p>
    <w:bookmarkEnd w:id="96"/>
    <w:bookmarkStart w:id="98" w:name="ref-Wang99"/>
    <w:p>
      <w:pPr>
        <w:pStyle w:val="Bibliography"/>
      </w:pPr>
      <w:r>
        <w:t xml:space="preserve">Wang P, Martin J, Morrison G. 1999.</w:t>
      </w:r>
      <w:r>
        <w:t xml:space="preserve"> </w:t>
      </w:r>
      <w:hyperlink r:id="rId97">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98"/>
    <w:bookmarkStart w:id="100" w:name="ref-Wickham11"/>
    <w:p>
      <w:pPr>
        <w:pStyle w:val="Bibliography"/>
      </w:pPr>
      <w:r>
        <w:t xml:space="preserve">Wickham H. 2011.</w:t>
      </w:r>
      <w:r>
        <w:t xml:space="preserve"> </w:t>
      </w:r>
      <w:hyperlink r:id="rId99">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100"/>
    <w:bookmarkStart w:id="102" w:name="ref-Wickham14c"/>
    <w:p>
      <w:pPr>
        <w:pStyle w:val="Bibliography"/>
      </w:pPr>
      <w:r>
        <w:t xml:space="preserve">Wickham H. 2014.</w:t>
      </w:r>
      <w:r>
        <w:t xml:space="preserve"> </w:t>
      </w:r>
      <w:hyperlink r:id="rId101">
        <w:r>
          <w:rPr>
            <w:rStyle w:val="Hyperlink"/>
          </w:rPr>
          <w:t xml:space="preserve">Tidy data</w:t>
        </w:r>
      </w:hyperlink>
      <w:r>
        <w:t xml:space="preserve">. Journal of Statistical Software 59: 1–23.</w:t>
      </w:r>
    </w:p>
    <w:bookmarkEnd w:id="102"/>
    <w:bookmarkStart w:id="104"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103">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04"/>
    <w:bookmarkStart w:id="106" w:name="ref-Xie20"/>
    <w:p>
      <w:pPr>
        <w:pStyle w:val="Bibliography"/>
      </w:pPr>
      <w:r>
        <w:t xml:space="preserve">Xie Y, Dervieux C, Riederer E. 2020.</w:t>
      </w:r>
      <w:r>
        <w:t xml:space="preserve"> </w:t>
      </w:r>
      <w:hyperlink r:id="rId105">
        <w:r>
          <w:rPr>
            <w:rStyle w:val="Hyperlink"/>
          </w:rPr>
          <w:t xml:space="preserve">R markdown cookbook</w:t>
        </w:r>
      </w:hyperlink>
      <w:r>
        <w:t xml:space="preserve">. Chapman; Hall/CRC, Boca Raton, Florida.</w:t>
      </w:r>
    </w:p>
    <w:bookmarkEnd w:id="106"/>
    <w:bookmarkEnd w:id="107"/>
    <w:bookmarkEnd w:id="10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05" Target="https://bookdown.org/yihui/rmarkdown-cookbook" TargetMode="External" /><Relationship Type="http://schemas.openxmlformats.org/officeDocument/2006/relationships/hyperlink" Id="rId97"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95"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70" Target="https://doi.org/10.1029/2018JC014890" TargetMode="External" /><Relationship Type="http://schemas.openxmlformats.org/officeDocument/2006/relationships/hyperlink" Id="rId92" Target="https://doi.org/10.1353/sgo.2017.0026" TargetMode="External" /><Relationship Type="http://schemas.openxmlformats.org/officeDocument/2006/relationships/hyperlink" Id="rId101" Target="https://doi.org/10.18637/jss.v059.i10" TargetMode="External" /><Relationship Type="http://schemas.openxmlformats.org/officeDocument/2006/relationships/hyperlink" Id="rId103"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99"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05" Target="https://bookdown.org/yihui/rmarkdown-cookbook" TargetMode="External" /><Relationship Type="http://schemas.openxmlformats.org/officeDocument/2006/relationships/hyperlink" Id="rId97"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74" Target="https://doi.org/10.1016/j.marpolbul.2010.11.017" TargetMode="External" /><Relationship Type="http://schemas.openxmlformats.org/officeDocument/2006/relationships/hyperlink" Id="rId95"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70" Target="https://doi.org/10.1029/2018JC014890" TargetMode="External" /><Relationship Type="http://schemas.openxmlformats.org/officeDocument/2006/relationships/hyperlink" Id="rId92" Target="https://doi.org/10.1353/sgo.2017.0026" TargetMode="External" /><Relationship Type="http://schemas.openxmlformats.org/officeDocument/2006/relationships/hyperlink" Id="rId101" Target="https://doi.org/10.18637/jss.v059.i10" TargetMode="External" /><Relationship Type="http://schemas.openxmlformats.org/officeDocument/2006/relationships/hyperlink" Id="rId103"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99"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2022-05-24T20:11:40Z</dcterms:created>
  <dcterms:modified xsi:type="dcterms:W3CDTF">2022-05-24T20:11:40Z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paper describes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is also presented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