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2.jpg" ContentType="image/jpeg"/>
  <Override PartName="/word/media/rId36.jpg" ContentType="image/jpeg"/>
  <Override PartName="/word/media/rId3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2022-05-17 15:14:10</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and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study period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samples were taken for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principles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a publicly accessible folders, or share via email with TBEP staff for upload if access issues to the main drive were encountered. Datasets were also downloaded by TBEP staff from source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and 2) an entry point for downstream data synthesis products created by TBEP. Changing user permissions also allowed read/write access to only those necessary (i.e., partner agencies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a single script,</w:t>
      </w:r>
      <w:r>
        <w:t xml:space="preserve"> </w:t>
      </w:r>
      <w:r>
        <w:rPr>
          <w:rStyle w:val="VerbatimChar"/>
        </w:rPr>
        <w:t xml:space="preserve">dat_proc.R</w:t>
      </w:r>
      <w:r>
        <w:t xml:space="preserve">, that imported all files from Google Drive for synthesis into individual binary .RData files for use with the dashboard (i.e., individual file for water quality, phytoplankton, etc.). Several R packages were indispensable in the data synthesis effort and these included 1) the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and 2)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to commonly used values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and often making edits to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critical for maintaining integrity of the informaiton. Each time changes were made to the repository and pushed to GitHub,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components of the app. The flexdashboard package was particularly useful in creating an intuitive user interface to organize related components of the monitoring effort. The dashboard was deployed using Shiny Server by pulling the GitHub repository to a remote server maintained by TBEP each time an update was made (Figure</w:t>
      </w:r>
      <w:r>
        <w:t xml:space="preserve"> </w:t>
      </w:r>
      <w:r>
        <w:t xml:space="preserve">2</w:t>
      </w:r>
      <w:r>
        <w:t xml:space="preserve">, app deployment). This allowed anyone to access the dashboard using the url</w:t>
      </w:r>
      <w:r>
        <w:t xml:space="preserve"> </w:t>
      </w:r>
      <w:hyperlink r:id="rId30">
        <w:r>
          <w:rPr>
            <w:rStyle w:val="Hyperlink"/>
          </w:rPr>
          <w:t xml:space="preserve">https://shiny.tbep.org/piney-point</w:t>
        </w:r>
      </w:hyperlink>
      <w:r>
        <w:t xml:space="preserve">.</w:t>
      </w:r>
    </w:p>
    <w:p>
      <w:pPr>
        <w:pStyle w:val="BodyText"/>
      </w:pPr>
      <w:r>
        <w:t xml:space="preserve">Every shiny application includes a server and user interface. The server components of the dashboard include</w:t>
      </w:r>
    </w:p>
    <w:p>
      <w:pPr>
        <w:numPr>
          <w:ilvl w:val="0"/>
          <w:numId w:val="1002"/>
        </w:numPr>
        <w:pStyle w:val="Compact"/>
      </w:pPr>
      <w:r>
        <w:t xml:space="preserve">App creation and hosting, Figure</w:t>
      </w:r>
      <w:r>
        <w:t xml:space="preserve"> </w:t>
      </w:r>
      <w:r>
        <w:t xml:space="preserve">3</w:t>
      </w:r>
      <w:r>
        <w:t xml:space="preserve">,</w:t>
      </w:r>
      <w:r>
        <w:t xml:space="preserve"> </w:t>
      </w:r>
      <w:r>
        <w:t xml:space="preserve">Beck et al. (</w:t>
      </w:r>
      <w:hyperlink w:anchor="ref-Beck21c">
        <w:r>
          <w:rPr>
            <w:rStyle w:val="Hyperlink"/>
          </w:rPr>
          <w:t xml:space="preserve">2021</w:t>
        </w:r>
      </w:hyperlink>
      <w:r>
        <w:t xml:space="preserve">)</w:t>
      </w:r>
    </w:p>
    <w:p>
      <w:pPr>
        <w:numPr>
          <w:ilvl w:val="0"/>
          <w:numId w:val="1002"/>
        </w:numPr>
        <w:pStyle w:val="Compact"/>
      </w:pPr>
      <w:r>
        <w:t xml:space="preserve">App structure - backend</w:t>
      </w:r>
    </w:p>
    <w:p>
      <w:pPr>
        <w:numPr>
          <w:ilvl w:val="1"/>
          <w:numId w:val="1003"/>
        </w:numPr>
        <w:pStyle w:val="Compact"/>
      </w:pPr>
      <w:r>
        <w:t xml:space="preserve">R/dat_proc.R to data folder, logs</w:t>
      </w:r>
    </w:p>
    <w:p>
      <w:pPr>
        <w:numPr>
          <w:ilvl w:val="1"/>
          <w:numId w:val="1003"/>
        </w:numPr>
        <w:pStyle w:val="Compact"/>
      </w:pPr>
      <w:r>
        <w:t xml:space="preserve">Testing why and how (testthat, GitHub Actions)</w:t>
      </w:r>
    </w:p>
    <w:p>
      <w:pPr>
        <w:numPr>
          <w:ilvl w:val="1"/>
          <w:numId w:val="1003"/>
        </w:numPr>
        <w:pStyle w:val="Compact"/>
      </w:pPr>
      <w:r>
        <w:t xml:space="preserve">Rmarkdown w/ flexdashboard: Dependencies/globals, reactives, UI setup with text descriptions and dynamic inputs</w:t>
      </w:r>
    </w:p>
    <w:p>
      <w:pPr>
        <w:numPr>
          <w:ilvl w:val="1"/>
          <w:numId w:val="1003"/>
        </w:numPr>
        <w:pStyle w:val="Compact"/>
      </w:pPr>
      <w:r>
        <w:t xml:space="preserve">CSS styling</w:t>
      </w:r>
    </w:p>
    <w:p>
      <w:pPr>
        <w:numPr>
          <w:ilvl w:val="1"/>
          <w:numId w:val="1003"/>
        </w:numPr>
        <w:pStyle w:val="Compact"/>
      </w:pPr>
      <w:r>
        <w:t xml:space="preserve">Google Analytics js</w:t>
      </w:r>
    </w:p>
    <w:p>
      <w:pPr>
        <w:numPr>
          <w:ilvl w:val="0"/>
          <w:numId w:val="1002"/>
        </w:numPr>
        <w:pStyle w:val="Compact"/>
      </w:pPr>
      <w:r>
        <w:t xml:space="preserve">App structure - frontend</w:t>
      </w:r>
    </w:p>
    <w:p>
      <w:pPr>
        <w:numPr>
          <w:ilvl w:val="1"/>
          <w:numId w:val="1004"/>
        </w:numPr>
        <w:pStyle w:val="Compact"/>
      </w:pPr>
      <w:r>
        <w:t xml:space="preserve">Landing page</w:t>
      </w:r>
    </w:p>
    <w:p>
      <w:pPr>
        <w:numPr>
          <w:ilvl w:val="1"/>
          <w:numId w:val="1004"/>
        </w:numPr>
        <w:pStyle w:val="Compact"/>
      </w:pPr>
      <w:r>
        <w:t xml:space="preserve">Current data</w:t>
      </w:r>
    </w:p>
    <w:p>
      <w:pPr>
        <w:numPr>
          <w:ilvl w:val="2"/>
          <w:numId w:val="1005"/>
        </w:numPr>
        <w:pStyle w:val="Compact"/>
      </w:pPr>
      <w:r>
        <w:t xml:space="preserve">Water quality results</w:t>
      </w:r>
    </w:p>
    <w:p>
      <w:pPr>
        <w:numPr>
          <w:ilvl w:val="2"/>
          <w:numId w:val="1005"/>
        </w:numPr>
        <w:pStyle w:val="Compact"/>
      </w:pPr>
      <w:r>
        <w:t xml:space="preserve">Algal surveys</w:t>
      </w:r>
    </w:p>
    <w:p>
      <w:pPr>
        <w:numPr>
          <w:ilvl w:val="2"/>
          <w:numId w:val="1005"/>
        </w:numPr>
        <w:pStyle w:val="Compact"/>
      </w:pPr>
      <w:r>
        <w:t xml:space="preserve">Seagrass/macroalgae</w:t>
      </w:r>
    </w:p>
    <w:p>
      <w:pPr>
        <w:numPr>
          <w:ilvl w:val="2"/>
          <w:numId w:val="1005"/>
        </w:numPr>
        <w:pStyle w:val="Compact"/>
      </w:pPr>
      <w:r>
        <w:t xml:space="preserve">Contaminants</w:t>
      </w:r>
    </w:p>
    <w:p>
      <w:pPr>
        <w:numPr>
          <w:ilvl w:val="2"/>
          <w:numId w:val="1005"/>
        </w:numPr>
        <w:pStyle w:val="Compact"/>
      </w:pPr>
      <w:r>
        <w:t xml:space="preserve">Benthic</w:t>
      </w:r>
    </w:p>
    <w:p>
      <w:pPr>
        <w:numPr>
          <w:ilvl w:val="1"/>
          <w:numId w:val="1004"/>
        </w:numPr>
        <w:pStyle w:val="Compact"/>
      </w:pPr>
      <w:r>
        <w:t xml:space="preserve">Baseline data</w:t>
      </w:r>
    </w:p>
    <w:p>
      <w:pPr>
        <w:numPr>
          <w:ilvl w:val="2"/>
          <w:numId w:val="1006"/>
        </w:numPr>
        <w:pStyle w:val="Compact"/>
      </w:pPr>
      <w:r>
        <w:t xml:space="preserve">Water quality</w:t>
      </w:r>
    </w:p>
    <w:p>
      <w:pPr>
        <w:numPr>
          <w:ilvl w:val="2"/>
          <w:numId w:val="1006"/>
        </w:numPr>
        <w:pStyle w:val="Compact"/>
      </w:pPr>
      <w:r>
        <w:t xml:space="preserve">Seagrasses</w:t>
      </w:r>
    </w:p>
    <w:bookmarkEnd w:id="31"/>
    <w:bookmarkStart w:id="32" w:name="analytics"/>
    <w:p>
      <w:pPr>
        <w:pStyle w:val="Heading2"/>
      </w:pPr>
      <w:r>
        <w:t xml:space="preserve">Analytics</w:t>
      </w:r>
    </w:p>
    <w:p>
      <w:pPr>
        <w:numPr>
          <w:ilvl w:val="0"/>
          <w:numId w:val="1007"/>
        </w:numPr>
        <w:pStyle w:val="Compact"/>
      </w:pPr>
      <w:r>
        <w:t xml:space="preserve">Analytics and where it was linked (e.g., DEP, myfwc), note analytics did not start until May 13th, 2021</w:t>
      </w:r>
    </w:p>
    <w:p>
      <w:pPr>
        <w:numPr>
          <w:ilvl w:val="1"/>
          <w:numId w:val="1008"/>
        </w:numPr>
        <w:pStyle w:val="Compact"/>
      </w:pPr>
      <w:r>
        <w:t xml:space="preserve">Average time spent on app, mobile vs desktop (go to analytics to get this)</w:t>
      </w:r>
    </w:p>
    <w:p>
      <w:pPr>
        <w:numPr>
          <w:ilvl w:val="1"/>
          <w:numId w:val="1008"/>
        </w:numPr>
        <w:pStyle w:val="Compact"/>
      </w:pPr>
      <w:r>
        <w:t xml:space="preserve">Total users over time (from Google Analytics), Figure</w:t>
      </w:r>
      <w:r>
        <w:t xml:space="preserve"> </w:t>
      </w:r>
      <w:r>
        <w:t xml:space="preserve">4</w:t>
      </w:r>
    </w:p>
    <w:p>
      <w:pPr>
        <w:numPr>
          <w:ilvl w:val="1"/>
          <w:numId w:val="1008"/>
        </w:numPr>
        <w:pStyle w:val="Compact"/>
      </w:pPr>
      <w:r>
        <w:t xml:space="preserve">Users by geographic location (country, state, city), Table</w:t>
      </w:r>
      <w:r>
        <w:t xml:space="preserve"> </w:t>
      </w:r>
      <w:r>
        <w:t xml:space="preserve">2</w:t>
      </w:r>
    </w:p>
    <w:bookmarkEnd w:id="32"/>
    <w:bookmarkEnd w:id="33"/>
    <w:bookmarkStart w:id="34" w:name="data-archive"/>
    <w:p>
      <w:pPr>
        <w:pStyle w:val="Heading1"/>
      </w:pPr>
      <w:r>
        <w:t xml:space="preserve">Data Archive</w:t>
      </w:r>
    </w:p>
    <w:p>
      <w:pPr>
        <w:numPr>
          <w:ilvl w:val="0"/>
          <w:numId w:val="1009"/>
        </w:numPr>
        <w:pStyle w:val="Compact"/>
      </w:pPr>
      <w:r>
        <w:t xml:space="preserve">Rationale, maybe make relative to past PP events (no data) and highlight importance of metadata</w:t>
      </w:r>
    </w:p>
    <w:p>
      <w:pPr>
        <w:numPr>
          <w:ilvl w:val="0"/>
          <w:numId w:val="1009"/>
        </w:numPr>
        <w:pStyle w:val="Compact"/>
      </w:pPr>
      <w:r>
        <w:t xml:space="preserve">Workflow and GitHub repository</w:t>
      </w:r>
    </w:p>
    <w:p>
      <w:pPr>
        <w:numPr>
          <w:ilvl w:val="0"/>
          <w:numId w:val="1009"/>
        </w:numPr>
        <w:pStyle w:val="Compact"/>
      </w:pPr>
      <w:r>
        <w:t xml:space="preserve">EML, KNB location, download stats</w:t>
      </w:r>
    </w:p>
    <w:bookmarkEnd w:id="34"/>
    <w:bookmarkStart w:id="35" w:name="discussion"/>
    <w:p>
      <w:pPr>
        <w:pStyle w:val="Heading1"/>
      </w:pPr>
      <w:r>
        <w:t xml:space="preserve">Discussion</w:t>
      </w:r>
    </w:p>
    <w:p>
      <w:pPr>
        <w:numPr>
          <w:ilvl w:val="0"/>
          <w:numId w:val="1010"/>
        </w:numPr>
        <w:pStyle w:val="Compact"/>
      </w:pPr>
      <w:r>
        <w:t xml:space="preserve">Added value of the app</w:t>
      </w:r>
    </w:p>
    <w:p>
      <w:pPr>
        <w:numPr>
          <w:ilvl w:val="1"/>
          <w:numId w:val="1011"/>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11"/>
        </w:numPr>
        <w:pStyle w:val="Compact"/>
      </w:pPr>
      <w:r>
        <w:t xml:space="preserve">how can we better assess the value of these tools more holistically? What is the true measure of success in terms of behavior change or driving policy, if any?</w:t>
      </w:r>
    </w:p>
    <w:p>
      <w:pPr>
        <w:numPr>
          <w:ilvl w:val="0"/>
          <w:numId w:val="1010"/>
        </w:numPr>
        <w:pStyle w:val="Compact"/>
      </w:pPr>
      <w:r>
        <w:t xml:space="preserve">Relevant considerations</w:t>
      </w:r>
    </w:p>
    <w:p>
      <w:pPr>
        <w:numPr>
          <w:ilvl w:val="1"/>
          <w:numId w:val="1012"/>
        </w:numPr>
        <w:pStyle w:val="Compact"/>
      </w:pPr>
      <w:r>
        <w:t xml:space="preserve">What worked - use of OS tools, but still very time-consuming (e.g., R/dat_proc.R is thousands of lines of code)</w:t>
      </w:r>
    </w:p>
    <w:p>
      <w:pPr>
        <w:numPr>
          <w:ilvl w:val="1"/>
          <w:numId w:val="1012"/>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12"/>
        </w:numPr>
        <w:pStyle w:val="Compact"/>
      </w:pPr>
      <w:r>
        <w:t xml:space="preserve">Value of historical data and contextualized summaries</w:t>
      </w:r>
    </w:p>
    <w:p>
      <w:pPr>
        <w:numPr>
          <w:ilvl w:val="1"/>
          <w:numId w:val="1012"/>
        </w:numPr>
        <w:pStyle w:val="Compact"/>
      </w:pPr>
      <w:r>
        <w:t xml:space="preserve">Exposure of additional data needs (e.g., macroalgae)</w:t>
      </w:r>
    </w:p>
    <w:p>
      <w:pPr>
        <w:numPr>
          <w:ilvl w:val="0"/>
          <w:numId w:val="1010"/>
        </w:numPr>
        <w:pStyle w:val="Compact"/>
      </w:pPr>
      <w:r>
        <w:t xml:space="preserve">Future of Piney Point, next steps, etc.</w:t>
      </w:r>
    </w:p>
    <w:p>
      <w:r>
        <w:br w:type="page"/>
      </w:r>
    </w:p>
    <w:bookmarkEnd w:id="35"/>
    <w:bookmarkStart w:id="48"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7" name="Picture"/>
            <a:graphic>
              <a:graphicData uri="http://schemas.openxmlformats.org/drawingml/2006/picture">
                <pic:pic>
                  <pic:nvPicPr>
                    <pic:cNvPr descr="figs/map.jpeg" id="38" name="Picture"/>
                    <pic:cNvPicPr>
                      <a:picLocks noChangeArrowheads="1" noChangeAspect="1"/>
                    </pic:cNvPicPr>
                  </pic:nvPicPr>
                  <pic:blipFill>
                    <a:blip r:embed="rId36"/>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40" name="Picture"/>
            <a:graphic>
              <a:graphicData uri="http://schemas.openxmlformats.org/drawingml/2006/picture">
                <pic:pic>
                  <pic:nvPicPr>
                    <pic:cNvPr descr="figs/synthesis.JPG" id="41" name="Picture"/>
                    <pic:cNvPicPr>
                      <a:picLocks noChangeArrowheads="1" noChangeAspect="1"/>
                    </pic:cNvPicPr>
                  </pic:nvPicPr>
                  <pic:blipFill>
                    <a:blip r:embed="rId39"/>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3" name="Picture"/>
            <a:graphic>
              <a:graphicData uri="http://schemas.openxmlformats.org/drawingml/2006/picture">
                <pic:pic>
                  <pic:nvPicPr>
                    <pic:cNvPr descr="figs/dashboard.JPG" id="44" name="Picture"/>
                    <pic:cNvPicPr>
                      <a:picLocks noChangeArrowheads="1" noChangeAspect="1"/>
                    </pic:cNvPicPr>
                  </pic:nvPicPr>
                  <pic:blipFill>
                    <a:blip r:embed="rId42"/>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6" name="Picture"/>
            <a:graphic>
              <a:graphicData uri="http://schemas.openxmlformats.org/drawingml/2006/picture">
                <pic:pic>
                  <pic:nvPicPr>
                    <pic:cNvPr descr="figs/analytics.jpeg" id="47" name="Picture"/>
                    <pic:cNvPicPr>
                      <a:picLocks noChangeArrowheads="1" noChangeAspect="1"/>
                    </pic:cNvPicPr>
                  </pic:nvPicPr>
                  <pic:blipFill>
                    <a:blip r:embed="rId45"/>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8"/>
    <w:bookmarkStart w:id="49"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9"/>
    <w:bookmarkStart w:id="84" w:name="references"/>
    <w:p>
      <w:pPr>
        <w:pStyle w:val="Heading1"/>
      </w:pPr>
      <w:r>
        <w:t xml:space="preserve">References</w:t>
      </w:r>
    </w:p>
    <w:bookmarkStart w:id="83" w:name="refs"/>
    <w:bookmarkStart w:id="51" w:name="ref-Beck21d"/>
    <w:p>
      <w:pPr>
        <w:pStyle w:val="Bibliography"/>
      </w:pPr>
      <w:r>
        <w:t xml:space="preserve">Beck MW. 2021.</w:t>
      </w:r>
      <w:r>
        <w:t xml:space="preserve"> </w:t>
      </w:r>
      <w:hyperlink r:id="rId50">
        <w:r>
          <w:rPr>
            <w:rStyle w:val="Hyperlink"/>
          </w:rPr>
          <w:t xml:space="preserve">2021 Piney Point Sampling in Tampa Bay. Knowledge Network for Biocomplexity. urn:node:KNB.</w:t>
        </w:r>
      </w:hyperlink>
    </w:p>
    <w:bookmarkEnd w:id="51"/>
    <w:bookmarkStart w:id="53"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2">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3"/>
    <w:bookmarkStart w:id="55" w:name="ref-Beck21c"/>
    <w:p>
      <w:pPr>
        <w:pStyle w:val="Bibliography"/>
      </w:pPr>
      <w:r>
        <w:t xml:space="preserve">Beck MW, Burke MC, Raulerson GE, Scolaro SC, Sherwood ET, Whalen JD. 2021.</w:t>
      </w:r>
      <w:r>
        <w:t xml:space="preserve"> </w:t>
      </w:r>
      <w:hyperlink r:id="rId54">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5"/>
    <w:bookmarkStart w:id="57" w:name="ref-Bryan20"/>
    <w:p>
      <w:pPr>
        <w:pStyle w:val="Bibliography"/>
      </w:pPr>
      <w:r>
        <w:t xml:space="preserve">Bryan J. 2020.</w:t>
      </w:r>
      <w:r>
        <w:t xml:space="preserve"> </w:t>
      </w:r>
      <w:hyperlink r:id="rId56">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57"/>
    <w:bookmarkStart w:id="59" w:name="ref-Chang21"/>
    <w:p>
      <w:pPr>
        <w:pStyle w:val="Bibliography"/>
      </w:pPr>
      <w:r>
        <w:t xml:space="preserve">Chang W, Cheng J, Allaire J, Sievert C, Schloerke B, Xie Y, Allen J, McPherson J, Dipert A, Borges B. 2021.</w:t>
      </w:r>
      <w:r>
        <w:t xml:space="preserve"> </w:t>
      </w:r>
      <w:hyperlink r:id="rId58">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59"/>
    <w:bookmarkStart w:id="61" w:name="ref-Chen18"/>
    <w:p>
      <w:pPr>
        <w:pStyle w:val="Bibliography"/>
      </w:pPr>
      <w:r>
        <w:t xml:space="preserve">Chen J, Weisberg RH, Liu Y, Zheng L. 2018.</w:t>
      </w:r>
      <w:r>
        <w:t xml:space="preserve"> </w:t>
      </w:r>
      <w:hyperlink r:id="rId60">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1"/>
    <w:bookmarkStart w:id="63" w:name="ref-Chen19"/>
    <w:p>
      <w:pPr>
        <w:pStyle w:val="Bibliography"/>
      </w:pPr>
      <w:r>
        <w:t xml:space="preserve">Chen J, Weisberg RH, Liu Y, Zheng L, Zhu J. 2019.</w:t>
      </w:r>
      <w:r>
        <w:t xml:space="preserve"> </w:t>
      </w:r>
      <w:hyperlink r:id="rId62">
        <w:r>
          <w:rPr>
            <w:rStyle w:val="Hyperlink"/>
          </w:rPr>
          <w:t xml:space="preserve">On the momentum balance of tampa bay</w:t>
        </w:r>
      </w:hyperlink>
      <w:r>
        <w:t xml:space="preserve">. Journal of Geophysical Research: Oceans 124: 4492–4510.</w:t>
      </w:r>
    </w:p>
    <w:bookmarkEnd w:id="63"/>
    <w:bookmarkStart w:id="65" w:name="ref-DAgostino20"/>
    <w:p>
      <w:pPr>
        <w:pStyle w:val="Bibliography"/>
      </w:pPr>
      <w:r>
        <w:t xml:space="preserve">D’Agostino McGowan L, Bryan J. 2020.</w:t>
      </w:r>
      <w:r>
        <w:t xml:space="preserve"> </w:t>
      </w:r>
      <w:hyperlink r:id="rId64">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65"/>
    <w:bookmarkStart w:id="67" w:name="ref-Greening06"/>
    <w:p>
      <w:pPr>
        <w:pStyle w:val="Bibliography"/>
      </w:pPr>
      <w:r>
        <w:t xml:space="preserve">Greening H, Janicki A. 2006.</w:t>
      </w:r>
      <w:r>
        <w:t xml:space="preserve"> </w:t>
      </w:r>
      <w:hyperlink r:id="rId6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67"/>
    <w:bookmarkStart w:id="69" w:name="ref-Greening14"/>
    <w:p>
      <w:pPr>
        <w:pStyle w:val="Bibliography"/>
      </w:pPr>
      <w:r>
        <w:t xml:space="preserve">Greening H, Janicki A, Sherwood E, Pribble R, Johansson JOR. 2014.</w:t>
      </w:r>
      <w:r>
        <w:t xml:space="preserve"> </w:t>
      </w:r>
      <w:hyperlink r:id="rId68">
        <w:r>
          <w:rPr>
            <w:rStyle w:val="Hyperlink"/>
          </w:rPr>
          <w:t xml:space="preserve">Ecosystem responses to long-term nutrient management in an urban estuary: Tampa Bay, Florida, USA</w:t>
        </w:r>
      </w:hyperlink>
      <w:r>
        <w:t xml:space="preserve">. Estuarine, Coastal and Shelf Science 151: A1–A16.</w:t>
      </w:r>
    </w:p>
    <w:bookmarkEnd w:id="69"/>
    <w:bookmarkStart w:id="71" w:name="ref-Iannone20"/>
    <w:p>
      <w:pPr>
        <w:pStyle w:val="Bibliography"/>
      </w:pPr>
      <w:r>
        <w:t xml:space="preserve">Iannone R, Allaire J, Borges B. 2020.</w:t>
      </w:r>
      <w:r>
        <w:t xml:space="preserve"> </w:t>
      </w:r>
      <w:hyperlink r:id="rId70">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1"/>
    <w:bookmarkStart w:id="72"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2"/>
    <w:bookmarkStart w:id="74" w:name="ref-RCT20"/>
    <w:p>
      <w:pPr>
        <w:pStyle w:val="Bibliography"/>
      </w:pPr>
      <w:r>
        <w:t xml:space="preserve">R Core Team. 2021.</w:t>
      </w:r>
      <w:r>
        <w:t xml:space="preserve"> </w:t>
      </w:r>
      <w:hyperlink r:id="rId73">
        <w:r>
          <w:rPr>
            <w:rStyle w:val="Hyperlink"/>
          </w:rPr>
          <w:t xml:space="preserve">R: A language and environment for statistical computing, v4.1.2</w:t>
        </w:r>
      </w:hyperlink>
      <w:r>
        <w:t xml:space="preserve">. R Foundation for Statistical Computing, Vienna, Austria.</w:t>
      </w:r>
    </w:p>
    <w:bookmarkEnd w:id="74"/>
    <w:bookmarkStart w:id="76" w:name="ref-Wang99"/>
    <w:p>
      <w:pPr>
        <w:pStyle w:val="Bibliography"/>
      </w:pPr>
      <w:r>
        <w:t xml:space="preserve">Wang P, Martin J, Morrison G. 1999.</w:t>
      </w:r>
      <w:r>
        <w:t xml:space="preserve"> </w:t>
      </w:r>
      <w:hyperlink r:id="rId75">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76"/>
    <w:bookmarkStart w:id="78" w:name="ref-Wickham11"/>
    <w:p>
      <w:pPr>
        <w:pStyle w:val="Bibliography"/>
      </w:pPr>
      <w:r>
        <w:t xml:space="preserve">Wickham H. 2011.</w:t>
      </w:r>
      <w:r>
        <w:t xml:space="preserve"> </w:t>
      </w:r>
      <w:hyperlink r:id="rId77">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78"/>
    <w:bookmarkStart w:id="80" w:name="ref-Wickham14c"/>
    <w:p>
      <w:pPr>
        <w:pStyle w:val="Bibliography"/>
      </w:pPr>
      <w:r>
        <w:t xml:space="preserve">Wickham H. 2014.</w:t>
      </w:r>
      <w:r>
        <w:t xml:space="preserve"> </w:t>
      </w:r>
      <w:hyperlink r:id="rId79">
        <w:r>
          <w:rPr>
            <w:rStyle w:val="Hyperlink"/>
          </w:rPr>
          <w:t xml:space="preserve">Tidy data</w:t>
        </w:r>
      </w:hyperlink>
      <w:r>
        <w:t xml:space="preserve">. Journal of Statistical Software 59: 1–23.</w:t>
      </w:r>
    </w:p>
    <w:bookmarkEnd w:id="80"/>
    <w:bookmarkStart w:id="82"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1">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2"/>
    <w:bookmarkEnd w:id="83"/>
    <w:bookmarkEnd w:id="84"/>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2022-05-17T19:14:12Z</dcterms:created>
  <dcterms:modified xsi:type="dcterms:W3CDTF">2022-05-17T19:14:12Z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