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39.jpg" ContentType="image/jpeg"/>
  <Override PartName="/word/media/rId33.jpg" ContentType="image/jpeg"/>
  <Override PartName="/word/media/rId3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discharage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2022-05-16 10:27:45</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numPr>
          <w:ilvl w:val="0"/>
          <w:numId w:val="1001"/>
        </w:numPr>
        <w:pStyle w:val="Compact"/>
      </w:pPr>
      <w:r>
        <w:t xml:space="preserve">Goals</w:t>
      </w:r>
    </w:p>
    <w:p>
      <w:pPr>
        <w:numPr>
          <w:ilvl w:val="1"/>
          <w:numId w:val="1002"/>
        </w:numPr>
        <w:pStyle w:val="Compact"/>
      </w:pPr>
      <w:r>
        <w:t xml:space="preserve">Paper: describe data synthesis and communication using OS tools during 2021 Piney Point event</w:t>
      </w:r>
    </w:p>
    <w:p>
      <w:pPr>
        <w:numPr>
          <w:ilvl w:val="1"/>
          <w:numId w:val="1002"/>
        </w:numPr>
        <w:pStyle w:val="Compact"/>
      </w:pPr>
      <w:r>
        <w:t xml:space="preserve">OS tools: organize/synthesize, contextualize, and communicate with specific focus on the dashboard</w:t>
      </w:r>
    </w:p>
    <w:p>
      <w:pPr>
        <w:pStyle w:val="FirstParagraph"/>
      </w:pPr>
      <w:r>
        <w:t xml:space="preserve">Test reference</w:t>
      </w:r>
      <w:r>
        <w:t xml:space="preserve"> </w:t>
      </w:r>
      <w:r>
        <w:t xml:space="preserve">(</w:t>
      </w:r>
      <w:hyperlink w:anchor="ref-Greening16">
        <w:r>
          <w:rPr>
            <w:rStyle w:val="Hyperlink"/>
          </w:rPr>
          <w:t xml:space="preserve">Greening et al. 2016</w:t>
        </w:r>
      </w:hyperlink>
      <w:r>
        <w:t xml:space="preserve">)</w:t>
      </w:r>
    </w:p>
    <w:bookmarkEnd w:id="26"/>
    <w:bookmarkStart w:id="27" w:name="data-collection-and-synthesis"/>
    <w:p>
      <w:pPr>
        <w:pStyle w:val="Heading1"/>
      </w:pPr>
      <w:r>
        <w:t xml:space="preserve">Data collection and synthesis</w:t>
      </w:r>
    </w:p>
    <w:p>
      <w:pPr>
        <w:numPr>
          <w:ilvl w:val="0"/>
          <w:numId w:val="1003"/>
        </w:numPr>
        <w:pStyle w:val="Compact"/>
      </w:pPr>
      <w:r>
        <w:t xml:space="preserve">Monitoring details - effort, agencies, methods, TBEP coordination, refer to MPB paper for details, Figure</w:t>
      </w:r>
      <w:r>
        <w:t xml:space="preserve"> </w:t>
      </w:r>
      <w:r>
        <w:t xml:space="preserve">1</w:t>
      </w:r>
      <w:r>
        <w:t xml:space="preserve">, Table</w:t>
      </w:r>
      <w:r>
        <w:t xml:space="preserve"> </w:t>
      </w:r>
      <w:r>
        <w:t xml:space="preserve">1</w:t>
      </w:r>
    </w:p>
    <w:p>
      <w:pPr>
        <w:numPr>
          <w:ilvl w:val="0"/>
          <w:numId w:val="1003"/>
        </w:numPr>
        <w:pStyle w:val="Compact"/>
      </w:pPr>
      <w:r>
        <w:t xml:space="preserve">Synthesis workflow Figure</w:t>
      </w:r>
      <w:r>
        <w:t xml:space="preserve"> </w:t>
      </w:r>
      <w:r>
        <w:t xml:space="preserve">2</w:t>
      </w:r>
    </w:p>
    <w:p>
      <w:pPr>
        <w:numPr>
          <w:ilvl w:val="1"/>
          <w:numId w:val="1004"/>
        </w:numPr>
        <w:pStyle w:val="Compact"/>
      </w:pPr>
      <w:r>
        <w:t xml:space="preserve">Challenges - multiple streams, messy AF</w:t>
      </w:r>
    </w:p>
    <w:p>
      <w:pPr>
        <w:numPr>
          <w:ilvl w:val="1"/>
          <w:numId w:val="1004"/>
        </w:numPr>
        <w:pStyle w:val="Compact"/>
      </w:pPr>
      <w:r>
        <w:t xml:space="preserve">Solutions - centralized data uploads, R tools for synthesis (import, testing, app integration)</w:t>
      </w:r>
    </w:p>
    <w:p>
      <w:pPr>
        <w:numPr>
          <w:ilvl w:val="1"/>
          <w:numId w:val="1004"/>
        </w:numPr>
        <w:pStyle w:val="Compact"/>
      </w:pPr>
      <w:r>
        <w:t xml:space="preserve">Sorta unified data structure (but see metadata section)</w:t>
      </w:r>
    </w:p>
    <w:p>
      <w:pPr>
        <w:numPr>
          <w:ilvl w:val="0"/>
          <w:numId w:val="1003"/>
        </w:numPr>
        <w:pStyle w:val="Compact"/>
      </w:pPr>
      <w:r>
        <w:t xml:space="preserve">Repository setup - synthesis and app</w:t>
      </w:r>
    </w:p>
    <w:bookmarkEnd w:id="27"/>
    <w:bookmarkStart w:id="30" w:name="the-piney-point-dashboard"/>
    <w:p>
      <w:pPr>
        <w:pStyle w:val="Heading1"/>
      </w:pPr>
      <w:r>
        <w:t xml:space="preserve">The Piney Point Dashboard</w:t>
      </w:r>
    </w:p>
    <w:bookmarkStart w:id="28" w:name="setup"/>
    <w:p>
      <w:pPr>
        <w:pStyle w:val="Heading2"/>
      </w:pPr>
      <w:r>
        <w:t xml:space="preserve">Setup</w:t>
      </w:r>
    </w:p>
    <w:p>
      <w:pPr>
        <w:numPr>
          <w:ilvl w:val="0"/>
          <w:numId w:val="1005"/>
        </w:numPr>
        <w:pStyle w:val="Compact"/>
      </w:pPr>
      <w:r>
        <w:t xml:space="preserve">App creation and hosting, Figure</w:t>
      </w:r>
      <w:r>
        <w:t xml:space="preserve"> </w:t>
      </w:r>
      <w:r>
        <w:t xml:space="preserve">3</w:t>
      </w:r>
    </w:p>
    <w:p>
      <w:pPr>
        <w:numPr>
          <w:ilvl w:val="0"/>
          <w:numId w:val="1005"/>
        </w:numPr>
        <w:pStyle w:val="Compact"/>
      </w:pPr>
      <w:r>
        <w:t xml:space="preserve">App structure - backend</w:t>
      </w:r>
    </w:p>
    <w:p>
      <w:pPr>
        <w:numPr>
          <w:ilvl w:val="1"/>
          <w:numId w:val="1006"/>
        </w:numPr>
        <w:pStyle w:val="Compact"/>
      </w:pPr>
      <w:r>
        <w:t xml:space="preserve">R/dat_proc.R to data folder, logs</w:t>
      </w:r>
    </w:p>
    <w:p>
      <w:pPr>
        <w:numPr>
          <w:ilvl w:val="1"/>
          <w:numId w:val="1006"/>
        </w:numPr>
        <w:pStyle w:val="Compact"/>
      </w:pPr>
      <w:r>
        <w:t xml:space="preserve">Testing why and how (testthat, GitHub Actions)</w:t>
      </w:r>
    </w:p>
    <w:p>
      <w:pPr>
        <w:numPr>
          <w:ilvl w:val="1"/>
          <w:numId w:val="1006"/>
        </w:numPr>
        <w:pStyle w:val="Compact"/>
      </w:pPr>
      <w:r>
        <w:t xml:space="preserve">Rmarkdown w/ flexdashboard: Dependencies/globals, reactives, UI setup with text descriptions and dynamic inputs</w:t>
      </w:r>
    </w:p>
    <w:p>
      <w:pPr>
        <w:numPr>
          <w:ilvl w:val="1"/>
          <w:numId w:val="1006"/>
        </w:numPr>
        <w:pStyle w:val="Compact"/>
      </w:pPr>
      <w:r>
        <w:t xml:space="preserve">CSS styling</w:t>
      </w:r>
    </w:p>
    <w:p>
      <w:pPr>
        <w:numPr>
          <w:ilvl w:val="1"/>
          <w:numId w:val="1006"/>
        </w:numPr>
        <w:pStyle w:val="Compact"/>
      </w:pPr>
      <w:r>
        <w:t xml:space="preserve">Google Analytics js</w:t>
      </w:r>
    </w:p>
    <w:p>
      <w:pPr>
        <w:numPr>
          <w:ilvl w:val="0"/>
          <w:numId w:val="1005"/>
        </w:numPr>
        <w:pStyle w:val="Compact"/>
      </w:pPr>
      <w:r>
        <w:t xml:space="preserve">App structure - frontend</w:t>
      </w:r>
    </w:p>
    <w:p>
      <w:pPr>
        <w:numPr>
          <w:ilvl w:val="1"/>
          <w:numId w:val="1007"/>
        </w:numPr>
        <w:pStyle w:val="Compact"/>
      </w:pPr>
      <w:r>
        <w:t xml:space="preserve">Landing page</w:t>
      </w:r>
    </w:p>
    <w:p>
      <w:pPr>
        <w:numPr>
          <w:ilvl w:val="1"/>
          <w:numId w:val="1007"/>
        </w:numPr>
        <w:pStyle w:val="Compact"/>
      </w:pPr>
      <w:r>
        <w:t xml:space="preserve">Current data</w:t>
      </w:r>
    </w:p>
    <w:p>
      <w:pPr>
        <w:numPr>
          <w:ilvl w:val="2"/>
          <w:numId w:val="1008"/>
        </w:numPr>
        <w:pStyle w:val="Compact"/>
      </w:pPr>
      <w:r>
        <w:t xml:space="preserve">Water quality results</w:t>
      </w:r>
    </w:p>
    <w:p>
      <w:pPr>
        <w:numPr>
          <w:ilvl w:val="2"/>
          <w:numId w:val="1008"/>
        </w:numPr>
        <w:pStyle w:val="Compact"/>
      </w:pPr>
      <w:r>
        <w:t xml:space="preserve">Algal surveys</w:t>
      </w:r>
    </w:p>
    <w:p>
      <w:pPr>
        <w:numPr>
          <w:ilvl w:val="2"/>
          <w:numId w:val="1008"/>
        </w:numPr>
        <w:pStyle w:val="Compact"/>
      </w:pPr>
      <w:r>
        <w:t xml:space="preserve">Seagrass/macroalgae</w:t>
      </w:r>
    </w:p>
    <w:p>
      <w:pPr>
        <w:numPr>
          <w:ilvl w:val="2"/>
          <w:numId w:val="1008"/>
        </w:numPr>
        <w:pStyle w:val="Compact"/>
      </w:pPr>
      <w:r>
        <w:t xml:space="preserve">Contaminants</w:t>
      </w:r>
    </w:p>
    <w:p>
      <w:pPr>
        <w:numPr>
          <w:ilvl w:val="2"/>
          <w:numId w:val="1008"/>
        </w:numPr>
        <w:pStyle w:val="Compact"/>
      </w:pPr>
      <w:r>
        <w:t xml:space="preserve">Benthic</w:t>
      </w:r>
    </w:p>
    <w:p>
      <w:pPr>
        <w:numPr>
          <w:ilvl w:val="1"/>
          <w:numId w:val="1007"/>
        </w:numPr>
        <w:pStyle w:val="Compact"/>
      </w:pPr>
      <w:r>
        <w:t xml:space="preserve">Baseline data</w:t>
      </w:r>
    </w:p>
    <w:p>
      <w:pPr>
        <w:numPr>
          <w:ilvl w:val="2"/>
          <w:numId w:val="1009"/>
        </w:numPr>
        <w:pStyle w:val="Compact"/>
      </w:pPr>
      <w:r>
        <w:t xml:space="preserve">Water quality</w:t>
      </w:r>
    </w:p>
    <w:p>
      <w:pPr>
        <w:numPr>
          <w:ilvl w:val="2"/>
          <w:numId w:val="1009"/>
        </w:numPr>
        <w:pStyle w:val="Compact"/>
      </w:pPr>
      <w:r>
        <w:t xml:space="preserve">Seagrasses</w:t>
      </w:r>
    </w:p>
    <w:bookmarkEnd w:id="28"/>
    <w:bookmarkStart w:id="29" w:name="analytics"/>
    <w:p>
      <w:pPr>
        <w:pStyle w:val="Heading2"/>
      </w:pPr>
      <w:r>
        <w:t xml:space="preserve">Analytics</w:t>
      </w:r>
    </w:p>
    <w:p>
      <w:pPr>
        <w:numPr>
          <w:ilvl w:val="0"/>
          <w:numId w:val="1010"/>
        </w:numPr>
        <w:pStyle w:val="Compact"/>
      </w:pPr>
      <w:r>
        <w:t xml:space="preserve">Analytics and where it was linked (e.g., DEP, myfwc), note analytics did not start until May 13th, 2021</w:t>
      </w:r>
    </w:p>
    <w:p>
      <w:pPr>
        <w:numPr>
          <w:ilvl w:val="1"/>
          <w:numId w:val="1011"/>
        </w:numPr>
        <w:pStyle w:val="Compact"/>
      </w:pPr>
      <w:r>
        <w:t xml:space="preserve">Average time spent on app, mobile vs desktop (go to analytics to get this)</w:t>
      </w:r>
    </w:p>
    <w:p>
      <w:pPr>
        <w:numPr>
          <w:ilvl w:val="1"/>
          <w:numId w:val="1011"/>
        </w:numPr>
        <w:pStyle w:val="Compact"/>
      </w:pPr>
      <w:r>
        <w:t xml:space="preserve">Total users over time (from Google Analytics), Figure</w:t>
      </w:r>
      <w:r>
        <w:t xml:space="preserve"> </w:t>
      </w:r>
      <w:r>
        <w:t xml:space="preserve">4</w:t>
      </w:r>
    </w:p>
    <w:p>
      <w:pPr>
        <w:numPr>
          <w:ilvl w:val="1"/>
          <w:numId w:val="1011"/>
        </w:numPr>
        <w:pStyle w:val="Compact"/>
      </w:pPr>
      <w:r>
        <w:t xml:space="preserve">Users by geographic location (country, state, city), Table</w:t>
      </w:r>
      <w:r>
        <w:t xml:space="preserve"> </w:t>
      </w:r>
      <w:r>
        <w:t xml:space="preserve">2</w:t>
      </w:r>
    </w:p>
    <w:bookmarkEnd w:id="29"/>
    <w:bookmarkEnd w:id="30"/>
    <w:bookmarkStart w:id="31" w:name="data-archive"/>
    <w:p>
      <w:pPr>
        <w:pStyle w:val="Heading1"/>
      </w:pPr>
      <w:r>
        <w:t xml:space="preserve">Data Archive</w:t>
      </w:r>
    </w:p>
    <w:p>
      <w:pPr>
        <w:numPr>
          <w:ilvl w:val="0"/>
          <w:numId w:val="1012"/>
        </w:numPr>
        <w:pStyle w:val="Compact"/>
      </w:pPr>
      <w:r>
        <w:t xml:space="preserve">Rationale, maybe make relative to past PP events (no data) and highlight importance of metadata</w:t>
      </w:r>
    </w:p>
    <w:p>
      <w:pPr>
        <w:numPr>
          <w:ilvl w:val="0"/>
          <w:numId w:val="1012"/>
        </w:numPr>
        <w:pStyle w:val="Compact"/>
      </w:pPr>
      <w:r>
        <w:t xml:space="preserve">Workflow and GitHub repository</w:t>
      </w:r>
    </w:p>
    <w:p>
      <w:pPr>
        <w:numPr>
          <w:ilvl w:val="0"/>
          <w:numId w:val="1012"/>
        </w:numPr>
        <w:pStyle w:val="Compact"/>
      </w:pPr>
      <w:r>
        <w:t xml:space="preserve">EML, KNB location, download stats</w:t>
      </w:r>
    </w:p>
    <w:bookmarkEnd w:id="31"/>
    <w:bookmarkStart w:id="32" w:name="discussion"/>
    <w:p>
      <w:pPr>
        <w:pStyle w:val="Heading1"/>
      </w:pPr>
      <w:r>
        <w:t xml:space="preserve">Discussion</w:t>
      </w:r>
    </w:p>
    <w:p>
      <w:pPr>
        <w:numPr>
          <w:ilvl w:val="0"/>
          <w:numId w:val="1013"/>
        </w:numPr>
        <w:pStyle w:val="Compact"/>
      </w:pPr>
      <w:r>
        <w:t xml:space="preserve">Added value of the app</w:t>
      </w:r>
    </w:p>
    <w:p>
      <w:pPr>
        <w:numPr>
          <w:ilvl w:val="1"/>
          <w:numId w:val="1014"/>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14"/>
        </w:numPr>
        <w:pStyle w:val="Compact"/>
      </w:pPr>
      <w:r>
        <w:t xml:space="preserve">how can we better assess the value of these tools more holistically? What is the true measure of success in terms of behavior change or driving policy, if any?</w:t>
      </w:r>
    </w:p>
    <w:p>
      <w:pPr>
        <w:numPr>
          <w:ilvl w:val="0"/>
          <w:numId w:val="1013"/>
        </w:numPr>
        <w:pStyle w:val="Compact"/>
      </w:pPr>
      <w:r>
        <w:t xml:space="preserve">Relevant considerations</w:t>
      </w:r>
    </w:p>
    <w:p>
      <w:pPr>
        <w:numPr>
          <w:ilvl w:val="1"/>
          <w:numId w:val="1015"/>
        </w:numPr>
        <w:pStyle w:val="Compact"/>
      </w:pPr>
      <w:r>
        <w:t xml:space="preserve">What worked - use of OS tools, but still very time-consuming (e.g., R/dat_proc.R is thousands of lines of code)</w:t>
      </w:r>
    </w:p>
    <w:p>
      <w:pPr>
        <w:numPr>
          <w:ilvl w:val="1"/>
          <w:numId w:val="1015"/>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15"/>
        </w:numPr>
        <w:pStyle w:val="Compact"/>
      </w:pPr>
      <w:r>
        <w:t xml:space="preserve">Value of historical data and contextualized summaries</w:t>
      </w:r>
    </w:p>
    <w:p>
      <w:pPr>
        <w:numPr>
          <w:ilvl w:val="1"/>
          <w:numId w:val="1015"/>
        </w:numPr>
        <w:pStyle w:val="Compact"/>
      </w:pPr>
      <w:r>
        <w:t xml:space="preserve">Exposure of additional data needs (e.g., macroalgae)</w:t>
      </w:r>
    </w:p>
    <w:p>
      <w:pPr>
        <w:numPr>
          <w:ilvl w:val="0"/>
          <w:numId w:val="1013"/>
        </w:numPr>
        <w:pStyle w:val="Compact"/>
      </w:pPr>
      <w:r>
        <w:t xml:space="preserve">Future of Piney Point, next steps, etc.</w:t>
      </w:r>
    </w:p>
    <w:p>
      <w:r>
        <w:br w:type="page"/>
      </w:r>
    </w:p>
    <w:bookmarkEnd w:id="32"/>
    <w:bookmarkStart w:id="45"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4" name="Picture"/>
            <a:graphic>
              <a:graphicData uri="http://schemas.openxmlformats.org/drawingml/2006/picture">
                <pic:pic>
                  <pic:nvPicPr>
                    <pic:cNvPr descr="figs/map.jpeg" id="35" name="Picture"/>
                    <pic:cNvPicPr>
                      <a:picLocks noChangeArrowheads="1" noChangeAspect="1"/>
                    </pic:cNvPicPr>
                  </pic:nvPicPr>
                  <pic:blipFill>
                    <a:blip r:embed="rId33"/>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37" name="Picture"/>
            <a:graphic>
              <a:graphicData uri="http://schemas.openxmlformats.org/drawingml/2006/picture">
                <pic:pic>
                  <pic:nvPicPr>
                    <pic:cNvPr descr="figs/synthesis.JPG" id="38" name="Picture"/>
                    <pic:cNvPicPr>
                      <a:picLocks noChangeArrowheads="1" noChangeAspect="1"/>
                    </pic:cNvPicPr>
                  </pic:nvPicPr>
                  <pic:blipFill>
                    <a:blip r:embed="rId36"/>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0" name="Picture"/>
            <a:graphic>
              <a:graphicData uri="http://schemas.openxmlformats.org/drawingml/2006/picture">
                <pic:pic>
                  <pic:nvPicPr>
                    <pic:cNvPr descr="figs/dashboard.JPG" id="41" name="Picture"/>
                    <pic:cNvPicPr>
                      <a:picLocks noChangeArrowheads="1" noChangeAspect="1"/>
                    </pic:cNvPicPr>
                  </pic:nvPicPr>
                  <pic:blipFill>
                    <a:blip r:embed="rId39"/>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3" name="Picture"/>
            <a:graphic>
              <a:graphicData uri="http://schemas.openxmlformats.org/drawingml/2006/picture">
                <pic:pic>
                  <pic:nvPicPr>
                    <pic:cNvPr descr="figs/analytics.jpeg" id="44" name="Picture"/>
                    <pic:cNvPicPr>
                      <a:picLocks noChangeArrowheads="1" noChangeAspect="1"/>
                    </pic:cNvPicPr>
                  </pic:nvPicPr>
                  <pic:blipFill>
                    <a:blip r:embed="rId42"/>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5"/>
    <w:bookmarkStart w:id="46"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6"/>
    <w:bookmarkStart w:id="50" w:name="references"/>
    <w:p>
      <w:pPr>
        <w:pStyle w:val="Heading1"/>
      </w:pPr>
      <w:r>
        <w:t xml:space="preserve">References</w:t>
      </w:r>
    </w:p>
    <w:bookmarkStart w:id="49" w:name="refs"/>
    <w:bookmarkStart w:id="48" w:name="ref-Greening16"/>
    <w:p>
      <w:pPr>
        <w:pStyle w:val="Bibliography"/>
      </w:pPr>
      <w:r>
        <w:t xml:space="preserve">Greening H, Janicki A, Sherwood E. 2016.</w:t>
      </w:r>
      <w:r>
        <w:t xml:space="preserve"> </w:t>
      </w:r>
      <w:hyperlink r:id="rId47">
        <w:r>
          <w:rPr>
            <w:rStyle w:val="Hyperlink"/>
          </w:rPr>
          <w:t xml:space="preserve">Seagrass recovery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pp. 1–12</w:t>
      </w:r>
      <w:r>
        <w:t xml:space="preserve"> </w:t>
      </w:r>
      <w:r>
        <w:rPr>
          <w:iCs/>
          <w:i/>
        </w:rPr>
        <w:t xml:space="preserve">In</w:t>
      </w:r>
      <w:r>
        <w:t xml:space="preserve"> </w:t>
      </w:r>
      <w:r>
        <w:t xml:space="preserve">Finlayson CM, Milton GR, Prentice RC, Davidson NC [eds.], The wetland book. Springer, Berlin, Germany.</w:t>
      </w:r>
    </w:p>
    <w:bookmarkEnd w:id="48"/>
    <w:bookmarkEnd w:id="49"/>
    <w:bookmarkEnd w:id="5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jpg" /><Relationship Type="http://schemas.openxmlformats.org/officeDocument/2006/relationships/image" Id="rId39" Target="media/rId39.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47" Target="https://10.1007/978-94-007-6173-5_269-1"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discharage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2022-05-16T14:27:50Z</dcterms:created>
  <dcterms:modified xsi:type="dcterms:W3CDTF">2022-05-16T14:27:50Z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