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We sincerely thank the reviewers for providing comments on our manuscript. We provide a point-by-point response to these comments below. Please note that we have not provided a response to reviewer 3 that did not suggest any changes and recommended publishing the paper as is.</w:t>
      </w:r>
    </w:p>
    <w:bookmarkStart w:id="20" w:name="reviewer-1"/>
    <w:p>
      <w:pPr>
        <w:pStyle w:val="Heading2"/>
      </w:pPr>
      <w:r>
        <w:t xml:space="preserve">Reviewer 1</w:t>
      </w:r>
    </w:p>
    <w:p>
      <w:pPr>
        <w:numPr>
          <w:ilvl w:val="0"/>
          <w:numId w:val="1001"/>
        </w:numPr>
      </w:pPr>
      <w:r>
        <w:t xml:space="preserve">Does this paper contain new knowledge, or new interpretation of existing knowledge?</w:t>
      </w:r>
    </w:p>
    <w:p>
      <w:pPr>
        <w:numPr>
          <w:ilvl w:val="0"/>
          <w:numId w:val="1000"/>
        </w:numPr>
      </w:pPr>
      <w:r>
        <w:t xml:space="preserve">The authors developed a rapid-response dashboard for the purposes of monitoring the effects of the Piney Point wastewater release in Summer of 2021. The collaborative, multi-organizational approach to the response, data collection, and subsequent dissemination of important information concerning the release and its effects on the health of Tampa Bay is certainly a novel and important product.</w:t>
      </w:r>
    </w:p>
    <w:p>
      <w:pPr>
        <w:numPr>
          <w:ilvl w:val="0"/>
          <w:numId w:val="1001"/>
        </w:numPr>
      </w:pPr>
      <w:r>
        <w:t xml:space="preserve">Does it duplicate in any substantial way material published elsewhere?</w:t>
      </w:r>
    </w:p>
    <w:p>
      <w:pPr>
        <w:numPr>
          <w:ilvl w:val="0"/>
          <w:numId w:val="1000"/>
        </w:numPr>
      </w:pPr>
      <w:r>
        <w:t xml:space="preserve">The paper does not duplicate material published. While data from the Piney Point response have been analyzed and published in other journals, this paper serves as a detailed roadmap for how the data were collected and wrangled into a useable, public-facing product.</w:t>
      </w:r>
    </w:p>
    <w:p>
      <w:pPr>
        <w:numPr>
          <w:ilvl w:val="0"/>
          <w:numId w:val="1001"/>
        </w:numPr>
      </w:pPr>
      <w:r>
        <w:t xml:space="preserve">Are technical terms used and spelled correctly?</w:t>
      </w:r>
    </w:p>
    <w:p>
      <w:pPr>
        <w:numPr>
          <w:ilvl w:val="0"/>
          <w:numId w:val="1000"/>
        </w:numPr>
      </w:pPr>
      <w:r>
        <w:t xml:space="preserve">Yes, all technical terms are used and spelled correctly.</w:t>
      </w:r>
    </w:p>
    <w:p>
      <w:pPr>
        <w:numPr>
          <w:ilvl w:val="0"/>
          <w:numId w:val="1001"/>
        </w:numPr>
      </w:pPr>
      <w:r>
        <w:t xml:space="preserve">Are there major flaws in the study design, execution or analysis?</w:t>
      </w:r>
    </w:p>
    <w:p>
      <w:pPr>
        <w:numPr>
          <w:ilvl w:val="0"/>
          <w:numId w:val="1000"/>
        </w:numPr>
      </w:pPr>
      <w:r>
        <w:t xml:space="preserve">There are no major flaws in the methods used to produce the Piney Point response dashboard.</w:t>
      </w:r>
    </w:p>
    <w:p>
      <w:pPr>
        <w:numPr>
          <w:ilvl w:val="0"/>
          <w:numId w:val="1001"/>
        </w:numPr>
      </w:pPr>
      <w:r>
        <w:t xml:space="preserve">Please list below any suggestions for improvement.</w:t>
      </w:r>
    </w:p>
    <w:p>
      <w:pPr>
        <w:numPr>
          <w:ilvl w:val="0"/>
          <w:numId w:val="1000"/>
        </w:numPr>
      </w:pPr>
      <w:r>
        <w:t xml:space="preserve">A brief review for grammar/spelling/punctuation may be warranted. For example,</w:t>
      </w:r>
      <w:r>
        <w:t xml:space="preserve"> </w:t>
      </w:r>
      <w:r>
        <w:t xml:space="preserve">“</w:t>
      </w:r>
      <w:r>
        <w:t xml:space="preserve">e.g.</w:t>
      </w:r>
      <w:r>
        <w:t xml:space="preserve">”</w:t>
      </w:r>
      <w:r>
        <w:t xml:space="preserve"> </w:t>
      </w:r>
      <w:r>
        <w:t xml:space="preserve">statements should never end in</w:t>
      </w:r>
      <w:r>
        <w:t xml:space="preserve"> </w:t>
      </w:r>
      <w:r>
        <w:t xml:space="preserve">“</w:t>
      </w:r>
      <w:r>
        <w:t xml:space="preserve">etc</w:t>
      </w:r>
      <w:r>
        <w:t xml:space="preserve">”</w:t>
      </w:r>
      <w:r>
        <w:t xml:space="preserve"> </w:t>
      </w:r>
      <w:r>
        <w:t xml:space="preserve">as the e.g. is intended for examples (e.g., page 6). I imagine that a copy-edit review prior to publication will catch most of these. However, the paper overall was well-written and structured in a logical, easy-to-follow manner.</w:t>
      </w:r>
    </w:p>
    <w:p>
      <w:pPr>
        <w:numPr>
          <w:ilvl w:val="0"/>
          <w:numId w:val="1000"/>
        </w:numPr>
      </w:pPr>
      <w:r>
        <w:t xml:space="preserve">Table 2 may need to be reformatted to adjust spacing (hanging</w:t>
      </w:r>
      <w:r>
        <w:t xml:space="preserve"> </w:t>
      </w:r>
      <w:r>
        <w:t xml:space="preserve">‘</w:t>
      </w:r>
      <w:r>
        <w:t xml:space="preserve">a</w:t>
      </w:r>
      <w:r>
        <w:t xml:space="preserve">’</w:t>
      </w:r>
      <w:r>
        <w:t xml:space="preserve"> </w:t>
      </w:r>
      <w:r>
        <w:t xml:space="preserve">in Pennsylvania).</w:t>
      </w:r>
    </w:p>
    <w:p>
      <w:pPr>
        <w:pStyle w:val="FirstParagraph"/>
      </w:pPr>
      <w:r>
        <w:rPr>
          <w:bCs/>
          <w:b/>
        </w:rPr>
        <w:t xml:space="preserve">Response</w:t>
      </w:r>
      <w:r>
        <w:t xml:space="preserve">: Thank you for your comments. We are pleased you found the manuscript a valuable contribution. We have proofed the revision for any grammar/spelling/punctuation issues, specifically addressing your comment about</w:t>
      </w:r>
      <w:r>
        <w:t xml:space="preserve"> </w:t>
      </w:r>
      <w:r>
        <w:t xml:space="preserve">“</w:t>
      </w:r>
      <w:r>
        <w:t xml:space="preserve">e.g.</w:t>
      </w:r>
      <w:r>
        <w:t xml:space="preserve">”</w:t>
      </w:r>
      <w:r>
        <w:t xml:space="preserve"> </w:t>
      </w:r>
      <w:r>
        <w:t xml:space="preserve">statements. The issue noted for Table 2 will be addressed during copy-editing as this is the unformatted version that will be changed on publication.</w:t>
      </w:r>
    </w:p>
    <w:bookmarkEnd w:id="20"/>
    <w:bookmarkStart w:id="21" w:name="reviewer-2"/>
    <w:p>
      <w:pPr>
        <w:pStyle w:val="Heading2"/>
      </w:pPr>
      <w:r>
        <w:t xml:space="preserve">Reviewer 2</w:t>
      </w:r>
    </w:p>
    <w:p>
      <w:pPr>
        <w:numPr>
          <w:ilvl w:val="0"/>
          <w:numId w:val="1002"/>
        </w:numPr>
      </w:pPr>
      <w:r>
        <w:t xml:space="preserve">Does this paper contain new knowledge, or new interpretation of existing knowledge?</w:t>
      </w:r>
    </w:p>
    <w:p>
      <w:pPr>
        <w:numPr>
          <w:ilvl w:val="0"/>
          <w:numId w:val="1000"/>
        </w:numPr>
      </w:pPr>
      <w:r>
        <w:t xml:space="preserve">Not much</w:t>
      </w:r>
      <w:r>
        <w:t xml:space="preserve"> </w:t>
      </w:r>
      <w:r>
        <w:t xml:space="preserve">“</w:t>
      </w:r>
      <w:r>
        <w:t xml:space="preserve">new knowledge</w:t>
      </w:r>
      <w:r>
        <w:t xml:space="preserve">”</w:t>
      </w:r>
      <w:r>
        <w:t xml:space="preserve"> </w:t>
      </w:r>
      <w:r>
        <w:t xml:space="preserve">is presented but the paper does a very good job summarizing the events of Piney Point and demonstrating how existing open-science tools can be used by agencies in practice to provide tangible benefits.</w:t>
      </w:r>
    </w:p>
    <w:p>
      <w:pPr>
        <w:numPr>
          <w:ilvl w:val="0"/>
          <w:numId w:val="1002"/>
        </w:numPr>
      </w:pPr>
      <w:r>
        <w:t xml:space="preserve">Does it duplicate in any substantial way material published elsewhere?</w:t>
      </w:r>
    </w:p>
    <w:p>
      <w:pPr>
        <w:numPr>
          <w:ilvl w:val="0"/>
          <w:numId w:val="1000"/>
        </w:numPr>
      </w:pPr>
      <w:r>
        <w:t xml:space="preserve">No, this information has not been presented elsewhere. The paper does a good job summarizing how the TBEP’s open science tools allowed for providing information in near real time to provide information to the public and managers, and demonstrates its potential in the wake of the Piney Point discharge, for the TBEP going forward, as well as for other agencies.</w:t>
      </w:r>
    </w:p>
    <w:p>
      <w:pPr>
        <w:numPr>
          <w:ilvl w:val="0"/>
          <w:numId w:val="1002"/>
        </w:numPr>
      </w:pPr>
      <w:r>
        <w:t xml:space="preserve">Are technical terms used and spelled correctly?</w:t>
      </w:r>
    </w:p>
    <w:p>
      <w:pPr>
        <w:numPr>
          <w:ilvl w:val="0"/>
          <w:numId w:val="1000"/>
        </w:numPr>
      </w:pPr>
      <w:r>
        <w:t xml:space="preserve">Yes</w:t>
      </w:r>
    </w:p>
    <w:p>
      <w:pPr>
        <w:numPr>
          <w:ilvl w:val="0"/>
          <w:numId w:val="1002"/>
        </w:numPr>
      </w:pPr>
      <w:r>
        <w:t xml:space="preserve">Are there major flaws in the study design, execution or analysis?</w:t>
      </w:r>
    </w:p>
    <w:p>
      <w:pPr>
        <w:numPr>
          <w:ilvl w:val="0"/>
          <w:numId w:val="1000"/>
        </w:numPr>
      </w:pPr>
      <w:r>
        <w:t xml:space="preserve">No</w:t>
      </w:r>
    </w:p>
    <w:p>
      <w:pPr>
        <w:numPr>
          <w:ilvl w:val="0"/>
          <w:numId w:val="1002"/>
        </w:numPr>
      </w:pPr>
      <w:r>
        <w:t xml:space="preserve">Please list below any suggestions for improvement.</w:t>
      </w:r>
    </w:p>
    <w:p>
      <w:pPr>
        <w:numPr>
          <w:ilvl w:val="0"/>
          <w:numId w:val="1000"/>
        </w:numPr>
      </w:pPr>
      <w:r>
        <w:t xml:space="preserve">A few areas where references could be included, and a better closing sentence emphasizing how much of what was done would not be possible without open-science tools.</w:t>
      </w:r>
    </w:p>
    <w:p>
      <w:pPr>
        <w:pStyle w:val="FirstParagraph"/>
      </w:pPr>
      <w:r>
        <w:rPr>
          <w:bCs/>
          <w:b/>
        </w:rPr>
        <w:t xml:space="preserve">Response</w:t>
      </w:r>
      <w:r>
        <w:t xml:space="preserve">: Thank you for your comments. We are pleased you noted the importance of open science in delivering these research products to the management community. Our point-by-point response to the annotated comments provided with your review are below.</w:t>
      </w:r>
    </w:p>
    <w:p>
      <w:pPr>
        <w:pStyle w:val="BodyText"/>
      </w:pPr>
      <w:r>
        <w:t xml:space="preserve">Page 2, first paragraph: Maybe add reference to a few case studies or a meta-analysis</w:t>
      </w:r>
    </w:p>
    <w:p>
      <w:pPr>
        <w:numPr>
          <w:ilvl w:val="0"/>
          <w:numId w:val="1003"/>
        </w:numPr>
        <w:pStyle w:val="Compact"/>
      </w:pPr>
      <w:r>
        <w:rPr>
          <w:bCs/>
          <w:b/>
        </w:rPr>
        <w:t xml:space="preserve">Response</w:t>
      </w:r>
      <w:r>
        <w:t xml:space="preserve">: The following citations were added:</w:t>
      </w:r>
      <w:r>
        <w:t xml:space="preserve"> </w:t>
      </w:r>
      <w:r>
        <w:t xml:space="preserve">Tayibi et al. (</w:t>
      </w:r>
      <w:hyperlink w:anchor="ref-Tayibi09">
        <w:r>
          <w:rPr>
            <w:rStyle w:val="Hyperlink"/>
          </w:rPr>
          <w:t xml:space="preserve">2009</w:t>
        </w:r>
      </w:hyperlink>
      <w:r>
        <w:t xml:space="preserve">)</w:t>
      </w:r>
      <w:r>
        <w:t xml:space="preserve">,</w:t>
      </w:r>
      <w:r>
        <w:t xml:space="preserve"> </w:t>
      </w:r>
      <w:r>
        <w:t xml:space="preserve">Sanders et al. (</w:t>
      </w:r>
      <w:hyperlink w:anchor="ref-Sanders13">
        <w:r>
          <w:rPr>
            <w:rStyle w:val="Hyperlink"/>
          </w:rPr>
          <w:t xml:space="preserve">2013</w:t>
        </w:r>
      </w:hyperlink>
      <w:r>
        <w:t xml:space="preserve">)</w:t>
      </w:r>
      <w:r>
        <w:t xml:space="preserve">, and</w:t>
      </w:r>
      <w:r>
        <w:t xml:space="preserve"> </w:t>
      </w:r>
      <w:r>
        <w:t xml:space="preserve">Tepanosyan et al. (</w:t>
      </w:r>
      <w:hyperlink w:anchor="ref-Tepanosyan18">
        <w:r>
          <w:rPr>
            <w:rStyle w:val="Hyperlink"/>
          </w:rPr>
          <w:t xml:space="preserve">2018</w:t>
        </w:r>
      </w:hyperlink>
      <w:r>
        <w:t xml:space="preserve">)</w:t>
      </w:r>
      <w:r>
        <w:t xml:space="preserve">.</w:t>
      </w:r>
    </w:p>
    <w:p>
      <w:pPr>
        <w:pStyle w:val="FirstParagraph"/>
      </w:pPr>
      <w:r>
        <w:t xml:space="preserve">Page 4, first paragraph: Add reference to method</w:t>
      </w:r>
    </w:p>
    <w:p>
      <w:pPr>
        <w:numPr>
          <w:ilvl w:val="0"/>
          <w:numId w:val="1004"/>
        </w:numPr>
        <w:pStyle w:val="Compact"/>
      </w:pPr>
      <w:r>
        <w:rPr>
          <w:bCs/>
          <w:b/>
        </w:rPr>
        <w:t xml:space="preserve">Response</w:t>
      </w:r>
      <w:r>
        <w:t xml:space="preserve">: The following citation was added:</w:t>
      </w:r>
      <w:r>
        <w:t xml:space="preserve"> </w:t>
      </w:r>
      <w:r>
        <w:t xml:space="preserve">Westhoff &amp; Maarel (</w:t>
      </w:r>
      <w:hyperlink w:anchor="ref-Westhoff78">
        <w:r>
          <w:rPr>
            <w:rStyle w:val="Hyperlink"/>
          </w:rPr>
          <w:t xml:space="preserve">1978</w:t>
        </w:r>
      </w:hyperlink>
      <w:r>
        <w:t xml:space="preserve">)</w:t>
      </w:r>
    </w:p>
    <w:p>
      <w:pPr>
        <w:pStyle w:val="FirstParagraph"/>
      </w:pPr>
      <w:r>
        <w:t xml:space="preserve">Page 4, third paragraph:</w:t>
      </w:r>
      <w:r>
        <w:t xml:space="preserve"> </w:t>
      </w:r>
      <w:r>
        <w:t xml:space="preserve">“</w:t>
      </w:r>
      <w:r>
        <w:t xml:space="preserve">tidy</w:t>
      </w:r>
      <w:r>
        <w:t xml:space="preserve">”</w:t>
      </w:r>
      <w:r>
        <w:t xml:space="preserve">; use quotes around first mention to show that this is a term specifically from the paper</w:t>
      </w:r>
    </w:p>
    <w:p>
      <w:pPr>
        <w:numPr>
          <w:ilvl w:val="0"/>
          <w:numId w:val="1005"/>
        </w:numPr>
        <w:pStyle w:val="Compact"/>
      </w:pPr>
      <w:r>
        <w:rPr>
          <w:bCs/>
          <w:b/>
        </w:rPr>
        <w:t xml:space="preserve">Response</w:t>
      </w:r>
      <w:r>
        <w:t xml:space="preserve">: Quotes added.</w:t>
      </w:r>
    </w:p>
    <w:p>
      <w:pPr>
        <w:pStyle w:val="FirstParagraph"/>
      </w:pPr>
      <w:r>
        <w:t xml:space="preserve">Page 9, first paragraph of discussion: Using</w:t>
      </w:r>
      <w:r>
        <w:t xml:space="preserve"> </w:t>
      </w:r>
      <w:r>
        <w:t xml:space="preserve">“</w:t>
      </w:r>
      <w:r>
        <w:t xml:space="preserve">However</w:t>
      </w:r>
      <w:r>
        <w:t xml:space="preserve">”</w:t>
      </w:r>
      <w:r>
        <w:t xml:space="preserve"> </w:t>
      </w:r>
      <w:r>
        <w:t xml:space="preserve">makes it seem as a counter to the previous sentence. Maybe instead use</w:t>
      </w:r>
      <w:r>
        <w:t xml:space="preserve"> </w:t>
      </w:r>
      <w:r>
        <w:t xml:space="preserve">“</w:t>
      </w:r>
      <w:r>
        <w:t xml:space="preserve">For example,</w:t>
      </w:r>
      <w:r>
        <w:t xml:space="preserve">”</w:t>
      </w:r>
    </w:p>
    <w:p>
      <w:pPr>
        <w:numPr>
          <w:ilvl w:val="0"/>
          <w:numId w:val="1006"/>
        </w:numPr>
        <w:pStyle w:val="Compact"/>
      </w:pPr>
      <w:r>
        <w:rPr>
          <w:bCs/>
          <w:b/>
        </w:rPr>
        <w:t xml:space="preserve">Response</w:t>
      </w:r>
      <w:r>
        <w:t xml:space="preserve">: Sentence revised as follows:</w:t>
      </w:r>
      <w:r>
        <w:t xml:space="preserve"> </w:t>
      </w:r>
      <w:r>
        <w:t xml:space="preserve">“</w:t>
      </w:r>
      <w:r>
        <w:t xml:space="preserve">For example, subsequent final closure plans for Piney Point were developed in 2022 following the response-monitoring and open data documentation stemming from this most recent event.</w:t>
      </w:r>
      <w:r>
        <w:t xml:space="preserve">”</w:t>
      </w:r>
    </w:p>
    <w:p>
      <w:pPr>
        <w:pStyle w:val="FirstParagraph"/>
      </w:pPr>
      <w:r>
        <w:t xml:space="preserve">Page 10, final sentence: I think concluding with a remark focusing specifically on how open science provides benefits in these situations would be a better way to end the paper. For example stating how the open-science allows for transparency which increases public trust, made analyses more robust, and facilitated inter-agency cooperation.</w:t>
      </w:r>
    </w:p>
    <w:p>
      <w:pPr>
        <w:numPr>
          <w:ilvl w:val="0"/>
          <w:numId w:val="1007"/>
        </w:numPr>
        <w:pStyle w:val="Compact"/>
      </w:pPr>
      <w:r>
        <w:rPr>
          <w:bCs/>
          <w:b/>
        </w:rPr>
        <w:t xml:space="preserve">Response</w:t>
      </w:r>
      <w:r>
        <w:t xml:space="preserve">: A final sentence was added:</w:t>
      </w:r>
      <w:r>
        <w:t xml:space="preserve"> </w:t>
      </w:r>
      <w:r>
        <w:t xml:space="preserve">“</w:t>
      </w:r>
      <w:r>
        <w:t xml:space="preserve">Such approaches can facilitate broader public trust and engagement in management decisions by producing more robust, transparent analyses and facilitating inter-agency cooperation.</w:t>
      </w:r>
      <w:r>
        <w:t xml:space="preserve">”</w:t>
      </w:r>
    </w:p>
    <w:p>
      <w:pPr>
        <w:pStyle w:val="FirstParagraph"/>
      </w:pPr>
      <w:r>
        <w:t xml:space="preserve">Figure 2: use semi-colons rather than commas here to separate independent clauses.</w:t>
      </w:r>
    </w:p>
    <w:p>
      <w:pPr>
        <w:numPr>
          <w:ilvl w:val="0"/>
          <w:numId w:val="1008"/>
        </w:numPr>
        <w:pStyle w:val="Compact"/>
      </w:pPr>
      <w:r>
        <w:rPr>
          <w:bCs/>
          <w:b/>
        </w:rPr>
        <w:t xml:space="preserve">Response</w:t>
      </w:r>
      <w:r>
        <w:t xml:space="preserve">: Replaced commas with semi-colons.</w:t>
      </w:r>
    </w:p>
    <w:bookmarkEnd w:id="21"/>
    <w:bookmarkStart w:id="30" w:name="references"/>
    <w:p>
      <w:pPr>
        <w:pStyle w:val="Heading1"/>
      </w:pPr>
      <w:r>
        <w:t xml:space="preserve">References</w:t>
      </w:r>
    </w:p>
    <w:bookmarkStart w:id="29" w:name="refs"/>
    <w:bookmarkStart w:id="23" w:name="ref-Sanders13"/>
    <w:p>
      <w:pPr>
        <w:pStyle w:val="Bibliography"/>
      </w:pPr>
      <w:r>
        <w:t xml:space="preserve">Sanders L, Luiz-Silva W, Machado W, Sanders CJ, Marotta H, Enrich-Prast A, Bosco-Santos A, Boden A, Silva-Filho E, Santos IR, others. 2013.</w:t>
      </w:r>
      <w:r>
        <w:t xml:space="preserve"> </w:t>
      </w:r>
      <w:hyperlink r:id="rId22">
        <w:r>
          <w:rPr>
            <w:rStyle w:val="Hyperlink"/>
          </w:rPr>
          <w:t xml:space="preserve">Rare earth element and radionuclide distribution in surface sediments along an estuarine system affected by fertilizer industry contamination</w:t>
        </w:r>
      </w:hyperlink>
      <w:r>
        <w:t xml:space="preserve">. Water, Air, &amp; Soil Pollution 224: 1–8.</w:t>
      </w:r>
    </w:p>
    <w:bookmarkEnd w:id="23"/>
    <w:bookmarkStart w:id="25" w:name="ref-Tayibi09"/>
    <w:p>
      <w:pPr>
        <w:pStyle w:val="Bibliography"/>
      </w:pPr>
      <w:r>
        <w:t xml:space="preserve">Tayibi H, Choura M, López FA, Alguacil FJ, López-Delgado A. 2009.</w:t>
      </w:r>
      <w:r>
        <w:t xml:space="preserve"> </w:t>
      </w:r>
      <w:hyperlink r:id="rId24">
        <w:r>
          <w:rPr>
            <w:rStyle w:val="Hyperlink"/>
          </w:rPr>
          <w:t xml:space="preserve">Environmental impact and management of phosphogypsum</w:t>
        </w:r>
      </w:hyperlink>
      <w:r>
        <w:t xml:space="preserve">. Journal of Environmental Management 90: 2377–2386.</w:t>
      </w:r>
    </w:p>
    <w:bookmarkEnd w:id="25"/>
    <w:bookmarkStart w:id="27" w:name="ref-Tepanosyan18"/>
    <w:p>
      <w:pPr>
        <w:pStyle w:val="Bibliography"/>
      </w:pPr>
      <w:r>
        <w:t xml:space="preserve">Tepanosyan G, Sahakyan L, Belyaeva O, Asmaryan S, Saghatelyan A. 2018.</w:t>
      </w:r>
      <w:r>
        <w:t xml:space="preserve"> </w:t>
      </w:r>
      <w:hyperlink r:id="rId26">
        <w:r>
          <w:rPr>
            <w:rStyle w:val="Hyperlink"/>
          </w:rPr>
          <w:t xml:space="preserve">Continuous impact of mining activities on soil heavy metals levels and human health</w:t>
        </w:r>
      </w:hyperlink>
      <w:r>
        <w:t xml:space="preserve">. Science of the Total Environment 639: 900–909.</w:t>
      </w:r>
    </w:p>
    <w:bookmarkEnd w:id="27"/>
    <w:bookmarkStart w:id="28" w:name="ref-Westhoff78"/>
    <w:p>
      <w:pPr>
        <w:pStyle w:val="Bibliography"/>
      </w:pPr>
      <w:r>
        <w:t xml:space="preserve">Westhoff V, Maarel E van der. 1978. The</w:t>
      </w:r>
      <w:r>
        <w:t xml:space="preserve"> </w:t>
      </w:r>
      <w:r>
        <w:t xml:space="preserve">B</w:t>
      </w:r>
      <w:r>
        <w:t xml:space="preserve">raun-</w:t>
      </w:r>
      <w:r>
        <w:t xml:space="preserve">B</w:t>
      </w:r>
      <w:r>
        <w:t xml:space="preserve">lanquet</w:t>
      </w:r>
      <w:r>
        <w:t xml:space="preserve"> </w:t>
      </w:r>
      <w:r>
        <w:t xml:space="preserve">A</w:t>
      </w:r>
      <w:r>
        <w:t xml:space="preserve">pproach, pp. 287–399</w:t>
      </w:r>
      <w:r>
        <w:t xml:space="preserve"> </w:t>
      </w:r>
      <w:r>
        <w:rPr>
          <w:iCs/>
          <w:i/>
        </w:rPr>
        <w:t xml:space="preserve">In</w:t>
      </w:r>
      <w:r>
        <w:t xml:space="preserve"> </w:t>
      </w:r>
      <w:r>
        <w:t xml:space="preserve">Classification of plant communities. Springer.</w:t>
      </w:r>
    </w:p>
    <w:bookmarkEnd w:id="28"/>
    <w:bookmarkEnd w:id="29"/>
    <w:bookmarkEnd w:id="30"/>
    <w:sectPr w:rsidR="00537D25" w:rsidRPr="00D40009" w:rsidSect="00BF16EC">
      <w:footerReference r:id="rId9" w:type="default"/>
      <w:pgSz w:h="15840" w:w="12240"/>
      <w:pgMar w:bottom="1440" w:footer="720" w:gutter="0" w:header="720" w:left="1440" w:right="1440" w:top="144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8962650"/>
      <w:docPartObj>
        <w:docPartGallery w:val="Page Numbers (Bottom of Page)"/>
        <w:docPartUnique/>
      </w:docPartObj>
    </w:sdtPr>
    <w:sdtEndPr>
      <w:rPr>
        <w:noProof/>
      </w:rPr>
    </w:sdtEndPr>
    <w:sdtContent>
      <w:p w14:paraId="741E02C2" w14:textId="09757D57" w:rsidR="003C73CD" w:rsidRDefault="003C73C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B0D778D" w14:textId="77777777" w:rsidR="003C73CD" w:rsidRDefault="003C73CD">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A6F42C1D"/>
    <w:multiLevelType w:val="multilevel"/>
    <w:tmpl w:val="45FC37EC"/>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E17F69BA"/>
    <w:multiLevelType w:val="multilevel"/>
    <w:tmpl w:val="0BBEBA2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EA184E00"/>
    <w:lvl w:ilvl="0">
      <w:start w:val="1"/>
      <w:numFmt w:val="decimal"/>
      <w:lvlText w:val="%1."/>
      <w:lvlJc w:val="left"/>
      <w:pPr>
        <w:tabs>
          <w:tab w:pos="1800" w:val="num"/>
        </w:tabs>
        <w:ind w:hanging="360" w:left="1800"/>
      </w:pPr>
    </w:lvl>
  </w:abstractNum>
  <w:abstractNum w15:restartNumberingAfterBreak="0" w:abstractNumId="3">
    <w:nsid w:val="FFFFFF7D"/>
    <w:multiLevelType w:val="singleLevel"/>
    <w:tmpl w:val="D40C8C6E"/>
    <w:lvl w:ilvl="0">
      <w:start w:val="1"/>
      <w:numFmt w:val="decimal"/>
      <w:lvlText w:val="%1."/>
      <w:lvlJc w:val="left"/>
      <w:pPr>
        <w:tabs>
          <w:tab w:pos="1440" w:val="num"/>
        </w:tabs>
        <w:ind w:hanging="360" w:left="1440"/>
      </w:pPr>
    </w:lvl>
  </w:abstractNum>
  <w:abstractNum w15:restartNumberingAfterBreak="0" w:abstractNumId="4">
    <w:nsid w:val="FFFFFF7E"/>
    <w:multiLevelType w:val="singleLevel"/>
    <w:tmpl w:val="DDCC6FEE"/>
    <w:lvl w:ilvl="0">
      <w:start w:val="1"/>
      <w:numFmt w:val="decimal"/>
      <w:lvlText w:val="%1."/>
      <w:lvlJc w:val="left"/>
      <w:pPr>
        <w:tabs>
          <w:tab w:pos="1080" w:val="num"/>
        </w:tabs>
        <w:ind w:hanging="360" w:left="1080"/>
      </w:pPr>
    </w:lvl>
  </w:abstractNum>
  <w:abstractNum w15:restartNumberingAfterBreak="0" w:abstractNumId="5">
    <w:nsid w:val="FFFFFF7F"/>
    <w:multiLevelType w:val="singleLevel"/>
    <w:tmpl w:val="ACA85E36"/>
    <w:lvl w:ilvl="0">
      <w:start w:val="1"/>
      <w:numFmt w:val="decimal"/>
      <w:lvlText w:val="%1."/>
      <w:lvlJc w:val="left"/>
      <w:pPr>
        <w:tabs>
          <w:tab w:pos="720" w:val="num"/>
        </w:tabs>
        <w:ind w:hanging="360" w:left="720"/>
      </w:pPr>
    </w:lvl>
  </w:abstractNum>
  <w:abstractNum w15:restartNumberingAfterBreak="0" w:abstractNumId="6">
    <w:nsid w:val="FFFFFF80"/>
    <w:multiLevelType w:val="singleLevel"/>
    <w:tmpl w:val="E646BB8C"/>
    <w:lvl w:ilvl="0">
      <w:start w:val="1"/>
      <w:numFmt w:val="bullet"/>
      <w:pStyle w:val="ListBullet5"/>
      <w:lvlText w:val=""/>
      <w:lvlJc w:val="left"/>
      <w:pPr>
        <w:tabs>
          <w:tab w:pos="1800" w:val="num"/>
        </w:tabs>
        <w:ind w:hanging="360" w:left="1800"/>
      </w:pPr>
      <w:rPr>
        <w:rFonts w:ascii="Symbol" w:hAnsi="Symbol" w:hint="default"/>
      </w:rPr>
    </w:lvl>
  </w:abstractNum>
  <w:abstractNum w15:restartNumberingAfterBreak="0" w:abstractNumId="7">
    <w:nsid w:val="FFFFFF81"/>
    <w:multiLevelType w:val="singleLevel"/>
    <w:tmpl w:val="BBB8F250"/>
    <w:lvl w:ilvl="0">
      <w:start w:val="1"/>
      <w:numFmt w:val="bullet"/>
      <w:pStyle w:val="ListBullet4"/>
      <w:lvlText w:val=""/>
      <w:lvlJc w:val="left"/>
      <w:pPr>
        <w:tabs>
          <w:tab w:pos="1440" w:val="num"/>
        </w:tabs>
        <w:ind w:hanging="360" w:left="1440"/>
      </w:pPr>
      <w:rPr>
        <w:rFonts w:ascii="Symbol" w:hAnsi="Symbol" w:hint="default"/>
      </w:rPr>
    </w:lvl>
  </w:abstractNum>
  <w:abstractNum w15:restartNumberingAfterBreak="0" w:abstractNumId="8">
    <w:nsid w:val="FFFFFF82"/>
    <w:multiLevelType w:val="singleLevel"/>
    <w:tmpl w:val="A8D46850"/>
    <w:lvl w:ilvl="0">
      <w:start w:val="1"/>
      <w:numFmt w:val="bullet"/>
      <w:pStyle w:val="ListBullet3"/>
      <w:lvlText w:val=""/>
      <w:lvlJc w:val="left"/>
      <w:pPr>
        <w:tabs>
          <w:tab w:pos="1080" w:val="num"/>
        </w:tabs>
        <w:ind w:hanging="360" w:left="1080"/>
      </w:pPr>
      <w:rPr>
        <w:rFonts w:ascii="Symbol" w:hAnsi="Symbol" w:hint="default"/>
      </w:rPr>
    </w:lvl>
  </w:abstractNum>
  <w:abstractNum w15:restartNumberingAfterBreak="0" w:abstractNumId="9">
    <w:nsid w:val="FFFFFF83"/>
    <w:multiLevelType w:val="singleLevel"/>
    <w:tmpl w:val="F23C9B0A"/>
    <w:lvl w:ilvl="0">
      <w:start w:val="1"/>
      <w:numFmt w:val="bullet"/>
      <w:pStyle w:val="ListBullet2"/>
      <w:lvlText w:val=""/>
      <w:lvlJc w:val="left"/>
      <w:pPr>
        <w:tabs>
          <w:tab w:pos="720" w:val="num"/>
        </w:tabs>
        <w:ind w:hanging="360" w:left="720"/>
      </w:pPr>
      <w:rPr>
        <w:rFonts w:ascii="Symbol" w:hAnsi="Symbol" w:hint="default"/>
      </w:rPr>
    </w:lvl>
  </w:abstractNum>
  <w:abstractNum w15:restartNumberingAfterBreak="0" w:abstractNumId="10">
    <w:nsid w:val="FFFFFF88"/>
    <w:multiLevelType w:val="singleLevel"/>
    <w:tmpl w:val="EB244DD0"/>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1700DEAA"/>
    <w:lvl w:ilvl="0">
      <w:start w:val="1"/>
      <w:numFmt w:val="bullet"/>
      <w:pStyle w:val="ListBullet"/>
      <w:lvlText w:val=""/>
      <w:lvlJc w:val="left"/>
      <w:pPr>
        <w:tabs>
          <w:tab w:pos="360" w:val="num"/>
        </w:tabs>
        <w:ind w:hanging="360" w:left="360"/>
      </w:pPr>
      <w:rPr>
        <w:rFonts w:ascii="Symbol" w:hAnsi="Symbol" w:hint="default"/>
      </w:rPr>
    </w:lvl>
  </w:abstractNum>
  <w:abstractNum w15:restartNumberingAfterBreak="0" w:abstractNumId="12">
    <w:nsid w:val="21725581"/>
    <w:multiLevelType w:val="hybridMultilevel"/>
    <w:tmpl w:val="DE3A0DD4"/>
    <w:lvl w:ilvl="0" w:tplc="04090001">
      <w:start w:val="1"/>
      <w:numFmt w:val="bullet"/>
      <w:lvlText w:val=""/>
      <w:lvlJc w:val="left"/>
      <w:pPr>
        <w:ind w:hanging="360" w:left="360"/>
      </w:pPr>
      <w:rPr>
        <w:rFonts w:ascii="Symbol" w:hAnsi="Symbol" w:hint="default"/>
      </w:rPr>
    </w:lvl>
    <w:lvl w:ilvl="1" w:tplc="04090003">
      <w:start w:val="1"/>
      <w:numFmt w:val="bullet"/>
      <w:lvlText w:val="o"/>
      <w:lvlJc w:val="left"/>
      <w:pPr>
        <w:ind w:hanging="360" w:left="1080"/>
      </w:pPr>
      <w:rPr>
        <w:rFonts w:ascii="Courier New" w:cs="Courier New" w:hAnsi="Courier New" w:hint="default"/>
      </w:rPr>
    </w:lvl>
    <w:lvl w:ilvl="2" w:tplc="04090005">
      <w:start w:val="1"/>
      <w:numFmt w:val="bullet"/>
      <w:lvlText w:val=""/>
      <w:lvlJc w:val="left"/>
      <w:pPr>
        <w:ind w:hanging="360" w:left="1800"/>
      </w:pPr>
      <w:rPr>
        <w:rFonts w:ascii="Wingdings" w:hAnsi="Wingdings" w:hint="default"/>
      </w:rPr>
    </w:lvl>
    <w:lvl w:ilvl="3" w:tplc="04090001">
      <w:start w:val="1"/>
      <w:numFmt w:val="bullet"/>
      <w:lvlText w:val=""/>
      <w:lvlJc w:val="left"/>
      <w:pPr>
        <w:ind w:hanging="360" w:left="2520"/>
      </w:pPr>
      <w:rPr>
        <w:rFonts w:ascii="Symbol" w:hAnsi="Symbol" w:hint="default"/>
      </w:rPr>
    </w:lvl>
    <w:lvl w:ilvl="4" w:tentative="1" w:tplc="04090003">
      <w:start w:val="1"/>
      <w:numFmt w:val="bullet"/>
      <w:lvlText w:val="o"/>
      <w:lvlJc w:val="left"/>
      <w:pPr>
        <w:ind w:hanging="360" w:left="3240"/>
      </w:pPr>
      <w:rPr>
        <w:rFonts w:ascii="Courier New" w:cs="Courier New" w:hAnsi="Courier New" w:hint="default"/>
      </w:rPr>
    </w:lvl>
    <w:lvl w:ilvl="5" w:tentative="1" w:tplc="04090005">
      <w:start w:val="1"/>
      <w:numFmt w:val="bullet"/>
      <w:lvlText w:val=""/>
      <w:lvlJc w:val="left"/>
      <w:pPr>
        <w:ind w:hanging="360" w:left="3960"/>
      </w:pPr>
      <w:rPr>
        <w:rFonts w:ascii="Wingdings" w:hAnsi="Wingdings" w:hint="default"/>
      </w:rPr>
    </w:lvl>
    <w:lvl w:ilvl="6" w:tentative="1" w:tplc="04090001">
      <w:start w:val="1"/>
      <w:numFmt w:val="bullet"/>
      <w:lvlText w:val=""/>
      <w:lvlJc w:val="left"/>
      <w:pPr>
        <w:ind w:hanging="360" w:left="4680"/>
      </w:pPr>
      <w:rPr>
        <w:rFonts w:ascii="Symbol" w:hAnsi="Symbol" w:hint="default"/>
      </w:rPr>
    </w:lvl>
    <w:lvl w:ilvl="7" w:tentative="1" w:tplc="04090003">
      <w:start w:val="1"/>
      <w:numFmt w:val="bullet"/>
      <w:lvlText w:val="o"/>
      <w:lvlJc w:val="left"/>
      <w:pPr>
        <w:ind w:hanging="360" w:left="5400"/>
      </w:pPr>
      <w:rPr>
        <w:rFonts w:ascii="Courier New" w:cs="Courier New" w:hAnsi="Courier New" w:hint="default"/>
      </w:rPr>
    </w:lvl>
    <w:lvl w:ilvl="8" w:tentative="1" w:tplc="04090005">
      <w:start w:val="1"/>
      <w:numFmt w:val="bullet"/>
      <w:lvlText w:val=""/>
      <w:lvlJc w:val="left"/>
      <w:pPr>
        <w:ind w:hanging="360" w:left="6120"/>
      </w:pPr>
      <w:rPr>
        <w:rFonts w:ascii="Wingdings" w:hAnsi="Wingdings" w:hint="default"/>
      </w:r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21">
    <w:nsid w:val="A9942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716154767" w:numId="1">
    <w:abstractNumId w:val="1"/>
  </w:num>
  <w:num w16cid:durableId="734427407" w:numId="2">
    <w:abstractNumId w:val="0"/>
  </w:num>
  <w:num w16cid:durableId="573782877" w:numId="3">
    <w:abstractNumId w:val="11"/>
  </w:num>
  <w:num w16cid:durableId="1928533377" w:numId="4">
    <w:abstractNumId w:val="9"/>
  </w:num>
  <w:num w16cid:durableId="941301551" w:numId="5">
    <w:abstractNumId w:val="8"/>
  </w:num>
  <w:num w16cid:durableId="184952932" w:numId="6">
    <w:abstractNumId w:val="7"/>
  </w:num>
  <w:num w16cid:durableId="958487772" w:numId="7">
    <w:abstractNumId w:val="6"/>
  </w:num>
  <w:num w16cid:durableId="95753852" w:numId="8">
    <w:abstractNumId w:val="10"/>
  </w:num>
  <w:num w16cid:durableId="1849518749" w:numId="9">
    <w:abstractNumId w:val="5"/>
  </w:num>
  <w:num w16cid:durableId="1637177958" w:numId="10">
    <w:abstractNumId w:val="4"/>
  </w:num>
  <w:num w16cid:durableId="1650477053" w:numId="11">
    <w:abstractNumId w:val="3"/>
  </w:num>
  <w:num w16cid:durableId="2134715495" w:numId="12">
    <w:abstractNumId w:val="2"/>
  </w:num>
  <w:num w16cid:durableId="404647980" w:numId="13">
    <w:abstractNumId w:val="12"/>
  </w:num>
  <w:num w:numId="1000">
    <w:abstractNumId w:val="990"/>
  </w:num>
  <w:num w:numId="1001">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C80801"/>
    <w:rPr>
      <w:rFonts w:ascii="Times New Roman" w:hAnsi="Times New Roman"/>
    </w:rPr>
  </w:style>
  <w:style w:styleId="Heading1" w:type="paragraph">
    <w:name w:val="heading 1"/>
    <w:basedOn w:val="Normal"/>
    <w:next w:val="BodyText"/>
    <w:uiPriority w:val="9"/>
    <w:qFormat/>
    <w:rsid w:val="00D40009"/>
    <w:pPr>
      <w:keepNext/>
      <w:keepLines/>
      <w:spacing w:after="0" w:before="480"/>
      <w:outlineLvl w:val="0"/>
    </w:pPr>
    <w:rPr>
      <w:rFonts w:cstheme="majorBidi" w:eastAsiaTheme="majorEastAsia"/>
      <w:b/>
      <w:bCs/>
      <w:color w:themeColor="text1" w:val="000000"/>
      <w:sz w:val="32"/>
      <w:szCs w:val="32"/>
    </w:rPr>
  </w:style>
  <w:style w:styleId="Heading2" w:type="paragraph">
    <w:name w:val="heading 2"/>
    <w:basedOn w:val="Normal"/>
    <w:next w:val="BodyText"/>
    <w:uiPriority w:val="9"/>
    <w:unhideWhenUsed/>
    <w:qFormat/>
    <w:rsid w:val="005135B9"/>
    <w:pPr>
      <w:keepNext/>
      <w:keepLines/>
      <w:spacing w:before="200"/>
      <w:outlineLvl w:val="1"/>
    </w:pPr>
    <w:rPr>
      <w:rFonts w:cstheme="majorBidi" w:eastAsiaTheme="majorEastAsia"/>
      <w:b/>
      <w:bCs/>
      <w:color w:themeColor="text1" w:val="000000"/>
      <w:sz w:val="32"/>
      <w:szCs w:val="32"/>
    </w:rPr>
  </w:style>
  <w:style w:styleId="Heading3" w:type="paragraph">
    <w:name w:val="heading 3"/>
    <w:basedOn w:val="Normal"/>
    <w:next w:val="BodyText"/>
    <w:uiPriority w:val="9"/>
    <w:unhideWhenUsed/>
    <w:qFormat/>
    <w:rsid w:val="00D40009"/>
    <w:pPr>
      <w:keepNext/>
      <w:keepLines/>
      <w:spacing w:after="0" w:before="200"/>
      <w:outlineLvl w:val="2"/>
    </w:pPr>
    <w:rPr>
      <w:rFonts w:cstheme="majorBidi" w:eastAsiaTheme="majorEastAsia"/>
      <w:b/>
      <w:bCs/>
      <w:color w:themeColor="text1" w:val="000000"/>
      <w:sz w:val="28"/>
      <w:szCs w:val="28"/>
    </w:rPr>
  </w:style>
  <w:style w:styleId="Heading4" w:type="paragraph">
    <w:name w:val="heading 4"/>
    <w:basedOn w:val="Normal"/>
    <w:next w:val="BodyText"/>
    <w:uiPriority w:val="9"/>
    <w:unhideWhenUsed/>
    <w:qFormat/>
    <w:rsid w:val="00D40009"/>
    <w:pPr>
      <w:keepNext/>
      <w:keepLines/>
      <w:spacing w:after="0" w:before="200"/>
      <w:outlineLvl w:val="3"/>
    </w:pPr>
    <w:rPr>
      <w:rFonts w:cstheme="majorBidi" w:eastAsiaTheme="majorEastAsia"/>
      <w:b/>
      <w:bCs/>
      <w:color w:themeColor="text1" w:val="000000"/>
    </w:rPr>
  </w:style>
  <w:style w:styleId="Heading5" w:type="paragraph">
    <w:name w:val="heading 5"/>
    <w:basedOn w:val="Normal"/>
    <w:next w:val="BodyText"/>
    <w:uiPriority w:val="9"/>
    <w:unhideWhenUsed/>
    <w:qFormat/>
    <w:rsid w:val="00D40009"/>
    <w:pPr>
      <w:keepNext/>
      <w:keepLines/>
      <w:spacing w:after="0" w:before="200"/>
      <w:outlineLvl w:val="4"/>
    </w:pPr>
    <w:rPr>
      <w:rFonts w:cstheme="majorBidi" w:eastAsiaTheme="majorEastAsia"/>
      <w:i/>
      <w:iCs/>
      <w:color w:themeColor="text1" w:val="000000"/>
    </w:rPr>
  </w:style>
  <w:style w:styleId="Heading6" w:type="paragraph">
    <w:name w:val="heading 6"/>
    <w:basedOn w:val="Normal"/>
    <w:next w:val="BodyText"/>
    <w:uiPriority w:val="9"/>
    <w:unhideWhenUsed/>
    <w:qFormat/>
    <w:rsid w:val="00D40009"/>
    <w:pPr>
      <w:keepNext/>
      <w:keepLines/>
      <w:spacing w:after="0" w:before="200"/>
      <w:outlineLvl w:val="5"/>
    </w:pPr>
    <w:rPr>
      <w:rFonts w:cstheme="majorBidi" w:eastAsiaTheme="majorEastAsia"/>
      <w:color w:themeColor="text1" w:val="000000"/>
    </w:rPr>
  </w:style>
  <w:style w:styleId="Heading8" w:type="paragraph">
    <w:name w:val="heading 8"/>
    <w:basedOn w:val="Normal"/>
    <w:next w:val="Normal"/>
    <w:link w:val="Heading8Char"/>
    <w:rsid w:val="00C80801"/>
    <w:pPr>
      <w:keepNext/>
      <w:keepLines/>
      <w:spacing w:after="0" w:before="40"/>
      <w:outlineLvl w:val="7"/>
    </w:pPr>
    <w:rPr>
      <w:rFonts w:asciiTheme="majorHAnsi" w:cstheme="majorBidi" w:eastAsiaTheme="majorEastAsia" w:hAnsiTheme="majorHAnsi"/>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F9205D"/>
    <w:pPr>
      <w:spacing w:after="180" w:before="180"/>
    </w:pPr>
  </w:style>
  <w:style w:customStyle="1" w:styleId="FirstParagraph" w:type="paragraph">
    <w:name w:val="First Paragraph"/>
    <w:basedOn w:val="BodyText"/>
    <w:next w:val="BodyText"/>
    <w:qFormat/>
    <w:rsid w:val="00F9205D"/>
  </w:style>
  <w:style w:customStyle="1" w:styleId="Compact" w:type="paragraph">
    <w:name w:val="Compact"/>
    <w:basedOn w:val="BodyText"/>
    <w:qFormat/>
    <w:pPr>
      <w:spacing w:after="36" w:before="36"/>
    </w:pPr>
  </w:style>
  <w:style w:styleId="Title" w:type="paragraph">
    <w:name w:val="Title"/>
    <w:basedOn w:val="Normal"/>
    <w:next w:val="BodyText"/>
    <w:qFormat/>
    <w:rsid w:val="00D40009"/>
    <w:pPr>
      <w:keepNext/>
      <w:keepLines/>
      <w:spacing w:after="240" w:before="480"/>
      <w:jc w:val="center"/>
    </w:pPr>
    <w:rPr>
      <w:rFonts w:cstheme="majorBidi" w:eastAsiaTheme="majorEastAsia"/>
      <w:b/>
      <w:bCs/>
      <w:color w:themeColor="text1" w:val="000000"/>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F9205D"/>
    <w:pPr>
      <w:keepNext/>
      <w:keepLines/>
      <w:jc w:val="center"/>
    </w:pPr>
    <w:rPr>
      <w:rFonts w:ascii="Times New Roman" w:hAnsi="Times New Roman"/>
    </w:rPr>
  </w:style>
  <w:style w:styleId="Date" w:type="paragraph">
    <w:name w:val="Date"/>
    <w:next w:val="BodyText"/>
    <w:qFormat/>
    <w:rsid w:val="00F9205D"/>
    <w:pPr>
      <w:keepNext/>
      <w:keepLines/>
      <w:jc w:val="center"/>
    </w:pPr>
    <w:rPr>
      <w:rFonts w:ascii="Times New Roman" w:hAnsi="Times New Roman"/>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rsid w:val="007747C2"/>
  </w:style>
  <w:style w:styleId="BlockText" w:type="paragraph">
    <w:name w:val="Block Text"/>
    <w:basedOn w:val="BodyText"/>
    <w:next w:val="BodyText"/>
    <w:uiPriority w:val="9"/>
    <w:unhideWhenUsed/>
    <w:qFormat/>
    <w:pPr>
      <w:spacing w:after="100" w:before="100"/>
    </w:pPr>
    <w:rPr>
      <w:rFonts w:asciiTheme="majorHAnsi" w:cstheme="majorBidi" w:eastAsiaTheme="majorEastAsia" w:hAnsiTheme="majorHAnsi"/>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hAnsiTheme="majorHAnsi"/>
      <w:b w:val="0"/>
      <w:bCs w:val="0"/>
      <w:color w:themeColor="accent1" w:themeShade="BF" w:val="365F91"/>
    </w:rPr>
  </w:style>
  <w:style w:customStyle="1" w:styleId="SourceCode" w:type="paragraph">
    <w:name w:val="Source Code"/>
    <w:basedOn w:val="Normal"/>
    <w:link w:val="VerbatimChar"/>
    <w:pPr>
      <w:shd w:color="auto" w:fill="F8F8F8" w:val="clear"/>
      <w:wordWrap w:val="0"/>
    </w:pPr>
  </w:style>
  <w:style w:customStyle="1" w:styleId="KeywordTok" w:type="character">
    <w:name w:val="KeywordTok"/>
    <w:basedOn w:val="VerbatimChar"/>
    <w:rPr>
      <w:rFonts w:ascii="Consolas" w:hAnsi="Consolas"/>
      <w:b/>
      <w:color w:val="204A87"/>
      <w:sz w:val="22"/>
      <w:shd w:color="auto" w:fill="F8F8F8" w:val="clear"/>
    </w:rPr>
  </w:style>
  <w:style w:customStyle="1" w:styleId="DataTypeTok" w:type="character">
    <w:name w:val="DataTypeTok"/>
    <w:basedOn w:val="VerbatimChar"/>
    <w:rPr>
      <w:rFonts w:ascii="Consolas" w:hAnsi="Consolas"/>
      <w:color w:val="204A87"/>
      <w:sz w:val="22"/>
      <w:shd w:color="auto" w:fill="F8F8F8" w:val="clear"/>
    </w:rPr>
  </w:style>
  <w:style w:customStyle="1" w:styleId="DecValTok" w:type="character">
    <w:name w:val="DecValTok"/>
    <w:basedOn w:val="VerbatimChar"/>
    <w:rPr>
      <w:rFonts w:ascii="Consolas" w:hAnsi="Consolas"/>
      <w:color w:val="0000CF"/>
      <w:sz w:val="22"/>
      <w:shd w:color="auto" w:fill="F8F8F8" w:val="clear"/>
    </w:rPr>
  </w:style>
  <w:style w:customStyle="1" w:styleId="BaseNTok" w:type="character">
    <w:name w:val="BaseNTok"/>
    <w:basedOn w:val="VerbatimChar"/>
    <w:rPr>
      <w:rFonts w:ascii="Consolas" w:hAnsi="Consolas"/>
      <w:color w:val="0000CF"/>
      <w:sz w:val="22"/>
      <w:shd w:color="auto" w:fill="F8F8F8" w:val="clear"/>
    </w:rPr>
  </w:style>
  <w:style w:customStyle="1" w:styleId="FloatTok" w:type="character">
    <w:name w:val="FloatTok"/>
    <w:basedOn w:val="VerbatimChar"/>
    <w:rPr>
      <w:rFonts w:ascii="Consolas" w:hAnsi="Consolas"/>
      <w:color w:val="0000CF"/>
      <w:sz w:val="22"/>
      <w:shd w:color="auto" w:fill="F8F8F8" w:val="clear"/>
    </w:rPr>
  </w:style>
  <w:style w:customStyle="1" w:styleId="ConstantTok" w:type="character">
    <w:name w:val="ConstantTok"/>
    <w:basedOn w:val="VerbatimChar"/>
    <w:rPr>
      <w:rFonts w:ascii="Consolas" w:hAnsi="Consolas"/>
      <w:color w:val="000000"/>
      <w:sz w:val="22"/>
      <w:shd w:color="auto" w:fill="F8F8F8" w:val="clear"/>
    </w:rPr>
  </w:style>
  <w:style w:customStyle="1" w:styleId="CharTok" w:type="character">
    <w:name w:val="CharTok"/>
    <w:basedOn w:val="VerbatimChar"/>
    <w:rPr>
      <w:rFonts w:ascii="Consolas" w:hAnsi="Consolas"/>
      <w:color w:val="4E9A06"/>
      <w:sz w:val="22"/>
      <w:shd w:color="auto" w:fill="F8F8F8" w:val="clear"/>
    </w:rPr>
  </w:style>
  <w:style w:customStyle="1" w:styleId="SpecialCharTok" w:type="character">
    <w:name w:val="SpecialCharTok"/>
    <w:basedOn w:val="VerbatimChar"/>
    <w:rPr>
      <w:rFonts w:ascii="Consolas" w:hAnsi="Consolas"/>
      <w:color w:val="000000"/>
      <w:sz w:val="22"/>
      <w:shd w:color="auto" w:fill="F8F8F8" w:val="clear"/>
    </w:rPr>
  </w:style>
  <w:style w:customStyle="1" w:styleId="StringTok" w:type="character">
    <w:name w:val="StringTok"/>
    <w:basedOn w:val="VerbatimChar"/>
    <w:rPr>
      <w:rFonts w:ascii="Consolas" w:hAnsi="Consolas"/>
      <w:color w:val="4E9A06"/>
      <w:sz w:val="22"/>
      <w:shd w:color="auto" w:fill="F8F8F8" w:val="clear"/>
    </w:rPr>
  </w:style>
  <w:style w:customStyle="1" w:styleId="VerbatimStringTok" w:type="character">
    <w:name w:val="VerbatimStringTok"/>
    <w:basedOn w:val="VerbatimChar"/>
    <w:rPr>
      <w:rFonts w:ascii="Consolas" w:hAnsi="Consolas"/>
      <w:color w:val="4E9A06"/>
      <w:sz w:val="22"/>
      <w:shd w:color="auto" w:fill="F8F8F8" w:val="clear"/>
    </w:rPr>
  </w:style>
  <w:style w:customStyle="1" w:styleId="SpecialStringTok" w:type="character">
    <w:name w:val="SpecialStringTok"/>
    <w:basedOn w:val="VerbatimChar"/>
    <w:rPr>
      <w:rFonts w:ascii="Consolas" w:hAnsi="Consolas"/>
      <w:color w:val="4E9A06"/>
      <w:sz w:val="22"/>
      <w:shd w:color="auto" w:fill="F8F8F8" w:val="clear"/>
    </w:rPr>
  </w:style>
  <w:style w:customStyle="1" w:styleId="ImportTok" w:type="character">
    <w:name w:val="ImportTok"/>
    <w:basedOn w:val="VerbatimChar"/>
    <w:rPr>
      <w:rFonts w:ascii="Consolas" w:hAnsi="Consolas"/>
      <w:sz w:val="22"/>
      <w:shd w:color="auto" w:fill="F8F8F8" w:val="clear"/>
    </w:rPr>
  </w:style>
  <w:style w:customStyle="1" w:styleId="CommentTok" w:type="character">
    <w:name w:val="CommentTok"/>
    <w:basedOn w:val="VerbatimChar"/>
    <w:rPr>
      <w:rFonts w:ascii="Consolas" w:hAnsi="Consolas"/>
      <w:i/>
      <w:color w:val="8F5902"/>
      <w:sz w:val="22"/>
      <w:shd w:color="auto" w:fill="F8F8F8" w:val="clear"/>
    </w:rPr>
  </w:style>
  <w:style w:customStyle="1" w:styleId="DocumentationTok" w:type="character">
    <w:name w:val="DocumentationTok"/>
    <w:basedOn w:val="VerbatimChar"/>
    <w:rPr>
      <w:rFonts w:ascii="Consolas" w:hAnsi="Consolas"/>
      <w:b/>
      <w:i/>
      <w:color w:val="8F5902"/>
      <w:sz w:val="22"/>
      <w:shd w:color="auto" w:fill="F8F8F8" w:val="clear"/>
    </w:rPr>
  </w:style>
  <w:style w:customStyle="1" w:styleId="AnnotationTok" w:type="character">
    <w:name w:val="AnnotationTok"/>
    <w:basedOn w:val="VerbatimChar"/>
    <w:rPr>
      <w:rFonts w:ascii="Consolas" w:hAnsi="Consolas"/>
      <w:b/>
      <w:i/>
      <w:color w:val="8F5902"/>
      <w:sz w:val="22"/>
      <w:shd w:color="auto" w:fill="F8F8F8" w:val="clear"/>
    </w:rPr>
  </w:style>
  <w:style w:customStyle="1" w:styleId="CommentVarTok" w:type="character">
    <w:name w:val="CommentVarTok"/>
    <w:basedOn w:val="VerbatimChar"/>
    <w:rPr>
      <w:rFonts w:ascii="Consolas" w:hAnsi="Consolas"/>
      <w:b/>
      <w:i/>
      <w:color w:val="8F5902"/>
      <w:sz w:val="22"/>
      <w:shd w:color="auto" w:fill="F8F8F8" w:val="clear"/>
    </w:rPr>
  </w:style>
  <w:style w:customStyle="1" w:styleId="OtherTok" w:type="character">
    <w:name w:val="OtherTok"/>
    <w:basedOn w:val="VerbatimChar"/>
    <w:rPr>
      <w:rFonts w:ascii="Consolas" w:hAnsi="Consolas"/>
      <w:color w:val="8F5902"/>
      <w:sz w:val="22"/>
      <w:shd w:color="auto" w:fill="F8F8F8" w:val="clear"/>
    </w:rPr>
  </w:style>
  <w:style w:customStyle="1" w:styleId="FunctionTok" w:type="character">
    <w:name w:val="FunctionTok"/>
    <w:basedOn w:val="VerbatimChar"/>
    <w:rPr>
      <w:rFonts w:ascii="Consolas" w:hAnsi="Consolas"/>
      <w:color w:val="000000"/>
      <w:sz w:val="22"/>
      <w:shd w:color="auto" w:fill="F8F8F8" w:val="clear"/>
    </w:rPr>
  </w:style>
  <w:style w:customStyle="1" w:styleId="VariableTok" w:type="character">
    <w:name w:val="VariableTok"/>
    <w:basedOn w:val="VerbatimChar"/>
    <w:rPr>
      <w:rFonts w:ascii="Consolas" w:hAnsi="Consolas"/>
      <w:color w:val="000000"/>
      <w:sz w:val="22"/>
      <w:shd w:color="auto" w:fill="F8F8F8" w:val="clear"/>
    </w:rPr>
  </w:style>
  <w:style w:customStyle="1" w:styleId="ControlFlowTok" w:type="character">
    <w:name w:val="ControlFlowTok"/>
    <w:basedOn w:val="VerbatimChar"/>
    <w:rPr>
      <w:rFonts w:ascii="Consolas" w:hAnsi="Consolas"/>
      <w:b/>
      <w:color w:val="204A87"/>
      <w:sz w:val="22"/>
      <w:shd w:color="auto" w:fill="F8F8F8" w:val="clear"/>
    </w:rPr>
  </w:style>
  <w:style w:customStyle="1" w:styleId="OperatorTok" w:type="character">
    <w:name w:val="OperatorTok"/>
    <w:basedOn w:val="VerbatimChar"/>
    <w:rPr>
      <w:rFonts w:ascii="Consolas" w:hAnsi="Consolas"/>
      <w:b/>
      <w:color w:val="CE5C00"/>
      <w:sz w:val="22"/>
      <w:shd w:color="auto" w:fill="F8F8F8" w:val="clear"/>
    </w:rPr>
  </w:style>
  <w:style w:customStyle="1" w:styleId="BuiltInTok" w:type="character">
    <w:name w:val="BuiltInTok"/>
    <w:basedOn w:val="VerbatimChar"/>
    <w:rPr>
      <w:rFonts w:ascii="Consolas" w:hAnsi="Consolas"/>
      <w:sz w:val="22"/>
      <w:shd w:color="auto" w:fill="F8F8F8" w:val="clear"/>
    </w:rPr>
  </w:style>
  <w:style w:customStyle="1" w:styleId="ExtensionTok" w:type="character">
    <w:name w:val="ExtensionTok"/>
    <w:basedOn w:val="VerbatimChar"/>
    <w:rPr>
      <w:rFonts w:ascii="Consolas" w:hAnsi="Consolas"/>
      <w:sz w:val="22"/>
      <w:shd w:color="auto" w:fill="F8F8F8" w:val="clear"/>
    </w:rPr>
  </w:style>
  <w:style w:customStyle="1" w:styleId="PreprocessorTok" w:type="character">
    <w:name w:val="PreprocessorTok"/>
    <w:basedOn w:val="VerbatimChar"/>
    <w:rPr>
      <w:rFonts w:ascii="Consolas" w:hAnsi="Consolas"/>
      <w:i/>
      <w:color w:val="8F5902"/>
      <w:sz w:val="22"/>
      <w:shd w:color="auto" w:fill="F8F8F8" w:val="clear"/>
    </w:rPr>
  </w:style>
  <w:style w:customStyle="1" w:styleId="AttributeTok" w:type="character">
    <w:name w:val="AttributeTok"/>
    <w:basedOn w:val="VerbatimChar"/>
    <w:rPr>
      <w:rFonts w:ascii="Consolas" w:hAnsi="Consolas"/>
      <w:color w:val="C4A000"/>
      <w:sz w:val="22"/>
      <w:shd w:color="auto" w:fill="F8F8F8" w:val="clear"/>
    </w:rPr>
  </w:style>
  <w:style w:customStyle="1" w:styleId="RegionMarkerTok" w:type="character">
    <w:name w:val="RegionMarkerTok"/>
    <w:basedOn w:val="VerbatimChar"/>
    <w:rPr>
      <w:rFonts w:ascii="Consolas" w:hAnsi="Consolas"/>
      <w:sz w:val="22"/>
      <w:shd w:color="auto" w:fill="F8F8F8" w:val="clear"/>
    </w:rPr>
  </w:style>
  <w:style w:customStyle="1" w:styleId="InformationTok" w:type="character">
    <w:name w:val="InformationTok"/>
    <w:basedOn w:val="VerbatimChar"/>
    <w:rPr>
      <w:rFonts w:ascii="Consolas" w:hAnsi="Consolas"/>
      <w:b/>
      <w:i/>
      <w:color w:val="8F5902"/>
      <w:sz w:val="22"/>
      <w:shd w:color="auto" w:fill="F8F8F8" w:val="clear"/>
    </w:rPr>
  </w:style>
  <w:style w:customStyle="1" w:styleId="WarningTok" w:type="character">
    <w:name w:val="WarningTok"/>
    <w:basedOn w:val="VerbatimChar"/>
    <w:rPr>
      <w:rFonts w:ascii="Consolas" w:hAnsi="Consolas"/>
      <w:b/>
      <w:i/>
      <w:color w:val="8F5902"/>
      <w:sz w:val="22"/>
      <w:shd w:color="auto" w:fill="F8F8F8" w:val="clear"/>
    </w:rPr>
  </w:style>
  <w:style w:customStyle="1" w:styleId="AlertTok" w:type="character">
    <w:name w:val="AlertTok"/>
    <w:basedOn w:val="VerbatimChar"/>
    <w:rPr>
      <w:rFonts w:ascii="Consolas" w:hAnsi="Consolas"/>
      <w:color w:val="EF2929"/>
      <w:sz w:val="22"/>
      <w:shd w:color="auto" w:fill="F8F8F8" w:val="clear"/>
    </w:rPr>
  </w:style>
  <w:style w:customStyle="1" w:styleId="ErrorTok" w:type="character">
    <w:name w:val="ErrorTok"/>
    <w:basedOn w:val="VerbatimChar"/>
    <w:rPr>
      <w:rFonts w:ascii="Consolas" w:hAnsi="Consolas"/>
      <w:b/>
      <w:color w:val="A40000"/>
      <w:sz w:val="22"/>
      <w:shd w:color="auto" w:fill="F8F8F8" w:val="clear"/>
    </w:rPr>
  </w:style>
  <w:style w:customStyle="1" w:styleId="NormalTok" w:type="character">
    <w:name w:val="NormalTok"/>
    <w:basedOn w:val="VerbatimChar"/>
    <w:rPr>
      <w:rFonts w:ascii="Consolas" w:hAnsi="Consolas"/>
      <w:sz w:val="22"/>
      <w:shd w:color="auto" w:fill="F8F8F8" w:val="clear"/>
    </w:rPr>
  </w:style>
  <w:style w:customStyle="1" w:styleId="BodyTextChar" w:type="character">
    <w:name w:val="Body Text Char"/>
    <w:basedOn w:val="DefaultParagraphFont"/>
    <w:link w:val="BodyText"/>
    <w:rsid w:val="00F9205D"/>
    <w:rPr>
      <w:rFonts w:ascii="Times New Roman" w:hAnsi="Times New Roman"/>
    </w:rPr>
  </w:style>
  <w:style w:styleId="ListContinue" w:type="paragraph">
    <w:name w:val="List Continue"/>
    <w:basedOn w:val="Normal"/>
    <w:semiHidden/>
    <w:unhideWhenUsed/>
    <w:rsid w:val="007747C2"/>
    <w:pPr>
      <w:spacing w:after="120"/>
      <w:ind w:left="360"/>
      <w:contextualSpacing/>
    </w:pPr>
  </w:style>
  <w:style w:styleId="ListParagraph" w:type="paragraph">
    <w:name w:val="List Paragraph"/>
    <w:basedOn w:val="Normal"/>
    <w:rsid w:val="007747C2"/>
    <w:pPr>
      <w:ind w:left="720"/>
      <w:contextualSpacing/>
    </w:pPr>
  </w:style>
  <w:style w:styleId="List" w:type="paragraph">
    <w:name w:val="List"/>
    <w:basedOn w:val="Normal"/>
    <w:semiHidden/>
    <w:unhideWhenUsed/>
    <w:rsid w:val="00BD3235"/>
    <w:pPr>
      <w:ind w:hanging="360" w:left="360"/>
      <w:contextualSpacing/>
    </w:pPr>
  </w:style>
  <w:style w:styleId="List2" w:type="paragraph">
    <w:name w:val="List 2"/>
    <w:basedOn w:val="Normal"/>
    <w:semiHidden/>
    <w:unhideWhenUsed/>
    <w:rsid w:val="00BD3235"/>
    <w:pPr>
      <w:ind w:hanging="360" w:left="720"/>
      <w:contextualSpacing/>
    </w:pPr>
  </w:style>
  <w:style w:styleId="List3" w:type="paragraph">
    <w:name w:val="List 3"/>
    <w:basedOn w:val="Normal"/>
    <w:semiHidden/>
    <w:unhideWhenUsed/>
    <w:rsid w:val="00BD3235"/>
    <w:pPr>
      <w:ind w:hanging="360" w:left="1080"/>
      <w:contextualSpacing/>
    </w:pPr>
  </w:style>
  <w:style w:styleId="List4" w:type="paragraph">
    <w:name w:val="List 4"/>
    <w:basedOn w:val="Normal"/>
    <w:semiHidden/>
    <w:unhideWhenUsed/>
    <w:rsid w:val="00BD3235"/>
    <w:pPr>
      <w:ind w:hanging="360" w:left="1440"/>
      <w:contextualSpacing/>
    </w:pPr>
  </w:style>
  <w:style w:styleId="List5" w:type="paragraph">
    <w:name w:val="List 5"/>
    <w:basedOn w:val="Normal"/>
    <w:semiHidden/>
    <w:unhideWhenUsed/>
    <w:rsid w:val="00BD3235"/>
    <w:pPr>
      <w:ind w:hanging="360" w:left="1800"/>
      <w:contextualSpacing/>
    </w:pPr>
  </w:style>
  <w:style w:styleId="Index1" w:type="paragraph">
    <w:name w:val="index 1"/>
    <w:basedOn w:val="Normal"/>
    <w:next w:val="Normal"/>
    <w:autoRedefine/>
    <w:rsid w:val="00C242C7"/>
    <w:pPr>
      <w:spacing w:after="0"/>
      <w:ind w:hanging="240" w:left="240"/>
    </w:pPr>
  </w:style>
  <w:style w:styleId="ListBullet" w:type="paragraph">
    <w:name w:val="List Bullet"/>
    <w:basedOn w:val="Normal"/>
    <w:semiHidden/>
    <w:unhideWhenUsed/>
    <w:rsid w:val="00C242C7"/>
    <w:pPr>
      <w:numPr>
        <w:numId w:val="3"/>
      </w:numPr>
      <w:contextualSpacing/>
    </w:pPr>
  </w:style>
  <w:style w:styleId="ListBullet2" w:type="paragraph">
    <w:name w:val="List Bullet 2"/>
    <w:basedOn w:val="Normal"/>
    <w:rsid w:val="00C242C7"/>
    <w:pPr>
      <w:numPr>
        <w:numId w:val="4"/>
      </w:numPr>
      <w:contextualSpacing/>
    </w:pPr>
  </w:style>
  <w:style w:styleId="ListBullet3" w:type="paragraph">
    <w:name w:val="List Bullet 3"/>
    <w:basedOn w:val="Normal"/>
    <w:semiHidden/>
    <w:unhideWhenUsed/>
    <w:rsid w:val="00C242C7"/>
    <w:pPr>
      <w:numPr>
        <w:numId w:val="5"/>
      </w:numPr>
      <w:contextualSpacing/>
    </w:pPr>
  </w:style>
  <w:style w:styleId="ListBullet4" w:type="paragraph">
    <w:name w:val="List Bullet 4"/>
    <w:basedOn w:val="Normal"/>
    <w:semiHidden/>
    <w:unhideWhenUsed/>
    <w:rsid w:val="00C242C7"/>
    <w:pPr>
      <w:numPr>
        <w:numId w:val="6"/>
      </w:numPr>
      <w:contextualSpacing/>
    </w:pPr>
  </w:style>
  <w:style w:styleId="ListBullet5" w:type="paragraph">
    <w:name w:val="List Bullet 5"/>
    <w:basedOn w:val="Normal"/>
    <w:rsid w:val="008E7A52"/>
    <w:pPr>
      <w:numPr>
        <w:numId w:val="7"/>
      </w:numPr>
      <w:contextualSpacing/>
    </w:pPr>
  </w:style>
  <w:style w:customStyle="1" w:styleId="Heading8Char" w:type="character">
    <w:name w:val="Heading 8 Char"/>
    <w:basedOn w:val="DefaultParagraphFont"/>
    <w:link w:val="Heading8"/>
    <w:rsid w:val="00C80801"/>
    <w:rPr>
      <w:rFonts w:asciiTheme="majorHAnsi" w:cstheme="majorBidi" w:eastAsiaTheme="majorEastAsia" w:hAnsiTheme="majorHAnsi"/>
      <w:color w:themeColor="text1" w:themeTint="D8" w:val="272727"/>
      <w:sz w:val="21"/>
      <w:szCs w:val="21"/>
    </w:rPr>
  </w:style>
  <w:style w:styleId="TOC1" w:type="paragraph">
    <w:name w:val="toc 1"/>
    <w:basedOn w:val="Normal"/>
    <w:next w:val="Normal"/>
    <w:autoRedefine/>
    <w:semiHidden/>
    <w:unhideWhenUsed/>
    <w:rsid w:val="00C80801"/>
    <w:pPr>
      <w:spacing w:after="100"/>
    </w:pPr>
  </w:style>
  <w:style w:styleId="TOC2" w:type="paragraph">
    <w:name w:val="toc 2"/>
    <w:basedOn w:val="Normal"/>
    <w:next w:val="Normal"/>
    <w:autoRedefine/>
    <w:semiHidden/>
    <w:unhideWhenUsed/>
    <w:rsid w:val="00C80801"/>
    <w:pPr>
      <w:spacing w:after="100"/>
      <w:ind w:left="240"/>
    </w:pPr>
  </w:style>
  <w:style w:styleId="TOC3" w:type="paragraph">
    <w:name w:val="toc 3"/>
    <w:basedOn w:val="Normal"/>
    <w:next w:val="Normal"/>
    <w:autoRedefine/>
    <w:semiHidden/>
    <w:unhideWhenUsed/>
    <w:rsid w:val="00C80801"/>
    <w:pPr>
      <w:spacing w:after="100"/>
      <w:ind w:left="480"/>
    </w:pPr>
  </w:style>
  <w:style w:styleId="Header" w:type="paragraph">
    <w:name w:val="header"/>
    <w:basedOn w:val="Normal"/>
    <w:link w:val="HeaderChar"/>
    <w:unhideWhenUsed/>
    <w:rsid w:val="003C73CD"/>
    <w:pPr>
      <w:tabs>
        <w:tab w:pos="4680" w:val="center"/>
        <w:tab w:pos="9360" w:val="right"/>
      </w:tabs>
      <w:spacing w:after="0"/>
    </w:pPr>
  </w:style>
  <w:style w:customStyle="1" w:styleId="HeaderChar" w:type="character">
    <w:name w:val="Header Char"/>
    <w:basedOn w:val="DefaultParagraphFont"/>
    <w:link w:val="Header"/>
    <w:rsid w:val="003C73CD"/>
    <w:rPr>
      <w:rFonts w:ascii="Times New Roman" w:hAnsi="Times New Roman"/>
    </w:rPr>
  </w:style>
  <w:style w:styleId="Footer" w:type="paragraph">
    <w:name w:val="footer"/>
    <w:basedOn w:val="Normal"/>
    <w:link w:val="FooterChar"/>
    <w:uiPriority w:val="99"/>
    <w:unhideWhenUsed/>
    <w:rsid w:val="003C73CD"/>
    <w:pPr>
      <w:tabs>
        <w:tab w:pos="4680" w:val="center"/>
        <w:tab w:pos="9360" w:val="right"/>
      </w:tabs>
      <w:spacing w:after="0"/>
    </w:pPr>
  </w:style>
  <w:style w:customStyle="1" w:styleId="FooterChar" w:type="character">
    <w:name w:val="Footer Char"/>
    <w:basedOn w:val="DefaultParagraphFont"/>
    <w:link w:val="Footer"/>
    <w:uiPriority w:val="99"/>
    <w:rsid w:val="003C73CD"/>
    <w:rPr>
      <w:rFonts w:ascii="Times New Roman" w:hAnsi="Times New Roman"/>
    </w:rPr>
  </w:style>
  <w:style w:styleId="LineNumber" w:type="character">
    <w:name w:val="line number"/>
    <w:basedOn w:val="DefaultParagraphFont"/>
    <w:semiHidden/>
    <w:unhideWhenUsed/>
    <w:rsid w:val="003C73C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hyperlink" Id="rId22" Target="https://doi.org/10.1007/s11270-013-1742-7" TargetMode="External" /><Relationship Type="http://schemas.openxmlformats.org/officeDocument/2006/relationships/hyperlink" Id="rId24" Target="https://doi.org/10.1016/j.jenvman.2009.03.007" TargetMode="External" /><Relationship Type="http://schemas.openxmlformats.org/officeDocument/2006/relationships/hyperlink" Id="rId26" Target="https://doi.org/10.1016/j.scitotenv.2018.05.211" TargetMode="External" /></Relationships>
</file>

<file path=word/_rels/footnotes.xml.rels><?xml version="1.0" encoding="UTF-8"?><Relationships xmlns="http://schemas.openxmlformats.org/package/2006/relationships"><Relationship Type="http://schemas.openxmlformats.org/officeDocument/2006/relationships/hyperlink" Id="rId22" Target="https://doi.org/10.1007/s11270-013-1742-7" TargetMode="External" /><Relationship Type="http://schemas.openxmlformats.org/officeDocument/2006/relationships/hyperlink" Id="rId24" Target="https://doi.org/10.1016/j.jenvman.2009.03.007" TargetMode="External" /><Relationship Type="http://schemas.openxmlformats.org/officeDocument/2006/relationships/hyperlink" Id="rId26" Target="https://doi.org/10.1016/j.scitotenv.2018.05.21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29</TotalTime>
  <Pages>1</Pages>
  <Words>138</Words>
  <Characters>788</Characters>
  <Application>Microsoft Office Word</Application>
  <DocSecurity>0</DocSecurity>
  <Lines>6</Lines>
  <Paragraphs>1</Paragraphs>
  <ScaleCrop>false</ScaleCrop>
  <Company/>
  <LinksUpToDate>false</LinksUpToDate>
  <CharactersWithSpaces>925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2022-11-14T22:06:29Z</dcterms:created>
  <dcterms:modified xsi:type="dcterms:W3CDTF">2022-11-14T22:06:29Z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True</vt:lpwstr>
  </property>
  <property fmtid="{D5CDD505-2E9C-101B-9397-08002B2CF9AE}" pid="3" name="bibliography">
    <vt:lpwstr>../refs.bib</vt:lpwstr>
  </property>
  <property fmtid="{D5CDD505-2E9C-101B-9397-08002B2CF9AE}" pid="4" name="csl">
    <vt:lpwstr>../florida-scientist.csl</vt:lpwstr>
  </property>
  <property fmtid="{D5CDD505-2E9C-101B-9397-08002B2CF9AE}" pid="5" name="link-citations">
    <vt:lpwstr>True</vt:lpwstr>
  </property>
  <property fmtid="{D5CDD505-2E9C-101B-9397-08002B2CF9AE}" pid="6" name="output">
    <vt:lpwstr/>
  </property>
  <property fmtid="{D5CDD505-2E9C-101B-9397-08002B2CF9AE}" pid="7" name="urlcolor">
    <vt:lpwstr>blue</vt:lpwstr>
  </property>
</Properties>
</file>