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33.png" ContentType="image/png"/>
  <Override PartName="/word/media/rId29.png" ContentType="image/png"/>
  <Override PartName="/word/media/rId4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26" w:name="methods"/>
    <w:p>
      <w:pPr>
        <w:pStyle w:val="Heading2"/>
      </w:pPr>
      <w:r>
        <w:t xml:space="preserve">2 Methods</w:t>
      </w:r>
    </w:p>
    <w:p>
      <w:pPr>
        <w:pStyle w:val="FirstParagraph"/>
      </w:pPr>
      <w:r>
        <w:t xml:space="preserve">history of transect monitoring</w:t>
      </w:r>
    </w:p>
    <w:p>
      <w:pPr>
        <w:pStyle w:val="BodyText"/>
      </w:pPr>
      <w:r>
        <w:t xml:space="preserve">note that we can’t run trend analyses on converted scores - these are always rescaled each year, since the primary goal is to serve as a motivating example each year. To assess trends, we really need to look at how avg raw differences have changed over time (see scratch.R).</w:t>
      </w:r>
    </w:p>
    <w:p>
      <w:pPr>
        <w:pStyle w:val="BodyText"/>
      </w:pPr>
      <w:r>
        <w:t xml:space="preserve">Sensitivity of the scoring method was evaluated two ways, the first assessing general sensitivity to the data used for the scoring and the second based on explicit decision for the year period used for defining the floor.</w:t>
      </w:r>
    </w:p>
    <w:bookmarkEnd w:id="26"/>
    <w:bookmarkStart w:id="27" w:name="results"/>
    <w:p>
      <w:pPr>
        <w:pStyle w:val="Heading2"/>
      </w:pPr>
      <w:r>
        <w:t xml:space="preserve">3 Results</w:t>
      </w:r>
    </w:p>
    <w:p>
      <w:pPr>
        <w:pStyle w:val="FirstParagraph"/>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27"/>
    <w:bookmarkStart w:id="28"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r>
        <w:br w:type="page"/>
      </w:r>
    </w:p>
    <w:bookmarkEnd w:id="28"/>
    <w:bookmarkStart w:id="4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2" w:name="fig-scoring_process"/>
          <w:p>
            <w:pPr>
              <w:pStyle w:val="Compact"/>
              <w:jc w:val="center"/>
            </w:pPr>
            <w:r>
              <w:drawing>
                <wp:inline>
                  <wp:extent cx="5943600" cy="3962400"/>
                  <wp:effectExtent b="0" l="0" r="0" t="0"/>
                  <wp:docPr descr="" title="" id="30" name="Picture"/>
                  <a:graphic>
                    <a:graphicData uri="http://schemas.openxmlformats.org/drawingml/2006/picture">
                      <pic:pic>
                        <pic:nvPicPr>
                          <pic:cNvPr descr="figs/scoring_process.png" id="31" name="Picture"/>
                          <pic:cNvPicPr>
                            <a:picLocks noChangeArrowheads="1" noChangeAspect="1"/>
                          </pic:cNvPicPr>
                        </pic:nvPicPr>
                        <pic:blipFill>
                          <a:blip r:embed="rId2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32"/>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fig-leaveoneout"/>
          <w:p>
            <w:pPr>
              <w:pStyle w:val="Compact"/>
              <w:jc w:val="center"/>
            </w:pPr>
            <w:r>
              <w:drawing>
                <wp:inline>
                  <wp:extent cx="5943600" cy="4457699"/>
                  <wp:effectExtent b="0" l="0" r="0" t="0"/>
                  <wp:docPr descr="" title="" id="34" name="Picture"/>
                  <a:graphic>
                    <a:graphicData uri="http://schemas.openxmlformats.org/drawingml/2006/picture">
                      <pic:pic>
                        <pic:nvPicPr>
                          <pic:cNvPr descr="figs/leaveoneout.png" id="35" name="Picture"/>
                          <pic:cNvPicPr>
                            <a:picLocks noChangeArrowheads="1" noChangeAspect="1"/>
                          </pic:cNvPicPr>
                        </pic:nvPicPr>
                        <pic:blipFill>
                          <a:blip r:embed="rId33"/>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 2: Comparison of raw deviations (top row) and scores (bottom row) for each of three metrics following a leave-one-site-out analysis across all years. The values on the y-axis represent the newly calculated raw deviations or scores after removing one site for each of all sampling years, repeated until each site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 and the full values with all sites. The dashed lines are 1:1 relationships.</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calsens"/>
          <w:p>
            <w:pPr>
              <w:pStyle w:val="Compact"/>
              <w:jc w:val="center"/>
            </w:pPr>
            <w:r>
              <w:drawing>
                <wp:inline>
                  <wp:extent cx="5504749" cy="5504749"/>
                  <wp:effectExtent b="0" l="0" r="0" t="0"/>
                  <wp:docPr descr="" title="" id="38" name="Picture"/>
                  <a:graphic>
                    <a:graphicData uri="http://schemas.openxmlformats.org/drawingml/2006/picture">
                      <pic:pic>
                        <pic:nvPicPr>
                          <pic:cNvPr descr="figs/calsens.png" id="39" name="Picture"/>
                          <pic:cNvPicPr>
                            <a:picLocks noChangeArrowheads="1" noChangeAspect="1"/>
                          </pic:cNvPicPr>
                        </pic:nvPicPr>
                        <pic:blipFill>
                          <a:blip r:embed="rId37"/>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3: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scrdevmods"/>
          <w:p>
            <w:pPr>
              <w:pStyle w:val="Compact"/>
              <w:jc w:val="center"/>
            </w:pPr>
            <w:r>
              <w:drawing>
                <wp:inline>
                  <wp:extent cx="5943600" cy="3512127"/>
                  <wp:effectExtent b="0" l="0" r="0" t="0"/>
                  <wp:docPr descr="" title="" id="42" name="Picture"/>
                  <a:graphic>
                    <a:graphicData uri="http://schemas.openxmlformats.org/drawingml/2006/picture">
                      <pic:pic>
                        <pic:nvPicPr>
                          <pic:cNvPr descr="figs/scrdevmods.png" id="43" name="Picture"/>
                          <pic:cNvPicPr>
                            <a:picLocks noChangeArrowheads="1" noChangeAspect="1"/>
                          </pic:cNvPicPr>
                        </pic:nvPicPr>
                        <pic:blipFill>
                          <a:blip r:embed="rId41"/>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4: Results of mixed-effects models comparing group scores (top row) and absolute deviations (bottom row) over time.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bottom right plot (Short Shoot Density) is a singular fit with both species and group random-intercept variances estimated as zero, so only the fixed-effect trend is shown. None of the relationships are significant (ns: not significant).</w:t>
            </w:r>
          </w:p>
          <w:bookmarkEnd w:id="44"/>
        </w:tc>
      </w:tr>
    </w:tbl>
    <w:p>
      <w:r>
        <w:br w:type="page"/>
      </w:r>
    </w:p>
    <w:bookmarkEnd w:id="45"/>
    <w:bookmarkStart w:id="4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6" w:name="tbl-scrmodstab"/>
          <w:p>
            <w:pPr>
              <w:jc w:val="center"/>
            </w:pPr>
            <w:pPr>
              <w:jc w:val="left"/>
              <w:spacing w:before="200"/>
              <w:pStyle w:val="ImageCaption"/>
            </w:pPr>
            <w:r>
              <w:t xml:space="preserve">Table 1: Model summaries of metric score trends over time (year) by metric, with group as a random intercept. Group SD is the between group standard deviation. R² is shown for the marginal (fixed effects only) and conditional (fixed and random) effects.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(-2.6,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(-0.2,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272.8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(-1.9,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 Groups = 6 for all models.</w:t>
                  </w:r>
                </w:p>
              </w:tc>
            </w:tr>
          </w:tbl>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tbl-spmodstab"/>
          <w:p>
            <w:pPr>
              <w:jc w:val="center"/>
            </w:pPr>
            <w:pPr>
              <w:jc w:val="left"/>
              <w:spacing w:before="200"/>
              <w:pStyle w:val="ImageCaption"/>
            </w:pPr>
            <w:r>
              <w:t xml:space="preserve">Table 2: Model summaries of absolute deviation trends over time (year) by metric, with species and group as crossed random intercepts.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 (-0.036, 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-0.212 (-0.537, 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702.3</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 (-0.023,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141.4</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8, Species = 3 for all models. </w:t>
                  </w:r>
                </w:p>
              </w:tc>
            </w:tr>
          </w:tbl>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tbl-slopetab"/>
          <w:p>
            <w:pPr>
              <w:jc w:val="center"/>
            </w:pPr>
            <w:pPr>
              <w:jc w:val="left"/>
              <w:spacing w:before="200"/>
              <w:pStyle w:val="ImageCaption"/>
            </w:pPr>
            <w:r>
              <w:t xml:space="preserve">Table 3: Slopes of change over time (year) for raw absolute deviations of metrics, by species and training group (identities anonymized as A-F).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bl>
          <w:bookmarkEnd w:id="48"/>
        </w:tc>
      </w:tr>
    </w:tbl>
    <w:p>
      <w:r>
        <w:br w:type="page"/>
      </w:r>
    </w:p>
    <w:bookmarkEnd w:id="49"/>
    <w:bookmarkStart w:id="51"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0">
        <w:r>
          <w:rPr>
            <w:rStyle w:val="Hyperlink"/>
          </w:rPr>
          <w:t xml:space="preserve">https://github.com/tbep-tech/seagrasstraining-manu</w:t>
        </w:r>
      </w:hyperlink>
      <w:r>
        <w:t xml:space="preserve">.</w:t>
      </w:r>
    </w:p>
    <w:bookmarkEnd w:id="51"/>
    <w:bookmarkStart w:id="52" w:name="acknowledgments"/>
    <w:p>
      <w:pPr>
        <w:pStyle w:val="Heading2"/>
      </w:pPr>
      <w:r>
        <w:t xml:space="preserve">Acknowledgments</w:t>
      </w:r>
    </w:p>
    <w:bookmarkEnd w:id="52"/>
    <w:bookmarkStart w:id="53" w:name="references"/>
    <w:p>
      <w:pPr>
        <w:pStyle w:val="Heading2"/>
      </w:pPr>
      <w:r>
        <w:t xml:space="preserve">References</w:t>
      </w:r>
    </w:p>
    <w:bookmarkEnd w:id="5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hyperlink" Id="rId50"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0"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2026-10-19T18:07:47Z</dcterms:created>
  <dcterms:modified xsi:type="dcterms:W3CDTF">2026-10-19T18:07:47Z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