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8.png" ContentType="image/png"/>
  <Override PartName="/word/media/rId44.png" ContentType="image/png"/>
  <Override PartName="/word/media/rId5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41" w:name="methods"/>
    <w:p>
      <w:pPr>
        <w:pStyle w:val="Heading2"/>
      </w:pPr>
      <w:r>
        <w:t xml:space="preserve">2 Methods</w:t>
      </w:r>
    </w:p>
    <w:p>
      <w:pPr>
        <w:pStyle w:val="FirstParagraph"/>
      </w:pPr>
      <w:r>
        <w:t xml:space="preserve">Prior to the transect monitoring that occurs each year in Tampa Bay, a one-day training event is conducted mid-June to further develop skillsets of field technicians and to assess comparability among the groups. This training has been at the same location in Tampa Bay (in Lower Tampa Bay near the mouth, 27.649 N, 82.678 W) and has had consistent data reporting since 2020. Additionally, most of the partners that participate in the interagency seagrass monitoring program have consistently attended each year, although it is noted that individuals from each entity have changed over time.</w:t>
      </w:r>
    </w:p>
    <w:p>
      <w:pPr>
        <w:pStyle w:val="BodyText"/>
      </w:pPr>
      <w:r>
        <w:t xml:space="preserve">The training each year typically includes six locations chosen by the TBEP staff to represent a range of conditions (e.g., multi-species with dense cover, solitary species with low cover, etc.). Each location is marked with a floating buoy attached to a 1 m</w:t>
      </w:r>
      <m:oMath>
        <m:sSup>
          <m:e>
            <m:r>
              <m:t>​</m:t>
            </m:r>
          </m:e>
          <m:sup>
            <m:r>
              <m:t>2</m:t>
            </m:r>
          </m:sup>
        </m:sSup>
      </m:oMath>
      <w:r>
        <w:t xml:space="preserve"> </w:t>
      </w:r>
      <w:r>
        <w:t xml:space="preserve">quadrat staked to the bottom. Each group visits each location that is considered an independent unit for assessment. For all locations, seagrass and macroalgal species are recorded using the Braun-Blanquet abundance scale</w:t>
      </w:r>
      <w:r>
        <w:t xml:space="preserve"> </w:t>
      </w:r>
      <w:r>
        <w:t xml:space="preserve">(0 = no cover, 0.1 = solitary, 0.5 = few shoots, 1 = 1–5% cover, 2 = 6–25% cover, 3 = 26–50% cover, 4 = 51–75% cover, 5 = 76–100% cover, Braun-Blanquet, 1965)</w:t>
      </w:r>
      <w:r>
        <w:t xml:space="preserve">. At three of the locations, blade lengths (cm) and short shoot densities (shoots m</w:t>
      </w:r>
      <m:oMath>
        <m:sSup>
          <m:e>
            <m:r>
              <m:t>​</m:t>
            </m:r>
          </m:e>
          <m:sup>
            <m:r>
              <m:rPr>
                <m:sty m:val="p"/>
              </m:rPr>
              <m:t>−</m:t>
            </m:r>
            <m:r>
              <m:t>2</m:t>
            </m:r>
          </m:sup>
        </m:sSup>
      </m:oMath>
      <w:r>
        <w:t xml:space="preserve">) are also estimated for each seagrass species using three separate smaller quadrats (25 cm</w:t>
      </w:r>
      <m:oMath>
        <m:sSup>
          <m:e>
            <m:r>
              <m:t>​</m:t>
            </m:r>
          </m:e>
          <m:sup>
            <m:r>
              <m:t>2</m:t>
            </m:r>
          </m:sup>
        </m:sSup>
      </m:oMath>
      <w:r>
        <w:t xml:space="preserve">) placed in or near the larger quadrat. Throughout this paper, the training locations are referred to as transects, although the transects in the actual monitoring after training are true transects often extending hundreds of meters from the shoreline into the bay.</w:t>
      </w:r>
    </w:p>
    <w:bookmarkStart w:id="38"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The method also allows an assessment of scores over time to determine if groups are becoming more or less consistent with additional training.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metric/location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 All steps were developed using custom R functions</w:t>
      </w:r>
      <w:r>
        <w:t xml:space="preserve"> </w:t>
      </w:r>
      <w:r>
        <w:t xml:space="preserve">(R Core Team, 2025)</w:t>
      </w:r>
      <w:r>
        <w:t xml:space="preserve">, relying heavily on the tidyverse suite of packages</w:t>
      </w:r>
      <w:r>
        <w:t xml:space="preserve"> </w:t>
      </w:r>
      <w:r>
        <w:t xml:space="preserve">(Wickham et al., 2019)</w:t>
      </w:r>
      <w:r>
        <w:t xml:space="preserve">.</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33" w:name="X7ce9c454f7035f655e57d0e3165bed3be428e97"/>
    <w:p>
      <w:pPr>
        <w:pStyle w:val="Heading4"/>
      </w:pPr>
      <w:r>
        <w:t xml:space="preserve">2.1.3 Steps 3-6: Group Differences and Species/Metric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w:bookmarkStart w:id="28" w:name="eq-dst1"/>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r>
            <m:t>  </m:t>
          </m:r>
          <m:d>
            <m:dPr>
              <m:begChr m:val="("/>
              <m:sepChr m:val=""/>
              <m:endChr m:val=")"/>
              <m:grow/>
            </m:dPr>
            <m:e>
              <m:r>
                <m:t>1</m:t>
              </m:r>
            </m:e>
          </m:d>
        </m:oMath>
      </m:oMathPara>
      <w:bookmarkEnd w:id="28"/>
    </w:p>
    <w:p>
      <w:pPr>
        <w:pStyle w:val="FirstParagraph"/>
      </w:pPr>
      <w:r>
        <w:t xml:space="preserve">For short shoot density, the difference is a symmetric percent difference:</w:t>
      </w:r>
    </w:p>
    <w:p>
      <w:pPr>
        <w:pStyle w:val="BodyText"/>
      </w:pPr>
      <w:bookmarkStart w:id="29" w:name="eq-dst2"/>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r>
            <m:t>  </m:t>
          </m:r>
          <m:d>
            <m:dPr>
              <m:begChr m:val="("/>
              <m:sepChr m:val=""/>
              <m:endChr m:val=")"/>
              <m:grow/>
            </m:dPr>
            <m:e>
              <m:r>
                <m:t>2</m:t>
              </m:r>
            </m:e>
          </m:d>
        </m:oMath>
      </m:oMathPara>
      <w:bookmarkEnd w:id="29"/>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 Initial analyses also verified that blade length was not susceptible to this bias and</w:t>
      </w:r>
      <w:r>
        <w:t xml:space="preserve"> </w:t>
      </w:r>
      <w:hyperlink w:anchor="eq-dst1">
        <w:r>
          <w:rPr>
            <w:rStyle w:val="Hyperlink"/>
          </w:rPr>
          <w:t xml:space="preserve">Equation 1</w:t>
        </w:r>
      </w:hyperlink>
      <w:r>
        <w:t xml:space="preserve"> </w:t>
      </w:r>
      <w:r>
        <w:t xml:space="preserve">was used for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estimates for each species and transect using the consensus species list at that location. If a group missed a species, it is assigned a zero, whereas a false positive is given a value of 1. As such, a missed species is penalized proportionally based on the true ordinal position that scales with group consensus. However, a false positive is only penalized by one ordinal category position since what category a group reports does not provide any information about whether the species was actually present. False positives or missed species only influenced the abundance metric and not blade length or short shoot density calculations since these metrics cannot be meaningfully penalized in the same manner as abundance.</w:t>
      </w:r>
    </w:p>
    <w:p>
      <w:pPr>
        <w:pStyle w:val="BodyText"/>
      </w:pPr>
      <w:r>
        <w:t xml:space="preserve">After the species- and transect-level differences are determined, the differences for each metric are then summarized for each species across the transects. This summary used a weighted average where each species is assigned a weight based on the standard deviation of group estimates across the transects for each species. The intent of using the weights was to discount or penalize differences for each group by considering how similar or different the groups were in their assessments. Groups should not be penalized as heavily for large differences if all groups had variable estimates. Similarly, groups should be penalized more for large differences if all groups had more similar estimates. The species weights at each transect were determined as:</w:t>
      </w:r>
    </w:p>
    <w:p>
      <w:pPr>
        <w:pStyle w:val="BodyText"/>
      </w:pPr>
      <w:bookmarkStart w:id="30" w:name="eq-weight"/>
      <m:oMathPara>
        <m:oMathParaPr>
          <m:jc m:val="center"/>
        </m:oMathParaPr>
        <m:oMath>
          <m:sSub>
            <m:e>
              <m:r>
                <m:t>w</m:t>
              </m:r>
            </m:e>
            <m:sub>
              <m:r>
                <m:t>s</m:t>
              </m:r>
              <m:r>
                <m:rPr>
                  <m:sty m:val="p"/>
                </m:rPr>
                <m:t>,</m:t>
              </m:r>
              <m:r>
                <m:t>t</m:t>
              </m:r>
            </m:sub>
          </m:sSub>
          <m:r>
            <m:rPr>
              <m:sty m:val="p"/>
            </m:rPr>
            <m:t>=</m:t>
          </m:r>
          <m:f>
            <m:fPr>
              <m:type m:val="bar"/>
            </m:fPr>
            <m:num>
              <m:r>
                <m:t>1</m:t>
              </m:r>
            </m:num>
            <m:den>
              <m:r>
                <m:t>1</m:t>
              </m:r>
              <m:r>
                <m:rPr>
                  <m:sty m:val="p"/>
                </m:rPr>
                <m:t>+</m:t>
              </m:r>
              <m:sSub>
                <m:e>
                  <m:r>
                    <m:t>σ</m:t>
                  </m:r>
                </m:e>
                <m:sub>
                  <m:r>
                    <m:t>s</m:t>
                  </m:r>
                  <m:r>
                    <m:rPr>
                      <m:sty m:val="p"/>
                    </m:rPr>
                    <m:t>,</m:t>
                  </m:r>
                  <m:r>
                    <m:t>t</m:t>
                  </m:r>
                </m:sub>
              </m:sSub>
            </m:den>
          </m:f>
          <m:r>
            <m:t>  </m:t>
          </m:r>
          <m:d>
            <m:dPr>
              <m:begChr m:val="("/>
              <m:sepChr m:val=""/>
              <m:endChr m:val=")"/>
              <m:grow/>
            </m:dPr>
            <m:e>
              <m:r>
                <m:t>3</m:t>
              </m:r>
            </m:e>
          </m:d>
        </m:oMath>
      </m:oMathPara>
      <w:bookmarkEnd w:id="30"/>
    </w:p>
    <w:p>
      <w:pPr>
        <w:pStyle w:val="FirstParagraph"/>
      </w:pPr>
      <w:bookmarkStart w:id="31" w:name="eq-weightsd"/>
      <m:oMathPara>
        <m:oMathParaPr>
          <m:jc m:val="center"/>
        </m:oMathParaPr>
        <m:oMath>
          <m:sSub>
            <m:e>
              <m:r>
                <m:t>σ</m:t>
              </m:r>
            </m:e>
            <m:sub>
              <m:r>
                <m:t>s</m:t>
              </m:r>
              <m:r>
                <m:rPr>
                  <m:sty m:val="p"/>
                </m:rPr>
                <m:t>,</m:t>
              </m:r>
              <m:r>
                <m:t>t</m:t>
              </m:r>
            </m:sub>
          </m:sSub>
          <m:r>
            <m:rPr>
              <m:sty m:val="p"/>
            </m:rPr>
            <m:t>=</m:t>
          </m:r>
          <m:r>
            <m:rPr>
              <m:nor/>
              <m:sty m:val="p"/>
            </m:rPr>
            <m:t>SD</m:t>
          </m:r>
          <m:d>
            <m:dPr>
              <m:begChr m:val="("/>
              <m:sepChr m:val=""/>
              <m:endChr m:val=")"/>
              <m:grow/>
            </m:dPr>
            <m:e>
              <m:sSub>
                <m:e>
                  <m:r>
                    <m:t>x</m:t>
                  </m:r>
                </m:e>
                <m:sub>
                  <m:r>
                    <m:t>s</m:t>
                  </m:r>
                  <m:r>
                    <m:rPr>
                      <m:sty m:val="p"/>
                    </m:rPr>
                    <m:t>,</m:t>
                  </m:r>
                  <m:r>
                    <m:t>t</m:t>
                  </m:r>
                </m:sub>
              </m:sSub>
            </m:e>
          </m:d>
          <m:r>
            <m:t>  </m:t>
          </m:r>
          <m:d>
            <m:dPr>
              <m:begChr m:val="("/>
              <m:sepChr m:val=""/>
              <m:endChr m:val=")"/>
              <m:grow/>
            </m:dPr>
            <m:e>
              <m:r>
                <m:t>4</m:t>
              </m:r>
            </m:e>
          </m:d>
        </m:oMath>
      </m:oMathPara>
      <w:bookmarkEnd w:id="31"/>
    </w:p>
    <w:p>
      <w:pPr>
        <w:pStyle w:val="FirstParagraph"/>
      </w:pPr>
      <w:r>
        <w:t xml:space="preserve">where the weight</w:t>
      </w:r>
      <w:r>
        <w:t xml:space="preserve"> </w:t>
      </w:r>
      <m:oMath>
        <m:r>
          <m:t>w</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simply the standard deviation</w:t>
      </w:r>
      <w:r>
        <w:t xml:space="preserve"> </w:t>
      </w:r>
      <m:oMath>
        <m:r>
          <m:rPr>
            <m:nor/>
            <m:sty m:val="p"/>
          </m:rPr>
          <m:t>SD</m:t>
        </m:r>
      </m:oMath>
      <w:r>
        <w:t xml:space="preserve"> </w:t>
      </w:r>
      <w:r>
        <w:t xml:space="preserve">of estimates across all groups for that sepcies at that transect (</w:t>
      </w:r>
      <m:oMath>
        <m:sSub>
          <m:e>
            <m:r>
              <m:t>x</m:t>
            </m:r>
          </m:e>
          <m:sub>
            <m:r>
              <m:t>s</m:t>
            </m:r>
            <m:r>
              <m:rPr>
                <m:sty m:val="p"/>
              </m:rPr>
              <m:t>,</m:t>
            </m:r>
            <m:r>
              <m:t>t</m:t>
            </m:r>
          </m:sub>
        </m:sSub>
      </m:oMath>
      <w:r>
        <w:t xml:space="preserve">). The weighted average for the species and metric that combines the differences across transects is then:</w:t>
      </w:r>
    </w:p>
    <w:p>
      <w:pPr>
        <w:pStyle w:val="BodyText"/>
      </w:pPr>
      <w:bookmarkStart w:id="32" w:name="eq-weightave"/>
      <m:oMathPara>
        <m:oMathParaPr>
          <m:jc m:val="center"/>
        </m:oMathParaPr>
        <m:oMath>
          <m:sSub>
            <m:e>
              <m:acc>
                <m:accPr>
                  <m:chr m:val="‾"/>
                </m:accPr>
                <m:e>
                  <m:r>
                    <m:t>d</m:t>
                  </m:r>
                </m:e>
              </m:acc>
            </m:e>
            <m:sub>
              <m:r>
                <m:t>s</m:t>
              </m:r>
            </m:sub>
          </m:sSub>
          <m:r>
            <m:rPr>
              <m:sty m:val="p"/>
            </m:rPr>
            <m:t>=</m:t>
          </m:r>
          <m:f>
            <m:fPr>
              <m:type m:val="bar"/>
            </m:fPr>
            <m:num>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r>
                <m:t> </m:t>
              </m:r>
              <m:sSub>
                <m:e>
                  <m:r>
                    <m:t>d</m:t>
                  </m:r>
                </m:e>
                <m:sub>
                  <m:r>
                    <m:t>s</m:t>
                  </m:r>
                  <m:r>
                    <m:rPr>
                      <m:sty m:val="p"/>
                    </m:rPr>
                    <m:t>,</m:t>
                  </m:r>
                  <m:r>
                    <m:t>t</m:t>
                  </m:r>
                </m:sub>
              </m:sSub>
            </m:num>
            <m:den>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den>
          </m:f>
          <m:r>
            <m:t>  </m:t>
          </m:r>
          <m:d>
            <m:dPr>
              <m:begChr m:val="("/>
              <m:sepChr m:val=""/>
              <m:endChr m:val=")"/>
              <m:grow/>
            </m:dPr>
            <m:e>
              <m:r>
                <m:t>5</m:t>
              </m:r>
            </m:e>
          </m:d>
        </m:oMath>
      </m:oMathPara>
      <w:bookmarkEnd w:id="32"/>
    </w:p>
    <w:p>
      <w:pPr>
        <w:pStyle w:val="FirstParagraph"/>
      </w:pPr>
      <w:r>
        <w:t xml:space="preserve">where a group’s mean difference for a species</w:t>
      </w:r>
      <w:r>
        <w:t xml:space="preserve"> </w:t>
      </w:r>
      <m:oMath>
        <m:r>
          <m:t>s</m:t>
        </m:r>
      </m:oMath>
      <w:r>
        <w:t xml:space="preserve"> </w:t>
      </w:r>
      <w:r>
        <w:t xml:space="preserve">across transects</w:t>
      </w:r>
      <w:r>
        <w:t xml:space="preserve"> </w:t>
      </w:r>
      <m:oMath>
        <m:r>
          <m:t>t</m:t>
        </m:r>
        <m:r>
          <m:rPr>
            <m:sty m:val="p"/>
          </m:rPr>
          <m:t>=</m:t>
        </m:r>
        <m:r>
          <m:t>1</m:t>
        </m:r>
      </m:oMath>
      <w:r>
        <w:t xml:space="preserve"> </w:t>
      </w:r>
      <w:r>
        <w:t xml:space="preserve">to</w:t>
      </w:r>
      <w:r>
        <w:t xml:space="preserve"> </w:t>
      </w:r>
      <m:oMath>
        <m:r>
          <m:t>T</m:t>
        </m:r>
      </m:oMath>
      <w:r>
        <w:t xml:space="preserve"> </w:t>
      </w:r>
      <w:r>
        <w:t xml:space="preserve">is the summation of the weights</w:t>
      </w:r>
      <w:r>
        <w:t xml:space="preserve"> </w:t>
      </w:r>
      <m:oMath>
        <m:sSub>
          <m:e>
            <m:r>
              <m:t>w</m:t>
            </m:r>
          </m:e>
          <m:sub>
            <m:r>
              <m:t>s</m:t>
            </m:r>
            <m:r>
              <m:rPr>
                <m:sty m:val="p"/>
              </m:rPr>
              <m:t>,</m:t>
            </m:r>
            <m:r>
              <m:t>t</m:t>
            </m:r>
          </m:sub>
        </m:sSub>
      </m:oMath>
      <w:r>
        <w:t xml:space="preserve"> </w:t>
      </w:r>
      <w:r>
        <w:t xml:space="preserve">multiplied by the differences</w:t>
      </w:r>
      <w:r>
        <w:t xml:space="preserve"> </w:t>
      </w:r>
      <m:oMath>
        <m:sSub>
          <m:e>
            <m:r>
              <m:t>d</m:t>
            </m:r>
          </m:e>
          <m:sub>
            <m:r>
              <m:t>s</m:t>
            </m:r>
            <m:r>
              <m:rPr>
                <m:sty m:val="p"/>
              </m:rPr>
              <m:t>,</m:t>
            </m:r>
            <m:r>
              <m:t>t</m:t>
            </m:r>
          </m:sub>
        </m:sSub>
      </m:oMath>
      <w:r>
        <w:t xml:space="preserve">, then divided by the summation of the weights. This equation applies to each metric and species.</w:t>
      </w:r>
    </w:p>
    <w:bookmarkEnd w:id="33"/>
    <w:bookmarkStart w:id="35" w:name="step-7-metric-scores"/>
    <w:p>
      <w:pPr>
        <w:pStyle w:val="Heading4"/>
      </w:pPr>
      <w:r>
        <w:t xml:space="preserve">2.1.4 Step 7: Metric Scores</w:t>
      </w:r>
    </w:p>
    <w:p>
      <w:pPr>
        <w:pStyle w:val="FirstParagraph"/>
      </w:pPr>
      <w:r>
        <w:t xml:space="preserve">The next step is averaging the absolute differences across species to get the raw metric score:</w:t>
      </w:r>
    </w:p>
    <w:p>
      <w:pPr>
        <w:pStyle w:val="BodyText"/>
      </w:pPr>
      <w:bookmarkStart w:id="34" w:name="eq-metscr"/>
      <m:oMathPara>
        <m:oMathParaPr>
          <m:jc m:val="center"/>
        </m:oMathParaPr>
        <m:oMath>
          <m:sSub>
            <m:e>
              <m:r>
                <m:rPr>
                  <m:nor/>
                  <m:sty m:val="p"/>
                </m:rPr>
                <m:t>metric score</m:t>
              </m:r>
            </m:e>
            <m:sub>
              <m:r>
                <m:rPr>
                  <m:nor/>
                  <m:sty m:val="p"/>
                </m:rPr>
                <m:t>raw</m:t>
              </m:r>
            </m:sub>
          </m:sSub>
          <m:r>
            <m:rPr>
              <m:sty m:val="p"/>
            </m:rPr>
            <m:t>=</m:t>
          </m:r>
          <m:f>
            <m:fPr>
              <m:type m:val="bar"/>
            </m:fPr>
            <m:num>
              <m:r>
                <m:t>1</m:t>
              </m:r>
            </m:num>
            <m:den>
              <m:r>
                <m:t>S</m:t>
              </m:r>
            </m:den>
          </m:f>
          <m:nary>
            <m:naryPr>
              <m:chr m:val="∑"/>
              <m:limLoc m:val="undOvr"/>
              <m:subHide m:val="off"/>
              <m:supHide m:val="on"/>
            </m:naryPr>
            <m:sub>
              <m:r>
                <m:t>s</m:t>
              </m:r>
            </m:sub>
            <m:sup>
              <m:r>
                <m:t>​</m:t>
              </m:r>
            </m:sup>
            <m:e>
              <m:d>
                <m:dPr>
                  <m:begChr m:val="|"/>
                  <m:sepChr m:val=""/>
                  <m:endChr m:val="|"/>
                  <m:grow/>
                </m:dPr>
                <m:e>
                  <m:sSub>
                    <m:e>
                      <m:acc>
                        <m:accPr>
                          <m:chr m:val="‾"/>
                        </m:accPr>
                        <m:e>
                          <m:r>
                            <m:t>d</m:t>
                          </m:r>
                        </m:e>
                      </m:acc>
                    </m:e>
                    <m:sub>
                      <m:r>
                        <m:t>s</m:t>
                      </m:r>
                    </m:sub>
                  </m:sSub>
                </m:e>
              </m:d>
            </m:e>
          </m:nary>
          <m:r>
            <m:t>  </m:t>
          </m:r>
          <m:d>
            <m:dPr>
              <m:begChr m:val="("/>
              <m:sepChr m:val=""/>
              <m:endChr m:val=")"/>
              <m:grow/>
            </m:dPr>
            <m:e>
              <m:r>
                <m:t>6</m:t>
              </m:r>
            </m:e>
          </m:d>
        </m:oMath>
      </m:oMathPara>
      <w:bookmarkEnd w:id="34"/>
    </w:p>
    <w:p>
      <w:pPr>
        <w:pStyle w:val="FirstParagraph"/>
      </w:pPr>
      <w:r>
        <w:t xml:space="preserve">where</w:t>
      </w:r>
      <w:r>
        <w:t xml:space="preserve"> </w:t>
      </w:r>
      <m:oMath>
        <m:r>
          <m:t>S</m:t>
        </m:r>
      </m:oMath>
      <w:r>
        <w:t xml:space="preserve"> </w:t>
      </w:r>
      <w:r>
        <w:t xml:space="preserve">is the number of species each with</w:t>
      </w:r>
      <w:r>
        <w:t xml:space="preserve"> </w:t>
      </w:r>
      <m:oMath>
        <m:sSub>
          <m:e>
            <m:acc>
              <m:accPr>
                <m:chr m:val="‾"/>
              </m:accPr>
              <m:e>
                <m:r>
                  <m:t>d</m:t>
                </m:r>
              </m:e>
            </m:acc>
          </m:e>
          <m:sub>
            <m:r>
              <m:t>s</m:t>
            </m:r>
          </m:sub>
        </m:sSub>
      </m:oMath>
      <w:r>
        <w:t xml:space="preserve">. No further weighting is used since species weights are already included in</w:t>
      </w:r>
      <w:r>
        <w:t xml:space="preserve"> </w:t>
      </w:r>
      <m:oMath>
        <m:sSub>
          <m:e>
            <m:acc>
              <m:accPr>
                <m:chr m:val="‾"/>
              </m:accPr>
              <m:e>
                <m:r>
                  <m:t>d</m:t>
                </m:r>
              </m:e>
            </m:acc>
          </m:e>
          <m:sub>
            <m:r>
              <m:t>s</m:t>
            </m:r>
          </m:sub>
        </m:sSub>
      </m:oMath>
      <w:r>
        <w:t xml:space="preserve">. By the end of the process, there are three raw metric scores estimated for each group for abundance, blade length, and short shoot density.</w:t>
      </w:r>
    </w:p>
    <w:bookmarkEnd w:id="35"/>
    <w:bookmarkStart w:id="37" w:name="steps-8-10-final-scores"/>
    <w:p>
      <w:pPr>
        <w:pStyle w:val="Heading4"/>
      </w:pPr>
      <w:r>
        <w:t xml:space="preserve">2.1.5 Steps 8-10: Final scores</w:t>
      </w:r>
    </w:p>
    <w:p>
      <w:pPr>
        <w:pStyle w:val="FirstParagraph"/>
      </w:pPr>
      <w:r>
        <w:t xml:space="preserve">The last steps convert the raw metric scores to a conventional numeric grading scale and letter grades. At the simplest level, the distribution of the raw metric scores across the groups for a given metric score and year is rescaled from 50 to 100, with the group having the largest difference receiving 50 and the group having the smallest difference receiving 100. However, this simple rescaling does not account for variation in the scores among the groups across years. Using the same scale each year may overly penalize years when groups were more similar. To account for this, the minimum floor of the rescaling can be raised in years when groups were more similar, so that all groups receive an overall higher score. The floor for a metric in a given year is calculated as:</w:t>
      </w:r>
    </w:p>
    <w:p>
      <w:pPr>
        <w:pStyle w:val="BodyText"/>
      </w:pPr>
      <w:bookmarkStart w:id="36" w:name="eq-flr"/>
      <m:oMathPara>
        <m:oMathParaPr>
          <m:jc m:val="center"/>
        </m:oMathParaPr>
        <m:oMath>
          <m:sSub>
            <m:e>
              <m:r>
                <m:rPr>
                  <m:nor/>
                  <m:sty m:val="p"/>
                </m:rPr>
                <m:t>floor</m:t>
              </m:r>
            </m:e>
            <m:sub>
              <m:r>
                <m:rPr>
                  <m:nor/>
                  <m:sty m:val="p"/>
                </m:rPr>
                <m:t>yr, met</m:t>
              </m:r>
            </m:sub>
          </m:sSub>
          <m:r>
            <m:rPr>
              <m:sty m:val="p"/>
            </m:rPr>
            <m:t>=</m:t>
          </m:r>
          <m:r>
            <m:rPr>
              <m:sty m:val="p"/>
            </m:rPr>
            <m:t>max</m:t>
          </m:r>
          <m:r>
            <m:t>​</m:t>
          </m:r>
          <m:d>
            <m:dPr>
              <m:begChr m:val="("/>
              <m:sepChr m:val=""/>
              <m:endChr m:val=")"/>
              <m:grow/>
            </m:dPr>
            <m:e>
              <m:r>
                <m:t>50</m:t>
              </m:r>
              <m:r>
                <m:rPr>
                  <m:sty m:val="p"/>
                </m:rPr>
                <m:t>,</m:t>
              </m:r>
              <m:r>
                <m:t> </m:t>
              </m:r>
              <m:r>
                <m:t>50</m:t>
              </m:r>
              <m:r>
                <m:rPr>
                  <m:sty m:val="p"/>
                </m:rPr>
                <m:t>+</m:t>
              </m:r>
              <m:d>
                <m:dPr>
                  <m:begChr m:val="("/>
                  <m:sepChr m:val=""/>
                  <m:endChr m:val=")"/>
                  <m:grow/>
                </m:dPr>
                <m:e>
                  <m:r>
                    <m:t>1</m:t>
                  </m:r>
                  <m:r>
                    <m:rPr>
                      <m:sty m:val="p"/>
                    </m:rPr>
                    <m:t>−</m:t>
                  </m:r>
                  <m:f>
                    <m:fPr>
                      <m:type m:val="bar"/>
                    </m:fPr>
                    <m:num>
                      <m:sSub>
                        <m:e>
                          <m:r>
                            <m:rPr>
                              <m:nor/>
                              <m:sty m:val="p"/>
                            </m:rPr>
                            <m:t>SD</m:t>
                          </m:r>
                        </m:e>
                        <m:sub>
                          <m:r>
                            <m:rPr>
                              <m:nor/>
                              <m:sty m:val="p"/>
                            </m:rPr>
                            <m:t>yr, met</m:t>
                          </m:r>
                        </m:sub>
                      </m:sSub>
                    </m:num>
                    <m:den>
                      <m:bar>
                        <m:barPr>
                          <m:pos m:val="top"/>
                        </m:barPr>
                        <m:e>
                          <m:sSub>
                            <m:e>
                              <m:r>
                                <m:rPr>
                                  <m:nor/>
                                  <m:sty m:val="p"/>
                                </m:rPr>
                                <m:t>SD</m:t>
                              </m:r>
                            </m:e>
                            <m:sub>
                              <m:r>
                                <m:rPr>
                                  <m:nor/>
                                  <m:sty m:val="p"/>
                                </m:rPr>
                                <m:t>met</m:t>
                              </m:r>
                            </m:sub>
                          </m:sSub>
                        </m:e>
                      </m:bar>
                    </m:den>
                  </m:f>
                </m:e>
              </m:d>
              <m:r>
                <m:rPr>
                  <m:sty m:val="p"/>
                </m:rPr>
                <m:t>×</m:t>
              </m:r>
              <m:r>
                <m:t>50</m:t>
              </m:r>
            </m:e>
          </m:d>
          <m:r>
            <m:t>  </m:t>
          </m:r>
          <m:d>
            <m:dPr>
              <m:begChr m:val="("/>
              <m:sepChr m:val=""/>
              <m:endChr m:val=")"/>
              <m:grow/>
            </m:dPr>
            <m:e>
              <m:r>
                <m:t>7</m:t>
              </m:r>
            </m:e>
          </m:d>
        </m:oMath>
      </m:oMathPara>
      <w:bookmarkEnd w:id="36"/>
    </w:p>
    <w:p>
      <w:pPr>
        <w:pStyle w:val="FirstParagraph"/>
      </w:pPr>
      <w:r>
        <w:t xml:space="preserve">where the floor is the maximum between 50 or a recalculated floor based on variation among groups for the metric scores in the focal year relative to baseline variation. The baseline variation was an estimation of</w:t>
      </w:r>
      <w:r>
        <w:t xml:space="preserve"> </w:t>
      </w:r>
      <w:r>
        <w:t xml:space="preserve">“typical”</w:t>
      </w:r>
      <w:r>
        <w:t xml:space="preserve"> </w:t>
      </w:r>
      <w:r>
        <w:t xml:space="preserve">score variation calculated as the mean of the standard deviation of raw scores across groups for the first five years of the training occurred (</w:t>
      </w:r>
      <m:oMath>
        <m:acc>
          <m:accPr>
            <m:chr m:val="‾"/>
          </m:accPr>
          <m:e>
            <m:r>
              <m:rPr>
                <m:nor/>
                <m:sty m:val="p"/>
              </m:rPr>
              <m:t>SD_</m:t>
            </m:r>
            <m:r>
              <m:rPr>
                <m:nor/>
                <m:sty m:val="p"/>
              </m:rPr>
              <m:t>met</m:t>
            </m:r>
          </m:e>
        </m:acc>
      </m:oMath>
      <w:r>
        <w:t xml:space="preserve">). The number of years for the baseline period was subjective, although we demonstrate below how this choice influenced the floor behavior. The standard deviation of metric scores across groups for a focal year (</w:t>
      </w:r>
      <m:oMath>
        <m:r>
          <m:rPr>
            <m:nor/>
            <m:sty m:val="p"/>
          </m:rPr>
          <m:t>SD_</m:t>
        </m:r>
        <m:r>
          <m:rPr>
            <m:nor/>
            <m:sty m:val="p"/>
          </m:rPr>
          <m:t>yr, met</m:t>
        </m:r>
      </m:oMath>
      <w:r>
        <w:t xml:space="preserve">) was compared to the baseline variation as one minus the ratio of the two, multiplied by 50, then added to 50. For example, if all groups had the exact same scores in a given year, the floor would be 100. However, if the standard deviation of raw metric scores across groups in a focal year was greater than the baseline variation, the floor remained at 50, so that no extra penalty was applied. In other words, the floor is only raised if within-year variation is less than the baseline.</w:t>
      </w:r>
    </w:p>
    <w:p>
      <w:pPr>
        <w:pStyle w:val="BodyText"/>
      </w:pPr>
      <w:r>
        <w:t xml:space="preserve">The three raw metric are assigned to a numeric score based on the ranges defined between the floor to 100 and then averaged to get a single total score for a group. For communication to training participants, the numeric scores were converted to letter grades following a typical grading scheme, i.e., A = 100 – 95, A- = &lt;95 – 90, B+ = &lt;90 – 85,</w:t>
      </w:r>
      <w:r>
        <w:t xml:space="preserve"> </w:t>
      </w:r>
      <m:oMath>
        <m:r>
          <m:rPr>
            <m:sty m:val="p"/>
          </m:rPr>
          <m:t>…</m:t>
        </m:r>
      </m:oMath>
      <w:r>
        <w:t xml:space="preserve">, D &lt; 55.</w:t>
      </w:r>
    </w:p>
    <w:p>
      <w:pPr>
        <w:pStyle w:val="BodyText"/>
      </w:pPr>
      <w:r>
        <w:t xml:space="preserve">Each group that participated in an annual training received an online report card to both motivate and provide additional resources if improvements were warranted. These reports were parameterized as a Quarto dashboard that used a single template applied to each group and year. The first tab of the report showed the group’s scores for a year for each of the three metrics, the raw differences for the species used in each metric, the overall score, and a table showing individual transect outcomes relative to the group means. The second tab provided additional resources to consult if a group was deficient in any given area (i.e., species identification, large deviation for any of the metrics). Any letter grades less than A- for the scores or any false positives or missed species prompted a conditional display of resources, otherwise, a satisfactory note was provided. The resources included online documentation and video training resources curated by the TBEP.</w:t>
      </w:r>
    </w:p>
    <w:bookmarkEnd w:id="37"/>
    <w:bookmarkEnd w:id="38"/>
    <w:bookmarkStart w:id="39" w:name="sensitivity-analysis"/>
    <w:p>
      <w:pPr>
        <w:pStyle w:val="Heading3"/>
      </w:pPr>
      <w:r>
        <w:t xml:space="preserve">2.2 Sensitivity analysis</w:t>
      </w:r>
    </w:p>
    <w:p>
      <w:pPr>
        <w:pStyle w:val="FirstParagraph"/>
      </w:pPr>
      <w:r>
        <w:t xml:space="preserve">The scoring methods were evaluated to assess robustness to group changes over time and sensitivity to</w:t>
      </w:r>
      <w:r>
        <w:t xml:space="preserve"> </w:t>
      </w:r>
      <w:r>
        <w:rPr>
          <w:i/>
          <w:iCs/>
        </w:rPr>
        <w:t xml:space="preserve">a priori</w:t>
      </w:r>
      <w:r>
        <w:t xml:space="preserve"> </w:t>
      </w:r>
      <w:r>
        <w:t xml:space="preserve">decisions. First, all scores were recalculated for each year after removing each group sequentially following a</w:t>
      </w:r>
      <w:r>
        <w:t xml:space="preserve"> </w:t>
      </w:r>
      <w:r>
        <w:t xml:space="preserve">“leave-one-out”</w:t>
      </w:r>
      <w:r>
        <w:t xml:space="preserve"> </w:t>
      </w:r>
      <w:r>
        <w:t xml:space="preserve">approach since the core of the method relies on averages as group consensus. The intent was to demonstrate that overall scores did not vary considerably based on inclusion or exclusion of individual groups. The recalculated scores were compared to those using all groups with the expectation that results should be similar.</w:t>
      </w:r>
    </w:p>
    <w:p>
      <w:pPr>
        <w:pStyle w:val="BodyText"/>
      </w:pPr>
      <w:r>
        <w:t xml:space="preserve">Second, the choice for the number of years to use as the baseline comparison for the flooring method was also evaluated since this choice influences the range of scores that could be received each year. The score floors that were calculated each year for the three metrics were evaluated using the first two years to the first six years of training data (i.e., 2, 3, 4, 5, and 6 years of data were used to define the mean standard deviation of scores for each metric). The expectation was the that the floors for each year and metric were relatively insensitive to the number of years used to define the baseline.</w:t>
      </w:r>
    </w:p>
    <w:bookmarkEnd w:id="39"/>
    <w:bookmarkStart w:id="40" w:name="assessment-of-scores-over-time"/>
    <w:p>
      <w:pPr>
        <w:pStyle w:val="Heading3"/>
      </w:pPr>
      <w:r>
        <w:t xml:space="preserve">2.3 Assessment of scores over time</w:t>
      </w:r>
    </w:p>
    <w:p>
      <w:pPr>
        <w:pStyle w:val="FirstParagraph"/>
      </w:pPr>
      <w:r>
        <w:t xml:space="preserve">A primary goal of the trainings is to ensure consistent methods are used by the different groups that collect seagrass transect data in Tampa Bay. A reasonable expectation is that groups would show less variation in their estimates over time as they participated in the trainings for successive years. To test this hypothesis, the change in the three metric scores and the change in the absolute values of the raw differences were evaluated over time using mixed-effects models. For the former, group was used as a random intercept, whereas the latter used group and species as random intercepts since species-level information was retained in the raw differences. An expectation is that scores would increase and raw differences would decrease over time. Trends were evaluated for the raw differences only for</w:t>
      </w:r>
      <w:r>
        <w:t xml:space="preserve"> </w:t>
      </w:r>
      <w:r>
        <w:rPr>
          <w:i/>
          <w:iCs/>
        </w:rPr>
        <w:t xml:space="preserve">Halodule</w:t>
      </w:r>
      <w:r>
        <w:t xml:space="preserve">,</w:t>
      </w:r>
      <w:r>
        <w:t xml:space="preserve"> </w:t>
      </w:r>
      <w:r>
        <w:rPr>
          <w:i/>
          <w:iCs/>
        </w:rPr>
        <w:t xml:space="preserve">Syringodium</w:t>
      </w:r>
      <w:r>
        <w:t xml:space="preserve">, and</w:t>
      </w:r>
      <w:r>
        <w:t xml:space="preserve"> </w:t>
      </w:r>
      <w:r>
        <w:rPr>
          <w:i/>
          <w:iCs/>
        </w:rPr>
        <w:t xml:space="preserve">Thalassia</w:t>
      </w:r>
      <w:r>
        <w:t xml:space="preserve"> </w:t>
      </w:r>
      <w:r>
        <w:t xml:space="preserve">since these were the most common species observed. Models were constructed with the</w:t>
      </w:r>
      <w:r>
        <w:t xml:space="preserve"> </w:t>
      </w:r>
      <w:r>
        <w:rPr>
          <w:rStyle w:val="VerbatimChar"/>
        </w:rPr>
        <w:t xml:space="preserve">lmer()</w:t>
      </w:r>
      <w:r>
        <w:t xml:space="preserve"> </w:t>
      </w:r>
      <w:r>
        <w:t xml:space="preserve">function from the lme4 R package</w:t>
      </w:r>
      <w:r>
        <w:t xml:space="preserve"> </w:t>
      </w:r>
      <w:r>
        <w:t xml:space="preserve">(Bates et al., 2015)</w:t>
      </w:r>
    </w:p>
    <w:bookmarkEnd w:id="40"/>
    <w:bookmarkEnd w:id="41"/>
    <w:bookmarkStart w:id="42"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42"/>
    <w:bookmarkStart w:id="43"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43"/>
    <w:bookmarkStart w:id="6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scoring_process"/>
          <w:p>
            <w:pPr>
              <w:pStyle w:val="Compact"/>
              <w:jc w:val="center"/>
            </w:pPr>
            <w:r>
              <w:drawing>
                <wp:inline>
                  <wp:extent cx="5943600" cy="3962400"/>
                  <wp:effectExtent b="0" l="0" r="0" t="0"/>
                  <wp:docPr descr="" title="" id="45" name="Picture"/>
                  <a:graphic>
                    <a:graphicData uri="http://schemas.openxmlformats.org/drawingml/2006/picture">
                      <pic:pic>
                        <pic:nvPicPr>
                          <pic:cNvPr descr="figs/scoring_process.png" id="46" name="Picture"/>
                          <pic:cNvPicPr>
                            <a:picLocks noChangeArrowheads="1" noChangeAspect="1"/>
                          </pic:cNvPicPr>
                        </pic:nvPicPr>
                        <pic:blipFill>
                          <a:blip r:embed="rId4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leaveoneout"/>
          <w:p>
            <w:pPr>
              <w:pStyle w:val="Compact"/>
              <w:jc w:val="center"/>
            </w:pPr>
            <w:r>
              <w:drawing>
                <wp:inline>
                  <wp:extent cx="5943600" cy="4457699"/>
                  <wp:effectExtent b="0" l="0" r="0" t="0"/>
                  <wp:docPr descr="" title="" id="49" name="Picture"/>
                  <a:graphic>
                    <a:graphicData uri="http://schemas.openxmlformats.org/drawingml/2006/picture">
                      <pic:pic>
                        <pic:nvPicPr>
                          <pic:cNvPr descr="figs/leaveoneout.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2: Comparison of raw deviations (top row) and scores (bottom row) for each of three metrics following a leave-one-site-out analysis across all years. The values on the y-axis represent the newly calculated raw deviations or scores after removing one site for each of all sampling years, repeated until each site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 and the full values with all sites. The dashed lines are 1:1 relationships.</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calsens"/>
          <w:p>
            <w:pPr>
              <w:pStyle w:val="Compact"/>
              <w:jc w:val="center"/>
            </w:pPr>
            <w:r>
              <w:drawing>
                <wp:inline>
                  <wp:extent cx="5504749" cy="5504749"/>
                  <wp:effectExtent b="0" l="0" r="0" t="0"/>
                  <wp:docPr descr="" title="" id="53" name="Picture"/>
                  <a:graphic>
                    <a:graphicData uri="http://schemas.openxmlformats.org/drawingml/2006/picture">
                      <pic:pic>
                        <pic:nvPicPr>
                          <pic:cNvPr descr="figs/calsens.png" id="54" name="Picture"/>
                          <pic:cNvPicPr>
                            <a:picLocks noChangeArrowheads="1" noChangeAspect="1"/>
                          </pic:cNvPicPr>
                        </pic:nvPicPr>
                        <pic:blipFill>
                          <a:blip r:embed="rId52"/>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3: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crdevmods"/>
          <w:p>
            <w:pPr>
              <w:pStyle w:val="Compact"/>
              <w:jc w:val="center"/>
            </w:pPr>
            <w:r>
              <w:drawing>
                <wp:inline>
                  <wp:extent cx="5943600" cy="3512127"/>
                  <wp:effectExtent b="0" l="0" r="0" t="0"/>
                  <wp:docPr descr="" title="" id="57" name="Picture"/>
                  <a:graphic>
                    <a:graphicData uri="http://schemas.openxmlformats.org/drawingml/2006/picture">
                      <pic:pic>
                        <pic:nvPicPr>
                          <pic:cNvPr descr="figs/scrdevmods.png" id="58" name="Picture"/>
                          <pic:cNvPicPr>
                            <a:picLocks noChangeArrowheads="1" noChangeAspect="1"/>
                          </pic:cNvPicPr>
                        </pic:nvPicPr>
                        <pic:blipFill>
                          <a:blip r:embed="rId56"/>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4: Results of mixed-effects models comparing group scores (top row) and absolute deviations (bottom row) over time.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bottom right plot (Short Shoot Density) is a singular fit with both species and group random-intercept variances estimated as zero, so only the fixed-effect trend is shown. None of the relationships are significant (ns: not significant).</w:t>
            </w:r>
          </w:p>
          <w:bookmarkEnd w:id="59"/>
        </w:tc>
      </w:tr>
    </w:tbl>
    <w:p>
      <w:r>
        <w:br w:type="page"/>
      </w:r>
    </w:p>
    <w:bookmarkEnd w:id="60"/>
    <w:bookmarkStart w:id="6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1"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2"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62"/>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tbl-slopetab"/>
          <w:p>
            <w:pPr>
              <w:jc w:val="center"/>
            </w:pPr>
            <w:pPr>
              <w:jc w:val="left"/>
              <w:spacing w:before="200"/>
              <w:pStyle w:val="ImageCaption"/>
            </w:pPr>
            <w:r>
              <w:t xml:space="preserve">Table 3: Slopes of change over time (year) for raw absolute deviations of metrics, by species and training group (identities anonymized as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63"/>
        </w:tc>
      </w:tr>
    </w:tbl>
    <w:p>
      <w:r>
        <w:br w:type="page"/>
      </w:r>
    </w:p>
    <w:bookmarkEnd w:id="64"/>
    <w:bookmarkStart w:id="66"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5">
        <w:r>
          <w:rPr>
            <w:rStyle w:val="Hyperlink"/>
          </w:rPr>
          <w:t xml:space="preserve">https://github.com/tbep-tech/seagrasstraining-manu</w:t>
        </w:r>
      </w:hyperlink>
      <w:r>
        <w:t xml:space="preserve">.</w:t>
      </w:r>
    </w:p>
    <w:bookmarkEnd w:id="66"/>
    <w:bookmarkStart w:id="67" w:name="acknowledgments"/>
    <w:p>
      <w:pPr>
        <w:pStyle w:val="Heading2"/>
      </w:pPr>
      <w:r>
        <w:t xml:space="preserve">Acknowledgments</w:t>
      </w:r>
    </w:p>
    <w:bookmarkEnd w:id="67"/>
    <w:bookmarkStart w:id="76" w:name="references"/>
    <w:p>
      <w:pPr>
        <w:pStyle w:val="Heading2"/>
      </w:pPr>
      <w:r>
        <w:t xml:space="preserve">References</w:t>
      </w:r>
    </w:p>
    <w:bookmarkStart w:id="75" w:name="refs"/>
    <w:bookmarkStart w:id="69" w:name="ref-bates15"/>
    <w:p>
      <w:pPr>
        <w:pStyle w:val="Bibliography"/>
      </w:pPr>
      <w:r>
        <w:t xml:space="preserve">Bates, D., M. Mächler, B. Bolker, and S. Walker. 2015. 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1–48.</w:t>
      </w:r>
      <w:r>
        <w:t xml:space="preserve"> </w:t>
      </w:r>
      <w:hyperlink r:id="rId68">
        <w:r>
          <w:rPr>
            <w:rStyle w:val="Hyperlink"/>
          </w:rPr>
          <w:t xml:space="preserve">https://doi.org/10.18637/jss.v067.i01</w:t>
        </w:r>
      </w:hyperlink>
      <w:r>
        <w:t xml:space="preserve">.</w:t>
      </w:r>
    </w:p>
    <w:bookmarkEnd w:id="69"/>
    <w:bookmarkStart w:id="70" w:name="ref-braun1965"/>
    <w:p>
      <w:pPr>
        <w:pStyle w:val="Bibliography"/>
      </w:pPr>
      <w:r>
        <w:t xml:space="preserve">Braun-Blanquet, J. 1965.</w:t>
      </w:r>
      <w:r>
        <w:t xml:space="preserve"> </w:t>
      </w:r>
      <w:r>
        <w:rPr>
          <w:i/>
          <w:iCs/>
        </w:rPr>
        <w:t xml:space="preserve">Plant sociology: The study of plant communities</w:t>
      </w:r>
      <w:r>
        <w:t xml:space="preserve">. London: Hafner Publishing Company.</w:t>
      </w:r>
    </w:p>
    <w:bookmarkEnd w:id="70"/>
    <w:bookmarkStart w:id="72" w:name="ref-rdct2025"/>
    <w:p>
      <w:pPr>
        <w:pStyle w:val="Bibliography"/>
      </w:pPr>
      <w:r>
        <w:t xml:space="preserve">R Core Team. 2025.</w:t>
      </w:r>
      <w:r>
        <w:t xml:space="preserve"> </w:t>
      </w:r>
      <w:hyperlink r:id="rId71">
        <w:r>
          <w:rPr>
            <w:rStyle w:val="Hyperlink"/>
            <w:i/>
            <w:iCs/>
          </w:rPr>
          <w:t xml:space="preserve">R: A language and environment for statistical computing</w:t>
        </w:r>
      </w:hyperlink>
      <w:r>
        <w:t xml:space="preserve">. Vienna, Austria: R Foundation for Statistical Computing.</w:t>
      </w:r>
    </w:p>
    <w:bookmarkEnd w:id="72"/>
    <w:bookmarkStart w:id="74" w:name="ref-wickham2019"/>
    <w:p>
      <w:pPr>
        <w:pStyle w:val="Bibliography"/>
      </w:pPr>
      <w:r>
        <w:t xml:space="preserve">Wickham, H., M. Averick, J. Bryan, W. Chang, L. D. McGowan, R. François, G. Grolemund, et al. 2019. Welcome to the</w:t>
      </w:r>
      <w:r>
        <w:t xml:space="preserve"> </w:t>
      </w:r>
      <w:r>
        <w:t xml:space="preserve">tidyverse</w:t>
      </w:r>
      <w:r>
        <w:t xml:space="preserve">.</w:t>
      </w:r>
      <w:r>
        <w:t xml:space="preserve"> </w:t>
      </w:r>
      <w:r>
        <w:rPr>
          <w:i/>
          <w:iCs/>
        </w:rPr>
        <w:t xml:space="preserve">Journal of Open Source Software</w:t>
      </w:r>
      <w:r>
        <w:t xml:space="preserve"> </w:t>
      </w:r>
      <w:r>
        <w:t xml:space="preserve">4: 1686.</w:t>
      </w:r>
      <w:r>
        <w:t xml:space="preserve"> </w:t>
      </w:r>
      <w:hyperlink r:id="rId73">
        <w:r>
          <w:rPr>
            <w:rStyle w:val="Hyperlink"/>
          </w:rPr>
          <w:t xml:space="preserve">https://doi.org/10.21105/joss.01686</w:t>
        </w:r>
      </w:hyperlink>
      <w:r>
        <w:t xml:space="preserve">.</w:t>
      </w:r>
    </w:p>
    <w:bookmarkEnd w:id="74"/>
    <w:bookmarkEnd w:id="75"/>
    <w:bookmarkEnd w:id="76"/>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hyperlink" Id="rId68" Target="https://doi.org/10.18637/jss.v067.i01" TargetMode="External" /><Relationship Type="http://schemas.openxmlformats.org/officeDocument/2006/relationships/hyperlink" Id="rId73" Target="https://doi.org/10.21105/joss.01686" TargetMode="External" /><Relationship Type="http://schemas.openxmlformats.org/officeDocument/2006/relationships/hyperlink" Id="rId65"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1" Target="https://www.R-project.org/"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8637/jss.v067.i01" TargetMode="External" /><Relationship Type="http://schemas.openxmlformats.org/officeDocument/2006/relationships/hyperlink" Id="rId73" Target="https://doi.org/10.21105/joss.01686" TargetMode="External" /><Relationship Type="http://schemas.openxmlformats.org/officeDocument/2006/relationships/hyperlink" Id="rId65"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1" Target="https://www.R-project.org/"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2026-10-27T19:34:47Z</dcterms:created>
  <dcterms:modified xsi:type="dcterms:W3CDTF">2026-10-27T19:34:47Z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