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57.png" ContentType="image/png"/>
  <Override PartName="/word/media/rId41.png" ContentType="image/png"/>
  <Override PartName="/word/media/rId53.png" ContentType="image/png"/>
  <Override PartName="/word/media/rId61.png" ContentType="image/png"/>
  <Override PartName="/word/media/rId45.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 Pratt</w:t>
      </w:r>
      <w:r>
        <w:rPr>
          <w:vertAlign w:val="superscript"/>
        </w:rPr>
        <w:t xml:space="preserve">3</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Climate change is an existential threat to natural resources that sustain human health and the environment.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Over the last fifty years, Tampa Bay has become hotter and fresher with water temperature increasing by 0.03 - 0.07</w:t>
      </w:r>
      <w:r>
        <w:t xml:space="preserve"> </w:t>
      </w:r>
      <m:oMath>
        <m:sSup>
          <m:e>
            <m:r>
              <m:t>​</m:t>
            </m:r>
          </m:e>
          <m:sup>
            <m:r>
              <m:rPr>
                <m:sty m:val="p"/>
              </m:rPr>
              <m:t>∘</m:t>
            </m:r>
          </m:sup>
        </m:sSup>
      </m:oMath>
      <w:r>
        <w:t xml:space="preserve">C per year and salinity decreasing by 0.04 - 0.2 PSU per year. These changes varied spatially and seasonally, with the most dramatic changes observed in the upper bay during the summer months. Simple linear models provided limited evidence that recent seagrass declines are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other cliamte change drivers and warrant additional, complementary interventions to maintain ecosystem health into the future.</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at a global scale. Seagrasses are fundamental indicators of coastal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Margaret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and interventions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stressed coastal environments requires management actions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increasing temperature and alteration of precipitation patterns. These changes will profoundly alter physicochemical habitats, creating suboptimal or uninhabitable conditions for many species</w:t>
      </w:r>
      <w:r>
        <w:t xml:space="preserve"> </w:t>
      </w:r>
      <w:r>
        <w:t xml:space="preserve">(Madeira et al. 2012; Lefcheck et al. 2017;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effects of decreased water clarity for seagrasses in shallow habitats were exacerbated by acute warming related to climate change, demonstrating a concerning synergy of multiple stressors.</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Again in Chesapeake Bay, the abundance of widgeongrass (</w:t>
      </w:r>
      <w:r>
        <w:rPr>
          <w:iCs/>
          <w:i/>
        </w:rPr>
        <w:t xml:space="preserve">Ruppia maritima</w:t>
      </w:r>
      <w:r>
        <w:t xml:space="preserve">) has been mediated by nutrient reductions, while also outcompeting and replacing formerly dominant</w:t>
      </w:r>
      <w:r>
        <w:t xml:space="preserve"> </w:t>
      </w:r>
      <w:r>
        <w:rPr>
          <w:iCs/>
          <w:i/>
        </w:rPr>
        <w:t xml:space="preserve">Z. marina</w:t>
      </w:r>
      <w:r>
        <w:t xml:space="preserve"> </w:t>
      </w:r>
      <w:r>
        <w:t xml:space="preserve">given higher tolerance to increased temperatures</w:t>
      </w:r>
      <w:r>
        <w:t xml:space="preserve"> </w:t>
      </w:r>
      <w:r>
        <w:t xml:space="preserve">(Hensel et al. 2023)</w:t>
      </w:r>
      <w:r>
        <w:t xml:space="preserve">. Changing frequency and severity of precipitation patterns may further alter the distribution and abundance of seagrasses by pushing species outside of optimal salinity tolerance ranges</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Seagrasses may respond differently under individual or multiple stressors</w:t>
      </w:r>
      <w:r>
        <w:t xml:space="preserve"> </w:t>
      </w:r>
      <w:r>
        <w:t xml:space="preserve">(Lefcheck et al. 2017; Zhang et al. 2023)</w:t>
      </w:r>
      <w:r>
        <w:t xml:space="preserve">, suggesting place-based assessments of response to climate change provide valuable insights for managers responsible for maintaining ecological resources.</w:t>
      </w:r>
    </w:p>
    <w:p>
      <w:pPr>
        <w:pStyle w:val="BodyText"/>
      </w:pPr>
      <w:r>
        <w:t xml:space="preserve">In Tampa Bay, Florida, seagrasses are a primary indicator of bay health that have been the focus of management efforts over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w:t>
      </w:r>
      <w:r>
        <w:t xml:space="preserve"> </w:t>
      </w:r>
      <w:r>
        <w:t xml:space="preserve">(Janicki and Wade 1996; Beck 2020a)</w:t>
      </w:r>
      <w:r>
        <w:t xml:space="preserve">. Factors that have influenced this recent decline are unknown and the effects of climate change drivers on physical water quality conditions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where marginal light environments exist. This hypothesis was generated from preliminary assessments of datasets used herein and discussions with the regional scientific and management community, despite information in the primary literature suggesting the contrary for salinity</w:t>
      </w:r>
      <w:r>
        <w:t xml:space="preserve"> </w:t>
      </w:r>
      <w:r>
        <w:t xml:space="preserve">(e.g., Costa et al. 2023)</w:t>
      </w:r>
      <w:r>
        <w:t xml:space="preserve">. The analysis was supported by 30-year seagrass datasets describing approximate biennial coverage of all seagrasses, annual transect monitoring describing cover of individual species, and synoptic seagrass data collected with routine biotic and water quality surveys. Specific focus was on the periods prior to and after 2016, when seagrasses recovered baywide and then declined despite water quality conditions remaining relatively stable.</w:t>
      </w:r>
    </w:p>
    <w:bookmarkEnd w:id="22"/>
    <w:bookmarkStart w:id="33"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Tampa Bay straddles the tropical and temperate boundary of central Florida characterized by warm, humid conditions and a distinct rainy season during the summer</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The greatest areal coverage expansions were observed in the upper bay segments (OTB, HB, and MTB; Figure</w:t>
      </w:r>
      <w:r>
        <w:t xml:space="preserve"> </w:t>
      </w:r>
      <w:hyperlink w:anchor="fig-seagrasschg">
        <w:r>
          <w:rPr>
            <w:rStyle w:val="Hyperlink"/>
          </w:rPr>
          <w:t xml:space="preserve">2</w:t>
        </w:r>
      </w:hyperlink>
      <w:r>
        <w:t xml:space="preserve">a). Throughout this same period, external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w:t>
      </w:r>
      <w:r>
        <w:t xml:space="preserve"> </w:t>
      </w:r>
      <w:r>
        <w:t xml:space="preserve">(Greening et al. 2014; Beck et al. 2019)</w:t>
      </w:r>
      <w:r>
        <w:t xml:space="preserve">.</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(11,518 acres/4,661 ha) from the 2016 peak to a total baywide coverage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by photointerpretation of aerial images obtained at the end of the growing season, typically during November-February. No species information is provided. A more detailed, but spatially-specific, data source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 and condition, collected at fixed meter marks along a transect extending from the shoreline to the deepwater edge of the seagrass bed. Although the areal maps provide the standard for assessment of restoration goals, the transect data allow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(Figure</w:t>
      </w:r>
      <w:r>
        <w:t xml:space="preserve"> </w:t>
      </w:r>
      <w:hyperlink w:anchor="fig-map">
        <w:r>
          <w:rPr>
            <w:rStyle w:val="Hyperlink"/>
          </w:rPr>
          <w:t xml:space="preserve">1</w:t>
        </w:r>
      </w:hyperlink>
      <w:r>
        <w:t xml:space="preserve">b).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Time of sampling can vary, although most samples are collected from mid-morning to early afternoon. Compared to the additional datasets described below, the monitoring stations are generally in deeper water beyond where seagrasses occur along the shallow margins of the bay.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w:t>
      </w:r>
      <w:r>
        <w:t xml:space="preserve"> </w:t>
      </w:r>
      <w:r>
        <w:t xml:space="preserve">(Schrandt et al. 2021)</w:t>
      </w:r>
      <w:r>
        <w:t xml:space="preserve">. A stratified sampling design is used to select sites for 21.3 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w:t>
      </w:r>
      <w:r>
        <w:t xml:space="preserve"> </w:t>
      </w:r>
      <w:r>
        <w:t xml:space="preserve">(Sherwood et al. 2016)</w:t>
      </w:r>
      <w:r>
        <w:t xml:space="preserve">. This</w:t>
      </w:r>
      <w:r>
        <w:t xml:space="preserve"> </w:t>
      </w:r>
      <w:r>
        <w:rPr>
          <w:iCs/>
          <w:i/>
        </w:rPr>
        <w:t xml:space="preserve">ad hoc</w:t>
      </w:r>
      <w:r>
        <w:t xml:space="preserve"> </w:t>
      </w:r>
      <w:r>
        <w:t xml:space="preserve">group meets quarterly to ensure similar standards and methods are used for the collection and processing of surface water quality monitoring data in the region.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period of record covered by the water quality samples (i.e., 1975 to present for the EPC data). The rnoaa R package</w:t>
      </w:r>
      <w:r>
        <w:t xml:space="preserve"> </w:t>
      </w:r>
      <w:r>
        <w:t xml:space="preserve">(Chamberlain and Hocking 2023)</w:t>
      </w:r>
      <w:r>
        <w:t xml:space="preserve"> </w:t>
      </w:r>
      <w:r>
        <w:t xml:space="preserve">was used to obtain the TIA temperature data. Regional precipitation summaries were obtained directly from the SWFWMD (https://www.swfwmd.state.fl.us/resources/data-maps/rainfall-summary-data-region).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All climate data were evaluated annually with simple linear regression trends to assess change over time. Water temperature and salinity trends using the EPC, FIM, and PDEM data were similarly evaluated by averaging the monthly data each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(e.g., minimum and maximum temperatures where a species is typically observed),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(Wood 2017)</w:t>
      </w:r>
      <w:r>
        <w:t xml:space="preserve">.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0.71 to 0.96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w:t>
      </w:r>
    </w:p>
    <w:bookmarkEnd w:id="31"/>
    <w:bookmarkStart w:id="32"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from 1998 to 2022.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pre-2016, decline post-2016). Two models were evaluated, one with the temperature and salinity metrics together and another with the both metric.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Separate models were constructed to provide an additional weight-of-evidence for the FIM and PDEM temperature and salinity datasets relative to seagrass change.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due to spatial limitations of the data and the seagrass response variable was presence/absence (i.e., a binomial distribution was used) to model the probability of observing seagrass. Model input data were further subset to include only months from July to November to describe seagrasses during the growing season and to reduce potential seasonal effects.</w:t>
      </w:r>
    </w:p>
    <w:bookmarkEnd w:id="32"/>
    <w:bookmarkEnd w:id="33"/>
    <w:bookmarkStart w:id="37" w:name="results"/>
    <w:p>
      <w:pPr>
        <w:pStyle w:val="Heading2"/>
      </w:pPr>
      <w:r>
        <w:t xml:space="preserve">3 Results</w:t>
      </w:r>
    </w:p>
    <w:bookmarkStart w:id="34"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10.67 mm per year, although the model was not significant (p = 0.11). Removing September from the rainy season showed a significantly increasing trend of 11.44 mm per year (p &lt; 0.05,</w:t>
      </w:r>
      <w:r>
        <w:t xml:space="preserve"> </w:t>
      </w:r>
      <m:oMath>
        <m:sSup>
          <m:e>
            <m:r>
              <m:t>R</m:t>
            </m:r>
          </m:e>
          <m:sup>
            <m:r>
              <m:t>2</m:t>
            </m:r>
          </m:sup>
        </m:sSup>
      </m:oMath>
      <w:r>
        <w:t xml:space="preserve"> </w:t>
      </w:r>
      <w:r>
        <w:t xml:space="preserve">= 0.07; September alone did not have a significant trend, p = 0.87). Using this model, total precipitation in 1975 was 2829.9 (+/-150.44 st. err.) mm, whereas current total precipitation in 2022 was 3367.5 (+/-150.44 st. err.) mm, showing an overall increase in the period of record of 537.6 mm. Notably, trends for the dry season (October through May) were not significant (p = 0.35), except April which had a significantly increasing trend (p &lt; 0.05,</w:t>
      </w:r>
      <w:r>
        <w:t xml:space="preserve"> </w:t>
      </w:r>
      <m:oMath>
        <m:sSup>
          <m:e>
            <m:r>
              <m:t>R</m:t>
            </m:r>
          </m:e>
          <m:sup>
            <m:r>
              <m:t>2</m:t>
            </m:r>
          </m:sup>
        </m:sSup>
      </m:oMath>
      <w:r>
        <w:t xml:space="preserve"> </w:t>
      </w:r>
      <w:r>
        <w:t xml:space="preserve">= 0.08).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1</w:t>
        </w:r>
      </w:hyperlink>
      <w:r>
        <w:t xml:space="preserve">,</w:t>
      </w:r>
      <w:r>
        <w:t xml:space="preserve"> </w:t>
      </w:r>
      <w:hyperlink w:anchor="tbl-saltrndtab">
        <w:r>
          <w:rPr>
            <w:rStyle w:val="Hyperlink"/>
          </w:rPr>
          <w:t xml:space="preserve">2</w:t>
        </w:r>
      </w:hyperlink>
      <w:r>
        <w:t xml:space="preserve">, Figures S1, S2, S3).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The top and bottom water temperature or salinity changes were similar across bay segments (</w:t>
      </w:r>
      <w:hyperlink w:anchor="fig-meteowqraw">
        <w:r>
          <w:rPr>
            <w:rStyle w:val="Hyperlink"/>
          </w:rPr>
          <w:t xml:space="preserve">Figure 4</w:t>
        </w:r>
      </w:hyperlink>
      <w:r>
        <w:t xml:space="preserve">). Trends in water temperature were similar across bay segments with significant increases varying from 0.03 to 0.04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also similar between bay segments, although overall salinity was predictably higher for bay segments closer to the Gulf of Mexico. Only Old Tampa Bay and Lower Tampa Bay had significantly decreasing trends, with decreases of 0.06 (OTB) and 0.04 (LTB) ppt per year, with a total decrease of 2.7 (OTB) and 2.1 (LTB) ppt from 1975 to present.</w:t>
      </w:r>
    </w:p>
    <w:p>
      <w:pPr>
        <w:pStyle w:val="BodyText"/>
      </w:pPr>
      <w:r>
        <w:t xml:space="preserve">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(Figures S2, S3).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significantly increasing temperature and decreasing salinity from 1975 to present, excluding one station in HB that did not have significantly decreasing bottom salinity (Figure</w:t>
      </w:r>
      <w:r>
        <w:t xml:space="preserve"> </w:t>
      </w:r>
      <w:hyperlink w:anchor="fig-kendall">
        <w:r>
          <w:rPr>
            <w:rStyle w:val="Hyperlink"/>
          </w:rPr>
          <w:t xml:space="preserve">5</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5</w:t>
        </w:r>
      </w:hyperlink>
      <w:r>
        <w:t xml:space="preserve">b, c), although some variation was observed between bay segments. Temperature trends were more often observed in the summer or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w:t>
      </w:r>
    </w:p>
    <w:bookmarkEnd w:id="34"/>
    <w:bookmarkStart w:id="35"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of the temperature models for each of the three thresholds (29, 30, 31</w:t>
      </w:r>
      <w:r>
        <w:t xml:space="preserve"> </w:t>
      </w:r>
      <m:oMath>
        <m:sSup>
          <m:e>
            <m:r>
              <m:t>​</m:t>
            </m:r>
          </m:e>
          <m:sup>
            <m:r>
              <m:rPr>
                <m:sty m:val="p"/>
              </m:rPr>
              <m:t>∘</m:t>
            </m:r>
          </m:sup>
        </m:sSup>
      </m:oMath>
      <w:r>
        <w:t xml:space="preserve">C)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 (Table S5, see Table S6 for 1998 to 2022). Trends for the other two temperature thresholds were similar.</w:t>
      </w:r>
    </w:p>
    <w:p>
      <w:pPr>
        <w:pStyle w:val="BodyText"/>
      </w:pPr>
      <w:r>
        <w:t xml:space="preserve">The salinity models were less similar between bay segments compared to the temperature models, primarily because of the natural variation in salinity along the bay’s longitudinal axis (Tables S3, S4). None of the bay segments had significantly increasing number of days per year when salinity was below 15 ppt. The only significant model for MTB was the number of days when salinity was below 25 ppt, which was increasing at a rate of 0.7 days per year. Both HB and OTB had significantly increasing number of days per year when salinity was below 20 and 25 ppt, although the slopes varied such that the rates in OTB were nearly double those in HB. The number of days per year when salinity was below 25 ppt in OTB increased by 2 days per year, whereas the number of days in HB increased by 0.9 days per year from 1975 to present. Likewise, the average number of days per year when salinity was continuously below 25 ppt at the beginning and end of the period of record was 128 (OTB) and 131 (HB) days in 1975 and 171 (HB) and 219 (OTB) days in 2022 (Table S5, see Table S6 for 1998 to 2022).</w:t>
      </w:r>
    </w:p>
    <w:p>
      <w:pPr>
        <w:pStyle w:val="BodyText"/>
      </w:pPr>
      <w:r>
        <w:t xml:space="preserve">The number of days when both temperature was above and salinity was below a threshold also varied by bay segment (Table S3).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34 days in 2022 for OTB, HB, and MTB, respectively.</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decreased with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35"/>
    <w:bookmarkStart w:id="36" w:name="seagrass-response"/>
    <w:p>
      <w:pPr>
        <w:pStyle w:val="Heading3"/>
      </w:pPr>
      <w:r>
        <w:t xml:space="preserve">3.3 Seagrass response</w:t>
      </w:r>
    </w:p>
    <w:p>
      <w:pPr>
        <w:pStyle w:val="FirstParagraph"/>
      </w:pPr>
      <w:r>
        <w:t xml:space="preserve">Linear models to assess the potential effects of temperature and salinity on seagrass change provided modest evidence that seagrass loss after 2016 was influenced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(interaction term between salinity and time period was marginally significant, p &lt; 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strength of the relationship of temperature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 Note that</w:t>
      </w:r>
      <w:r>
        <w:t xml:space="preserve"> </w:t>
      </w:r>
      <w:hyperlink w:anchor="fig-sgmod">
        <w:r>
          <w:rPr>
            <w:rStyle w:val="Hyperlink"/>
          </w:rPr>
          <w:t xml:space="preserve">Figure 7</w:t>
        </w:r>
      </w:hyperlink>
      <w:r>
        <w:t xml:space="preserve"> </w:t>
      </w:r>
      <w:r>
        <w:t xml:space="preserve">shows model predictions for OTB only, although the shape of the relationships do not change for other bay segments other than as additive shifts of the curves up or down.</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or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FIM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6"/>
    <w:bookmarkEnd w:id="37"/>
    <w:bookmarkStart w:id="39" w:name="discussion"/>
    <w:p>
      <w:pPr>
        <w:pStyle w:val="Heading2"/>
      </w:pPr>
      <w:r>
        <w:t xml:space="preserve">4 Discussion</w:t>
      </w:r>
    </w:p>
    <w:p>
      <w:pPr>
        <w:pStyle w:val="FirstParagraph"/>
      </w:pPr>
      <w:r>
        <w:t xml:space="preserve">Global increases in temperature and precipitation related to climate change have contributed to widespread alteration of the structure and functioning of natural environments</w:t>
      </w:r>
      <w:r>
        <w:t xml:space="preserve"> </w:t>
      </w:r>
      <w:r>
        <w:t xml:space="preserve">(Osland et al. 2015; Oliver et al. 2018)</w:t>
      </w:r>
      <w:r>
        <w:t xml:space="preserve">. At a local scale, these changes have been demonstrated herein for Tampa Bay where the evaluation of long-term trends in water temperature and salinity showed clear changes mirrored by long-term changes in air temperature and precipitation. Over the previous fifty years, Tampa Bay has consistently trended towards hotter and fresher conditions, where water temperature has approximately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consistently observed in the dataset with the longest period of record (EPC) covering nearly fifty years of monthly observations, with the most dramatic changes occurring during the summer rainy season at locations farther from the mouth of the Bay. These long-term changes manifested into consistent trends in select stressor metrics; the continuous number of days each year when temperature was above and/or salinity was below defined thresholds consistently increased across the period of record.</w:t>
      </w:r>
    </w:p>
    <w:p>
      <w:pPr>
        <w:pStyle w:val="BodyText"/>
      </w:pPr>
      <w:r>
        <w:t xml:space="preserve">Similar regional, long-term changes in coastal waters and estuaries have been observed by others</w:t>
      </w:r>
      <w:r>
        <w:t xml:space="preserve"> </w:t>
      </w:r>
      <w:r>
        <w:t xml:space="preserve">(Nickerson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to those herein for Tampa Bay (the EPC dataset was also used).</w:t>
      </w:r>
      <w:r>
        <w:t xml:space="preserve"> </w:t>
      </w:r>
      <w:r>
        <w:t xml:space="preserve">Nickerson et al. (2023)</w:t>
      </w:r>
      <w:r>
        <w:t xml:space="preserve"> </w:t>
      </w:r>
      <w:r>
        <w:t xml:space="preserve">also noted that temperature increases in Tampa Bay were most pronounced in the winter, which somewhat conflicts with our results showing distinct increases in the summer, particularly for the upper bay segments (OTB and HB). However, our assessment evaluated trends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w:t>
      </w:r>
    </w:p>
    <w:p>
      <w:pPr>
        <w:pStyle w:val="BodyText"/>
      </w:pPr>
      <w:r>
        <w:t xml:space="preserve">Our relatively simple modeling approach provided some evidence that climate-related stressors impart some effect on recent seagrass losses in Tampa Bay. The models did not provide a consistent, nor statistically powerful, explanation that increasing temperature and decreasing salinity were key (or the sole) drivers. However, evaluating all models together does suggest a pattern that demonstrates the value of considering multiple datasets and models to explain noisy patterns and compounding ecological processes. Model results for the EPC and FIM datasets both suggested that increasing temperature and decreasing salinity were associated with potential seagrass loss post-2016,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between seagrass and salinity stress was observed post-2016 as compared to pre-2016. Likewise, the FIM models had a significant interaction term for the association of temperature with time period and a marginally significant interaction term for the association of salinity with time period. An important distinction between the EPC and FIM models is that the former evaluated the number of days above/below thresholds each year to quantify annual temperature or salinity stress,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programs. These differences highlight challenges describing noisy relationships in long-term ecological datasets, while also demonstrating the utility of our weight-of-evidence approach to describe these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These thresholds are likely not ecologically significant since most of the reported values in tropical and sub-tropical environments suggest that the limits of the ecological niche for seagrasses are higher for temperature and lower for salinity</w:t>
      </w:r>
      <w:r>
        <w:t xml:space="preserve"> </w:t>
      </w:r>
      <w:r>
        <w:t xml:space="preserve">(Phillips 1960; McMillan and Moseley 1967; Zieman 1975; Lirman and Cropper 2003)</w:t>
      </w:r>
      <w:r>
        <w:t xml:space="preserve">. Because we did not see a dramatic increase in the number of days each year when the thresholds were crossed at more stressful values, conditions in Tampa Bay in recent years are generally within the ecological niche for seagrasses. This does not suggest that these factors are unimportant, both currently and in the future. Our models suggested that temperature and salinity are potentially associated with seagrass loss and the consistent long-term trend in both imply that these conditions are likely to become more stressful in the future, further confounding seagrass recovery efforts in the region.</w:t>
      </w:r>
    </w:p>
    <w:p>
      <w:pPr>
        <w:pStyle w:val="BodyText"/>
      </w:pPr>
      <w:r>
        <w:t xml:space="preserve">Additional limitations of our models may relate to an incomplete description of factors influencing seagrass growth. This relates to the inclusion of additional drivers as well as issues related to correlation/causation. For the former, the primary management paradigm in Tampa Bay for the past three decades has relied on the role of external nitrogen inputs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Our use of time period (pre-/post-2016) as a categorical variable partially addressed this issue. Modeling seagrass change as related to temperature or salinity for the entire record would have shown a spurious correlation of both with seagrass given the long-term recovery of seagrass. Thus, time period was necessary to control for these confounding relationships. Additionally, light attenuation has been relatively consistent since 2016 and within the limits estimated to be supportive of seagrass growth in Tampa Bay, particularly in OTB where the most loss occurred</w:t>
      </w:r>
      <w:r>
        <w:t xml:space="preserve"> </w:t>
      </w:r>
      <w:r>
        <w:t xml:space="preserve">(Janicki and Wade 1996; Beck 2020a)</w:t>
      </w:r>
      <w:r>
        <w:t xml:space="preserve">.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 This explanation cannot be ruled out with the existing datasets, although the trend analyses and models suggest that climate-related stressors driving seagrass loss is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 These regional losses suggest that large-scale stressors are driving these changes, leading us to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(e.g.,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may also influence seagrass growth and recovery in Florida estuaries</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Brewton and Lapointe 2023)</w:t>
      </w:r>
      <w:r>
        <w:t xml:space="preserve">, in addition to insufficient macroalgae data in Tampa Bay that cannot clearly describe seasonal growth,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now well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generally contrary to expectations for coastal systems consistent with sea-level rise projections</w:t>
      </w:r>
      <w:r>
        <w:t xml:space="preserve"> </w:t>
      </w:r>
      <w:r>
        <w:t xml:space="preserve">(Costa et al. 2023; Alarcon et al. 2024)</w:t>
      </w:r>
      <w:r>
        <w:t xml:space="preserve">. Salinity changes with sea-level rise have caused numerous alterations of subtidal and nearshore habitats</w:t>
      </w:r>
      <w:r>
        <w:t xml:space="preserve"> </w:t>
      </w:r>
      <w:r>
        <w:t xml:space="preserve">(Brinson et al. 1995; White and Kaplan 2017)</w:t>
      </w:r>
      <w:r>
        <w:t xml:space="preserve">. In southwest Florida, the most common ecological example is the expansion of mangroves upland as porewater salinity and water levels have gradually increased over the past few decades</w:t>
      </w:r>
      <w:r>
        <w:t xml:space="preserve"> </w:t>
      </w:r>
      <w:r>
        <w:t xml:space="preserve">(Borchert et al. 2018)</w:t>
      </w:r>
      <w:r>
        <w:t xml:space="preserve">. Alteration of salinity regimes for surface and groundwater resources are also well documented. In Florida Bay, for example, widespread decline of</w:t>
      </w:r>
      <w:r>
        <w:t xml:space="preserve"> </w:t>
      </w:r>
      <w:r>
        <w:rPr>
          <w:iCs/>
          <w:i/>
        </w:rPr>
        <w:t xml:space="preserve">Thalassia testudinium</w:t>
      </w:r>
      <w:r>
        <w:t xml:space="preserve"> </w:t>
      </w:r>
      <w:r>
        <w:t xml:space="preserve">has been partially attributed to elevated salinity levels beyond the optimal range for the species</w:t>
      </w:r>
      <w:r>
        <w:t xml:space="preserve"> </w:t>
      </w:r>
      <w:r>
        <w:t xml:space="preserve">(Margaret O. Hall et al. 2016)</w:t>
      </w:r>
      <w:r>
        <w:t xml:space="preserve">. Sea level rise is further altering salinity dynamics in the region.</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 into the system has had a greater influence on salinity regimes than the effects of sea-level rise. This hypothesis is supported by our assessment of precipitation patterns over time, where the long-term increase is inversely associated with the decrease in salinity.</w:t>
      </w:r>
    </w:p>
    <w:bookmarkStart w:id="38"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are additively affecting seagrasses, rather than multiplicatively, as evidenced by lack of significant interactions of these stressors. Future analyses may show more significant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have inadequate capacity to maintain ecosystem status due to changing resilience of ecological resources affected by climate change. For example, nitrogen load reductions have been effective at restoring seagrass in Tampa Bay</w:t>
      </w:r>
      <w:r>
        <w:t xml:space="preserve"> </w:t>
      </w:r>
      <w:r>
        <w:t xml:space="preserve">(Greening and Janicki 2006; Greening et al. 2014)</w:t>
      </w:r>
      <w:r>
        <w:t xml:space="preserve">. As Tampa Bay becomes hotter and fresher, similar load allocations may no longer be effectively assimilated and algal and seagrass ecology dynamics may shift. Strategies that mimic or restore pre-development hydrology or that further reduce allowable load inputs from regulated entities (e.g., additional stormwater controls, hydrological modifications) may be needed to confer additional resilience and adaptive capacity for seagrass in Tampa Bay. These considerations are especially critical for upper parts of Tampa Bay where a majority of seagrass loss has occurred and where temperature and salinity trends have been most pronounced. Reversal of recent trends may be more likely to occur if aggressive actions and controls are pursued sooner rather than later, given the challenges of restoring degraded estuarine ecosystems due to hysteresis.</w:t>
      </w:r>
    </w:p>
    <w:bookmarkEnd w:id="38"/>
    <w:bookmarkEnd w:id="39"/>
    <w:bookmarkStart w:id="40"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in particular Mike Wessel, Ray Pribble, and Dave Tomasko.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community of field and technical staff that have routinely collected and maintained the valuable long-term monitoring data used in this study.</w:t>
      </w:r>
    </w:p>
    <w:p>
      <w:r>
        <w:br w:type="page"/>
      </w:r>
    </w:p>
    <w:bookmarkEnd w:id="40"/>
    <w:bookmarkStart w:id="69"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4" w:name="fig-map"/>
          <w:p>
            <w:pPr>
              <w:pStyle w:val="Compact"/>
              <w:jc w:val="center"/>
            </w:pPr>
            <w:r>
              <w:drawing>
                <wp:inline>
                  <wp:extent cx="3669832" cy="5963478"/>
                  <wp:effectExtent b="0" l="0" r="0" t="0"/>
                  <wp:docPr descr="" title="" id="42" name="Picture"/>
                  <a:graphic>
                    <a:graphicData uri="http://schemas.openxmlformats.org/drawingml/2006/picture">
                      <pic:pic>
                        <pic:nvPicPr>
                          <pic:cNvPr descr="figs/map.png" id="43" name="Picture"/>
                          <pic:cNvPicPr>
                            <a:picLocks noChangeArrowheads="1" noChangeAspect="1"/>
                          </pic:cNvPicPr>
                        </pic:nvPicPr>
                        <pic:blipFill>
                          <a:blip r:embed="rId41"/>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8" w:name="fig-seagrasschg"/>
          <w:p>
            <w:pPr>
              <w:pStyle w:val="Compact"/>
              <w:jc w:val="center"/>
            </w:pPr>
            <w:r>
              <w:drawing>
                <wp:inline>
                  <wp:extent cx="5943600" cy="4457699"/>
                  <wp:effectExtent b="0" l="0" r="0" t="0"/>
                  <wp:docPr descr="" title="" id="46" name="Picture"/>
                  <a:graphic>
                    <a:graphicData uri="http://schemas.openxmlformats.org/drawingml/2006/picture">
                      <pic:pic>
                        <pic:nvPicPr>
                          <pic:cNvPr descr="figs/seagrasschg.png" id="47" name="Picture"/>
                          <pic:cNvPicPr>
                            <a:picLocks noChangeArrowheads="1" noChangeAspect="1"/>
                          </pic:cNvPicPr>
                        </pic:nvPicPr>
                        <pic:blipFill>
                          <a:blip r:embed="rId45"/>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Seagrass changes over time in Tampa Bay for (a) areal coverage 1988 - 2022 from mapping and (b) frequency occurrence of major species 1998 - 2022 from annual transect monitoring. Changes are shown for major bay segments. Red lines in (a) show approximate capacity of seagrass coverage based on the baywide target of 40,000 acres. OTB: Old Tampa Bay, HB: Hillsborough Bay, MTB: Middle Tampa Bay, LTB: Lower Tampa Bay.</w:t>
            </w:r>
          </w:p>
          <w:bookmarkEnd w:id="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fig-concept"/>
          <w:p>
            <w:pPr>
              <w:pStyle w:val="Compact"/>
              <w:jc w:val="center"/>
            </w:pPr>
            <w:r>
              <w:drawing>
                <wp:inline>
                  <wp:extent cx="4905519" cy="5002796"/>
                  <wp:effectExtent b="0" l="0" r="0" t="0"/>
                  <wp:docPr descr="" title="" id="50" name="Picture"/>
                  <a:graphic>
                    <a:graphicData uri="http://schemas.openxmlformats.org/drawingml/2006/picture">
                      <pic:pic>
                        <pic:nvPicPr>
                          <pic:cNvPr descr="figs/concept.png" id="51" name="Picture"/>
                          <pic:cNvPicPr>
                            <a:picLocks noChangeArrowheads="1" noChangeAspect="1"/>
                          </pic:cNvPicPr>
                        </pic:nvPicPr>
                        <pic:blipFill>
                          <a:blip r:embed="rId49"/>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 demonstrating a two-dimensional niche space for temperature and salinity. Tampa Bay is trending towards the bottom right.</w:t>
            </w:r>
          </w:p>
          <w:bookmarkEnd w:id="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6" w:name="fig-meteowqraw"/>
          <w:p>
            <w:pPr>
              <w:pStyle w:val="Compact"/>
              <w:jc w:val="center"/>
            </w:pPr>
            <w:r>
              <w:drawing>
                <wp:inline>
                  <wp:extent cx="5943600" cy="6368142"/>
                  <wp:effectExtent b="0" l="0" r="0" t="0"/>
                  <wp:docPr descr="" title="" id="54" name="Picture"/>
                  <a:graphic>
                    <a:graphicData uri="http://schemas.openxmlformats.org/drawingml/2006/picture">
                      <pic:pic>
                        <pic:nvPicPr>
                          <pic:cNvPr descr="figs/meteowqraw.png" id="55" name="Picture"/>
                          <pic:cNvPicPr>
                            <a:picLocks noChangeArrowheads="1" noChangeAspect="1"/>
                          </pic:cNvPicPr>
                        </pic:nvPicPr>
                        <pic:blipFill>
                          <a:blip r:embed="rId53"/>
                          <a:stretch>
                            <a:fillRect/>
                          </a:stretch>
                        </pic:blipFill>
                        <pic:spPr bwMode="auto">
                          <a:xfrm>
                            <a:off x="0" y="0"/>
                            <a:ext cx="5943600" cy="63681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0" w:name="fig-kendall"/>
          <w:p>
            <w:pPr>
              <w:pStyle w:val="Compact"/>
              <w:jc w:val="center"/>
            </w:pPr>
            <w:r>
              <w:drawing>
                <wp:inline>
                  <wp:extent cx="5943600" cy="2815389"/>
                  <wp:effectExtent b="0" l="0" r="0" t="0"/>
                  <wp:docPr descr="" title="" id="58" name="Picture"/>
                  <a:graphic>
                    <a:graphicData uri="http://schemas.openxmlformats.org/drawingml/2006/picture">
                      <pic:pic>
                        <pic:nvPicPr>
                          <pic:cNvPr descr="figs/kendall.png" id="59" name="Picture"/>
                          <pic:cNvPicPr>
                            <a:picLocks noChangeArrowheads="1" noChangeAspect="1"/>
                          </pic:cNvPicPr>
                        </pic:nvPicPr>
                        <pic:blipFill>
                          <a:blip r:embed="rId57"/>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percent of stations in each bay segment with significant increasing (temperature) or decreasing (salinity) trends. Bay segment outlines are shown in (a); OTB: Old Tampa Bay, HB: Hillsborough Bay, MTB: Middle Tampa Bay, LTB: Lower Tampa Bay.</w:t>
            </w:r>
          </w:p>
          <w:bookmarkEnd w:id="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4" w:name="fig-mixeff"/>
          <w:p>
            <w:pPr>
              <w:pStyle w:val="Compact"/>
              <w:jc w:val="center"/>
            </w:pPr>
            <w:r>
              <w:drawing>
                <wp:inline>
                  <wp:extent cx="5943600" cy="5094514"/>
                  <wp:effectExtent b="0" l="0" r="0" t="0"/>
                  <wp:docPr descr="" title="" id="62" name="Picture"/>
                  <a:graphic>
                    <a:graphicData uri="http://schemas.openxmlformats.org/drawingml/2006/picture">
                      <pic:pic>
                        <pic:nvPicPr>
                          <pic:cNvPr descr="figs/mixeff.png" id="63" name="Picture"/>
                          <pic:cNvPicPr>
                            <a:picLocks noChangeArrowheads="1" noChangeAspect="1"/>
                          </pic:cNvPicPr>
                        </pic:nvPicPr>
                        <pic:blipFill>
                          <a:blip r:embed="rId61"/>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psu,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for significant models are shown in the bottom left of each facet. OTB: Old Tampa Bay, HB: Hillsborough Bay, MTB: Middle Tampa Bay, LTB: Lower Tampa Bay.</w:t>
            </w:r>
          </w:p>
          <w:bookmarkEnd w:id="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8" w:name="fig-sgmod"/>
          <w:p>
            <w:pPr>
              <w:pStyle w:val="Compact"/>
              <w:jc w:val="center"/>
            </w:pPr>
            <w:r>
              <w:drawing>
                <wp:inline>
                  <wp:extent cx="5943600" cy="5094514"/>
                  <wp:effectExtent b="0" l="0" r="0" t="0"/>
                  <wp:docPr descr="" title="" id="66" name="Picture"/>
                  <a:graphic>
                    <a:graphicData uri="http://schemas.openxmlformats.org/drawingml/2006/picture">
                      <pic:pic>
                        <pic:nvPicPr>
                          <pic:cNvPr descr="figs/sgmods.png" id="67" name="Picture"/>
                          <pic:cNvPicPr>
                            <a:picLocks noChangeArrowheads="1" noChangeAspect="1"/>
                          </pic:cNvPicPr>
                        </pic:nvPicPr>
                        <pic:blipFill>
                          <a:blip r:embed="rId6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changes versus temperature or salinity predictors for the (a) EPC and (b) FIM datasets. Results are shown only for OTB, although the shape of the relationships do not change between bay segments. The predictors for (a) were the number of days when temperature was above the threshold and the number of days when salinity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8"/>
        </w:tc>
      </w:tr>
    </w:tbl>
    <w:p>
      <w:r>
        <w:br w:type="page"/>
      </w:r>
    </w:p>
    <w:bookmarkEnd w:id="69"/>
    <w:bookmarkStart w:id="74"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0" w:name="tbl-temptrndtab"/>
          <w:p>
            <w:pPr>
              <w:jc w:val="center"/>
            </w:pPr>
            <w:pPr>
              <w:jc w:val="start"/>
              <w:spacing w:before="200"/>
              <w:pStyle w:val="Imag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23.2</w:t>
                  </w:r>
                </w:p>
              </w:tc>
              <w:tc>
                <w:tcPr/>
                <w:p>
                  <w:pPr>
                    <w:pStyle w:val="Compact"/>
                    <w:jc w:val="right"/>
                    <w:jc w:val="center"/>
                  </w:pPr>
                  <w:r>
                    <w:t xml:space="preserve">25.2</w:t>
                  </w:r>
                </w:p>
              </w:tc>
              <w:tc>
                <w:tcPr/>
                <w:p>
                  <w:pPr>
                    <w:pStyle w:val="Compact"/>
                    <w:jc w:val="right"/>
                    <w:jc w:val="center"/>
                  </w:pPr>
                  <w:r>
                    <w:t xml:space="preserve">2.0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23.3</w:t>
                  </w:r>
                </w:p>
              </w:tc>
              <w:tc>
                <w:tcPr/>
                <w:p>
                  <w:pPr>
                    <w:pStyle w:val="Compact"/>
                    <w:jc w:val="right"/>
                    <w:jc w:val="center"/>
                  </w:pPr>
                  <w:r>
                    <w:t xml:space="preserve">24.9</w:t>
                  </w:r>
                </w:p>
              </w:tc>
              <w:tc>
                <w:tcPr/>
                <w:p>
                  <w:pPr>
                    <w:pStyle w:val="Compact"/>
                    <w:jc w:val="right"/>
                    <w:jc w:val="center"/>
                  </w:pPr>
                  <w:r>
                    <w:t xml:space="preserve">1.6</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23.5</w:t>
                  </w:r>
                </w:p>
              </w:tc>
              <w:tc>
                <w:tcPr/>
                <w:p>
                  <w:pPr>
                    <w:pStyle w:val="Compact"/>
                    <w:jc w:val="right"/>
                    <w:jc w:val="center"/>
                  </w:pPr>
                  <w:r>
                    <w:t xml:space="preserve">24.7</w:t>
                  </w:r>
                </w:p>
              </w:tc>
              <w:tc>
                <w:tcPr/>
                <w:p>
                  <w:pPr>
                    <w:pStyle w:val="Compact"/>
                    <w:jc w:val="right"/>
                    <w:jc w:val="center"/>
                  </w:pPr>
                  <w:r>
                    <w:t xml:space="preserve">1.2</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0.04</w:t>
                  </w:r>
                </w:p>
              </w:tc>
              <w:tc>
                <w:tcPr/>
                <w:p>
                  <w:pPr>
                    <w:pStyle w:val="Compact"/>
                    <w:jc w:val="right"/>
                    <w:jc w:val="center"/>
                  </w:pPr>
                  <w:r>
                    <w:t xml:space="preserve">24.1</w:t>
                  </w:r>
                </w:p>
              </w:tc>
              <w:tc>
                <w:tcPr/>
                <w:p>
                  <w:pPr>
                    <w:pStyle w:val="Compact"/>
                    <w:jc w:val="right"/>
                    <w:jc w:val="center"/>
                  </w:pPr>
                  <w:r>
                    <w:t xml:space="preserve">25.0</w:t>
                  </w:r>
                </w:p>
              </w:tc>
              <w:tc>
                <w:tcPr/>
                <w:p>
                  <w:pPr>
                    <w:pStyle w:val="Compact"/>
                    <w:jc w:val="right"/>
                    <w:jc w:val="center"/>
                  </w:pPr>
                  <w:r>
                    <w:t xml:space="preserve">0.9</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24.0</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24.0</w:t>
                  </w:r>
                </w:p>
              </w:tc>
              <w:tc>
                <w:tcPr/>
                <w:p>
                  <w:pPr>
                    <w:pStyle w:val="Compact"/>
                    <w:jc w:val="right"/>
                    <w:jc w:val="center"/>
                  </w:pPr>
                  <w:r>
                    <w:t xml:space="preserve">24.6</w:t>
                  </w:r>
                </w:p>
              </w:tc>
              <w:tc>
                <w:tcPr/>
                <w:p>
                  <w:pPr>
                    <w:pStyle w:val="Compact"/>
                    <w:jc w:val="right"/>
                    <w:jc w:val="center"/>
                  </w:pPr>
                  <w:r>
                    <w:t xml:space="preserve">0.6</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23.6</w:t>
                  </w:r>
                </w:p>
              </w:tc>
              <w:tc>
                <w:tcPr/>
                <w:p>
                  <w:pPr>
                    <w:pStyle w:val="Compact"/>
                    <w:jc w:val="right"/>
                    <w:jc w:val="center"/>
                  </w:pPr>
                  <w:r>
                    <w:t xml:space="preserve">24.9</w:t>
                  </w:r>
                </w:p>
              </w:tc>
              <w:tc>
                <w:tcPr/>
                <w:p>
                  <w:pPr>
                    <w:pStyle w:val="Compact"/>
                    <w:jc w:val="right"/>
                    <w:jc w:val="center"/>
                  </w:pPr>
                  <w:r>
                    <w:t xml:space="preserve">1.3</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0.05</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w:t>
                  </w:r>
                </w:p>
              </w:tc>
              <w:tc>
                <w:tcPr/>
                <w:p>
                  <w:pPr>
                    <w:pStyle w:val="Compact"/>
                    <w:jc w:val="right"/>
                    <w:jc w:val="center"/>
                  </w:pPr>
                  <w:r>
                    <w:t xml:space="preserve">23.7</w:t>
                  </w:r>
                </w:p>
              </w:tc>
              <w:tc>
                <w:tcPr/>
                <w:p>
                  <w:pPr>
                    <w:pStyle w:val="Compact"/>
                    <w:jc w:val="right"/>
                    <w:jc w:val="center"/>
                  </w:pPr>
                  <w:r>
                    <w:t xml:space="preserve">25.4</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1" w:name="tbl-saltrndtab"/>
          <w:p>
            <w:pPr>
              <w:jc w:val="center"/>
            </w:pPr>
            <w:pPr>
              <w:jc w:val="start"/>
              <w:spacing w:before="200"/>
              <w:pStyle w:val="ImageCaption"/>
            </w:pPr>
            <w:r>
              <w:t xml:space="preserve">Table 2: Bottom salinity trends (ppt) by bay segments and datasets. Start year describes the range of the trend test to the present year (2022). The starting value is the estimated salinity at the start year and the end value is the estimated salinity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25.8</w:t>
                  </w:r>
                </w:p>
              </w:tc>
              <w:tc>
                <w:tcPr/>
                <w:p>
                  <w:pPr>
                    <w:pStyle w:val="Compact"/>
                    <w:jc w:val="right"/>
                    <w:jc w:val="center"/>
                  </w:pPr>
                  <w:r>
                    <w:t xml:space="preserve">23.1</w:t>
                  </w:r>
                </w:p>
              </w:tc>
              <w:tc>
                <w:tcPr/>
                <w:p>
                  <w:pPr>
                    <w:pStyle w:val="Compact"/>
                    <w:jc w:val="right"/>
                    <w:jc w:val="center"/>
                  </w:pPr>
                  <w:r>
                    <w:t xml:space="preserve">-2.7</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-0.02</w:t>
                  </w:r>
                </w:p>
              </w:tc>
              <w:tc>
                <w:tcPr/>
                <w:p>
                  <w:pPr>
                    <w:pStyle w:val="Compact"/>
                    <w:jc w:val="right"/>
                    <w:jc w:val="center"/>
                  </w:pPr>
                  <w:r>
                    <w:t xml:space="preserve">25.6</w:t>
                  </w:r>
                </w:p>
              </w:tc>
              <w:tc>
                <w:tcPr/>
                <w:p>
                  <w:pPr>
                    <w:pStyle w:val="Compact"/>
                    <w:jc w:val="right"/>
                    <w:jc w:val="center"/>
                  </w:pPr>
                  <w:r>
                    <w:t xml:space="preserve">24.6</w:t>
                  </w:r>
                </w:p>
              </w:tc>
              <w:tc>
                <w:tcPr/>
                <w:p>
                  <w:pPr>
                    <w:pStyle w:val="Compact"/>
                    <w:jc w:val="right"/>
                    <w:jc w:val="center"/>
                  </w:pPr>
                  <w:r>
                    <w:t xml:space="preserve">-1.0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28.2</w:t>
                  </w:r>
                </w:p>
              </w:tc>
              <w:tc>
                <w:tcPr/>
                <w:p>
                  <w:pPr>
                    <w:pStyle w:val="Compact"/>
                    <w:jc w:val="right"/>
                    <w:jc w:val="center"/>
                  </w:pPr>
                  <w:r>
                    <w:t xml:space="preserve">26.6</w:t>
                  </w:r>
                </w:p>
              </w:tc>
              <w:tc>
                <w:tcPr/>
                <w:p>
                  <w:pPr>
                    <w:pStyle w:val="Compact"/>
                    <w:jc w:val="right"/>
                    <w:jc w:val="center"/>
                  </w:pPr>
                  <w:r>
                    <w:t xml:space="preserve">-1.6</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33.4</w:t>
                  </w:r>
                </w:p>
              </w:tc>
              <w:tc>
                <w:tcPr/>
                <w:p>
                  <w:pPr>
                    <w:pStyle w:val="Compact"/>
                    <w:jc w:val="right"/>
                    <w:jc w:val="center"/>
                  </w:pPr>
                  <w:r>
                    <w:t xml:space="preserve">31.3</w:t>
                  </w:r>
                </w:p>
              </w:tc>
              <w:tc>
                <w:tcPr/>
                <w:p>
                  <w:pPr>
                    <w:pStyle w:val="Compact"/>
                    <w:jc w:val="right"/>
                    <w:jc w:val="center"/>
                  </w:pPr>
                  <w:r>
                    <w:t xml:space="preserve">-2.1</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w:t>
                  </w:r>
                </w:p>
              </w:tc>
              <w:tc>
                <w:tcPr/>
                <w:p>
                  <w:pPr>
                    <w:pStyle w:val="Compact"/>
                    <w:jc w:val="right"/>
                    <w:jc w:val="center"/>
                  </w:pPr>
                  <w:r>
                    <w:t xml:space="preserve">24.1</w:t>
                  </w:r>
                </w:p>
              </w:tc>
              <w:tc>
                <w:tcPr/>
                <w:p>
                  <w:pPr>
                    <w:pStyle w:val="Compact"/>
                    <w:jc w:val="right"/>
                    <w:jc w:val="center"/>
                  </w:pPr>
                  <w:r>
                    <w:t xml:space="preserve">22.6</w:t>
                  </w:r>
                </w:p>
              </w:tc>
              <w:tc>
                <w:tcPr/>
                <w:p>
                  <w:pPr>
                    <w:pStyle w:val="Compact"/>
                    <w:jc w:val="right"/>
                    <w:jc w:val="center"/>
                  </w:pPr>
                  <w:r>
                    <w:t xml:space="preserve">-1.5</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w:t>
                  </w:r>
                </w:p>
              </w:tc>
              <w:tc>
                <w:tcPr/>
                <w:p>
                  <w:pPr>
                    <w:pStyle w:val="Compact"/>
                    <w:jc w:val="right"/>
                    <w:jc w:val="center"/>
                  </w:pPr>
                  <w:r>
                    <w:t xml:space="preserve">24.0</w:t>
                  </w:r>
                </w:p>
              </w:tc>
              <w:tc>
                <w:tcPr/>
                <w:p>
                  <w:pPr>
                    <w:pStyle w:val="Compact"/>
                    <w:jc w:val="right"/>
                    <w:jc w:val="center"/>
                  </w:pPr>
                  <w:r>
                    <w:t xml:space="preserve">24.0</w:t>
                  </w:r>
                </w:p>
              </w:tc>
              <w:tc>
                <w:tcPr/>
                <w:p>
                  <w:pPr>
                    <w:pStyle w:val="Compact"/>
                    <w:jc w:val="right"/>
                    <w:jc w:val="center"/>
                  </w:pPr>
                  <w:r>
                    <w:t xml:space="preserve">0.0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w:t>
                  </w:r>
                </w:p>
              </w:tc>
              <w:tc>
                <w:tcPr/>
                <w:p>
                  <w:pPr>
                    <w:pStyle w:val="Compact"/>
                    <w:jc w:val="right"/>
                    <w:jc w:val="center"/>
                  </w:pPr>
                  <w:r>
                    <w:t xml:space="preserve">24.7</w:t>
                  </w:r>
                </w:p>
              </w:tc>
              <w:tc>
                <w:tcPr/>
                <w:p>
                  <w:pPr>
                    <w:pStyle w:val="Compact"/>
                    <w:jc w:val="right"/>
                    <w:jc w:val="center"/>
                  </w:pPr>
                  <w:r>
                    <w:t xml:space="preserve">21.9</w:t>
                  </w:r>
                </w:p>
              </w:tc>
              <w:tc>
                <w:tcPr/>
                <w:p>
                  <w:pPr>
                    <w:pStyle w:val="Compact"/>
                    <w:jc w:val="right"/>
                    <w:jc w:val="center"/>
                  </w:pPr>
                  <w:r>
                    <w:t xml:space="preserve">-2.8</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w:t>
                  </w:r>
                </w:p>
              </w:tc>
              <w:tc>
                <w:tcPr/>
                <w:p>
                  <w:pPr>
                    <w:pStyle w:val="Compact"/>
                    <w:jc w:val="right"/>
                    <w:jc w:val="center"/>
                  </w:pPr>
                  <w:r>
                    <w:t xml:space="preserve">24.8</w:t>
                  </w:r>
                </w:p>
              </w:tc>
              <w:tc>
                <w:tcPr/>
                <w:p>
                  <w:pPr>
                    <w:pStyle w:val="Compact"/>
                    <w:jc w:val="right"/>
                    <w:jc w:val="center"/>
                  </w:pPr>
                  <w:r>
                    <w:t xml:space="preserve">23.4</w:t>
                  </w:r>
                </w:p>
              </w:tc>
              <w:tc>
                <w:tcPr/>
                <w:p>
                  <w:pPr>
                    <w:pStyle w:val="Compact"/>
                    <w:jc w:val="right"/>
                    <w:jc w:val="center"/>
                  </w:pPr>
                  <w:r>
                    <w:t xml:space="preserve">-1.4</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w:t>
                  </w:r>
                </w:p>
              </w:tc>
              <w:tc>
                <w:tcPr/>
                <w:p>
                  <w:pPr>
                    <w:pStyle w:val="Compact"/>
                    <w:jc w:val="right"/>
                    <w:jc w:val="center"/>
                  </w:pPr>
                  <w:r>
                    <w:t xml:space="preserve">27.2</w:t>
                  </w:r>
                </w:p>
              </w:tc>
              <w:tc>
                <w:tcPr/>
                <w:p>
                  <w:pPr>
                    <w:pStyle w:val="Compact"/>
                    <w:jc w:val="right"/>
                    <w:jc w:val="center"/>
                  </w:pPr>
                  <w:r>
                    <w:t xml:space="preserve">25.2</w:t>
                  </w:r>
                </w:p>
              </w:tc>
              <w:tc>
                <w:tcPr/>
                <w:p>
                  <w:pPr>
                    <w:pStyle w:val="Compact"/>
                    <w:jc w:val="right"/>
                    <w:jc w:val="center"/>
                  </w:pPr>
                  <w:r>
                    <w:t xml:space="preserve">-2.0</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71"/>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2" w:name="tbl-mixdaytab"/>
          <w:p>
            <w:pPr>
              <w:jc w:val="center"/>
            </w:pPr>
            <w:pPr>
              <w:jc w:val="start"/>
              <w:spacing w:before="200"/>
              <w:pStyle w:val="Imag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1.04**</w:t>
                  </w:r>
                </w:p>
              </w:tc>
              <w:tc>
                <w:tcPr/>
                <w:p>
                  <w:pPr>
                    <w:pStyle w:val="Compact"/>
                    <w:jc w:val="left"/>
                    <w:jc w:val="center"/>
                  </w:pPr>
                  <w:r>
                    <w:t xml:space="preserve">8 (3.3)</w:t>
                  </w:r>
                </w:p>
              </w:tc>
              <w:tc>
                <w:tcPr/>
                <w:p>
                  <w:pPr>
                    <w:pStyle w:val="Compact"/>
                    <w:jc w:val="left"/>
                    <w:jc w:val="center"/>
                  </w:pPr>
                  <w:r>
                    <w:t xml:space="preserve">56 (3.3)</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1.96**</w:t>
                  </w:r>
                </w:p>
              </w:tc>
              <w:tc>
                <w:tcPr/>
                <w:p>
                  <w:pPr>
                    <w:pStyle w:val="Compact"/>
                    <w:jc w:val="left"/>
                    <w:jc w:val="center"/>
                  </w:pPr>
                  <w:r>
                    <w:t xml:space="preserve">128 (13.2)</w:t>
                  </w:r>
                </w:p>
              </w:tc>
              <w:tc>
                <w:tcPr/>
                <w:p>
                  <w:pPr>
                    <w:pStyle w:val="Compact"/>
                    <w:jc w:val="left"/>
                    <w:jc w:val="center"/>
                  </w:pPr>
                  <w:r>
                    <w:t xml:space="preserve">219 (13.2)</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0 (2.8)</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1.01**</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0.86*</w:t>
                  </w:r>
                </w:p>
              </w:tc>
              <w:tc>
                <w:tcPr/>
                <w:p>
                  <w:pPr>
                    <w:pStyle w:val="Compact"/>
                    <w:jc w:val="left"/>
                    <w:jc w:val="center"/>
                  </w:pPr>
                  <w:r>
                    <w:t xml:space="preserve">131 (12.5)</w:t>
                  </w:r>
                </w:p>
              </w:tc>
              <w:tc>
                <w:tcPr/>
                <w:p>
                  <w:pPr>
                    <w:pStyle w:val="Compact"/>
                    <w:jc w:val="left"/>
                    <w:jc w:val="center"/>
                  </w:pPr>
                  <w:r>
                    <w:t xml:space="preserve">171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0.8**</w:t>
                  </w:r>
                </w:p>
              </w:tc>
              <w:tc>
                <w:tcPr/>
                <w:p>
                  <w:pPr>
                    <w:pStyle w:val="Compact"/>
                    <w:jc w:val="left"/>
                    <w:jc w:val="center"/>
                  </w:pPr>
                  <w:r>
                    <w:t xml:space="preserve">-2 (2.8)</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9 (3.1)</w:t>
                  </w:r>
                </w:p>
              </w:tc>
              <w:tc>
                <w:tcPr/>
                <w:p>
                  <w:pPr>
                    <w:pStyle w:val="Compact"/>
                    <w:jc w:val="left"/>
                    <w:jc w:val="center"/>
                  </w:pPr>
                  <w:r>
                    <w:t xml:space="preserve">57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0.67**</w:t>
                  </w:r>
                </w:p>
              </w:tc>
              <w:tc>
                <w:tcPr/>
                <w:p>
                  <w:pPr>
                    <w:pStyle w:val="Compact"/>
                    <w:jc w:val="left"/>
                    <w:jc w:val="center"/>
                  </w:pPr>
                  <w:r>
                    <w:t xml:space="preserve">51 (11)</w:t>
                  </w:r>
                </w:p>
              </w:tc>
              <w:tc>
                <w:tcPr/>
                <w:p>
                  <w:pPr>
                    <w:pStyle w:val="Compact"/>
                    <w:jc w:val="left"/>
                    <w:jc w:val="center"/>
                  </w:pPr>
                  <w:r>
                    <w:t xml:space="preserve">82 (11)</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0.92**</w:t>
                  </w:r>
                </w:p>
              </w:tc>
              <w:tc>
                <w:tcPr/>
                <w:p>
                  <w:pPr>
                    <w:pStyle w:val="Compact"/>
                    <w:jc w:val="left"/>
                    <w:jc w:val="center"/>
                  </w:pPr>
                  <w:r>
                    <w:t xml:space="preserve">21 (3.5)</w:t>
                  </w:r>
                </w:p>
              </w:tc>
              <w:tc>
                <w:tcPr/>
                <w:p>
                  <w:pPr>
                    <w:pStyle w:val="Compact"/>
                    <w:jc w:val="left"/>
                    <w:jc w:val="center"/>
                  </w:pPr>
                  <w:r>
                    <w:t xml:space="preserve">63 (3.5)</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-0.06</w:t>
                  </w:r>
                </w:p>
              </w:tc>
              <w:tc>
                <w:tcPr/>
                <w:p>
                  <w:pPr>
                    <w:pStyle w:val="Compact"/>
                    <w:jc w:val="left"/>
                    <w:jc w:val="center"/>
                  </w:pPr>
                  <w:r>
                    <w:t xml:space="preserve">4 (1.3)</w:t>
                  </w:r>
                </w:p>
              </w:tc>
              <w:tc>
                <w:tcPr/>
                <w:p>
                  <w:pPr>
                    <w:pStyle w:val="Compact"/>
                    <w:jc w:val="left"/>
                    <w:jc w:val="center"/>
                  </w:pPr>
                  <w:r>
                    <w:t xml:space="preserve">1 (1.3)</w:t>
                  </w:r>
                </w:p>
              </w:tc>
            </w:tr>
            <w:tr>
              <w:tc>
                <w:tcPr/>
                <w:p>
                  <w:pPr>
                    <w:pStyle w:val="Compact"/>
                  </w:pPr>
                </w:p>
              </w:tc>
              <w:tc>
                <w:tcPr/>
                <w:p>
                  <w:pPr>
                    <w:pStyle w:val="Compact"/>
                    <w:jc w:val="left"/>
                    <w:jc w:val="center"/>
                  </w:pPr>
                  <w:r>
                    <w:t xml:space="preserve">Both</w:t>
                  </w:r>
                </w:p>
              </w:tc>
              <w:tc>
                <w:tcPr/>
                <w:p>
                  <w:pPr>
                    <w:pStyle w:val="Compact"/>
                    <w:jc w:val="left"/>
                    <w:jc w:val="center"/>
                  </w:pPr>
                  <w:r>
                    <w:t xml:space="preserve">0</w:t>
                  </w:r>
                </w:p>
              </w:tc>
              <w:tc>
                <w:tcPr/>
                <w:p>
                  <w:pPr>
                    <w:pStyle w:val="Compact"/>
                    <w:jc w:val="left"/>
                    <w:jc w:val="center"/>
                  </w:pPr>
                  <w:r>
                    <w:t xml:space="preserve">0 (0)</w:t>
                  </w:r>
                </w:p>
              </w:tc>
              <w:tc>
                <w:tcPr/>
                <w:p>
                  <w:pPr>
                    <w:pStyle w:val="Compact"/>
                    <w:jc w:val="left"/>
                    <w:jc w:val="center"/>
                  </w:pPr>
                  <w:r>
                    <w:t xml:space="preserve">0 (0)</w:t>
                  </w:r>
                </w:p>
              </w:tc>
            </w:tr>
          </w:tbl>
          <w:bookmarkEnd w:id="72"/>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3" w:name="tbl-modtab"/>
          <w:p>
            <w:pPr>
              <w:jc w:val="center"/>
            </w:pPr>
            <w:pPr>
              <w:jc w:val="start"/>
              <w:spacing w:before="200"/>
              <w:pStyle w:val="Imag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Model</w:t>
                  </w:r>
                </w:p>
              </w:tc>
              <w:tc>
                <w:tcPr/>
                <w:p>
                  <w:pPr>
                    <w:pStyle w:val="Compact"/>
                    <w:jc w:val="left"/>
                    <w:jc w:val="center"/>
                  </w:pPr>
                  <w:r>
                    <w:t xml:space="preserve">Term</w:t>
                  </w:r>
                </w:p>
              </w:tc>
              <w:tc>
                <w:tcPr/>
                <w:p>
                  <w:pPr>
                    <w:pStyle w:val="Compact"/>
                    <w:jc w:val="left"/>
                    <w:jc w:val="center"/>
                  </w:pPr>
                  <w:r>
                    <w:t xml:space="preserve">Estimate</w:t>
                  </w:r>
                </w:p>
              </w:tc>
              <w:tc>
                <w:tcPr/>
                <w:p>
                  <w:pPr>
                    <w:pStyle w:val="Compact"/>
                    <w:jc w:val="left"/>
                    <w:jc w:val="center"/>
                  </w:pPr>
                  <w:r>
                    <w:t xml:space="preserve">t-statistic</w:t>
                  </w:r>
                </w:p>
              </w:tc>
            </w:tr>
            <w:tr>
              <w:tc>
                <w:tcPr/>
                <w:p>
                  <w:pPr>
                    <w:pStyle w:val="Compact"/>
                    <w:jc w:val="left"/>
                    <w:jc w:val="center"/>
                  </w:pPr>
                  <w:r>
                    <w:t xml:space="preserve">EPC 1</w:t>
                  </w:r>
                </w:p>
              </w:tc>
              <w:tc>
                <w:tcPr/>
                <w:p>
                  <w:pPr>
                    <w:pStyle w:val="Compact"/>
                    <w:jc w:val="left"/>
                    <w:jc w:val="center"/>
                  </w:pPr>
                  <w:r>
                    <w:t xml:space="preserve">Sal</w:t>
                  </w:r>
                </w:p>
              </w:tc>
              <w:tc>
                <w:tcPr/>
                <w:p>
                  <w:pPr>
                    <w:pStyle w:val="Compact"/>
                    <w:jc w:val="left"/>
                    <w:jc w:val="center"/>
                  </w:pPr>
                  <w:r>
                    <w:t xml:space="preserve">0.00069 (0.00037)</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w:t>
                  </w:r>
                </w:p>
              </w:tc>
              <w:tc>
                <w:tcPr/>
                <w:p>
                  <w:pPr>
                    <w:pStyle w:val="Compact"/>
                    <w:jc w:val="left"/>
                    <w:jc w:val="center"/>
                  </w:pPr>
                  <w:r>
                    <w:t xml:space="preserve">0.0035 (0.0013)</w:t>
                  </w:r>
                </w:p>
              </w:tc>
              <w:tc>
                <w:tcPr/>
                <w:p>
                  <w:pPr>
                    <w:pStyle w:val="Compact"/>
                    <w:jc w:val="left"/>
                    <w:jc w:val="center"/>
                  </w:pPr>
                  <w:r>
                    <w:t xml:space="preserve">2.6*</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0.48 (0.28)</w:t>
                  </w:r>
                </w:p>
              </w:tc>
              <w:tc>
                <w:tcPr/>
                <w:p>
                  <w:pPr>
                    <w:pStyle w:val="Compact"/>
                    <w:jc w:val="left"/>
                    <w:jc w:val="center"/>
                  </w:pPr>
                  <w:r>
                    <w:t xml:space="preserve">1.7</w:t>
                  </w:r>
                  <m:oMath>
                    <m:sSup>
                      <m:e>
                        <m:r>
                          <m:t>​</m:t>
                        </m:r>
                      </m:e>
                      <m:sup>
                        <m:r>
                          <m:rPr>
                            <m:sty m:val="p"/>
                          </m:rPr>
                          <m:t>.</m:t>
                        </m:r>
                      </m:sup>
                    </m:sSup>
                  </m:oMath>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-0.39 (0.042)</w:t>
                  </w:r>
                </w:p>
              </w:tc>
              <w:tc>
                <w:tcPr/>
                <w:p>
                  <w:pPr>
                    <w:pStyle w:val="Compact"/>
                    <w:jc w:val="left"/>
                    <w:jc w:val="center"/>
                  </w:pPr>
                  <w:r>
                    <w:t xml:space="preserve">-9.3**</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-0.12 (0.047)</w:t>
                  </w:r>
                </w:p>
              </w:tc>
              <w:tc>
                <w:tcPr/>
                <w:p>
                  <w:pPr>
                    <w:pStyle w:val="Compact"/>
                    <w:jc w:val="left"/>
                    <w:jc w:val="center"/>
                  </w:pPr>
                  <w:r>
                    <w:t xml:space="preserve">-2.6*</w:t>
                  </w:r>
                </w:p>
              </w:tc>
            </w:tr>
            <w:tr>
              <w:tc>
                <w:tcPr/>
                <w:p>
                  <w:pPr>
                    <w:pStyle w:val="Compact"/>
                  </w:pPr>
                </w:p>
              </w:tc>
              <w:tc>
                <w:tcPr/>
                <w:p>
                  <w:pPr>
                    <w:pStyle w:val="Compact"/>
                    <w:jc w:val="left"/>
                    <w:jc w:val="center"/>
                  </w:pPr>
                  <w:r>
                    <w:t xml:space="preserve">Sal:Temp</w:t>
                  </w:r>
                </w:p>
              </w:tc>
              <w:tc>
                <w:tcPr/>
                <w:p>
                  <w:pPr>
                    <w:pStyle w:val="Compact"/>
                    <w:jc w:val="left"/>
                    <w:jc w:val="center"/>
                  </w:pPr>
                  <w:r>
                    <w:t xml:space="preserve">-1.3e-05 (7.5e-06)</w:t>
                  </w:r>
                </w:p>
              </w:tc>
              <w:tc>
                <w:tcPr/>
                <w:p>
                  <w:pPr>
                    <w:pStyle w:val="Compact"/>
                    <w:jc w:val="left"/>
                    <w:jc w:val="center"/>
                  </w:pPr>
                  <w:r>
                    <w:t xml:space="preserve">-1.7</w:t>
                  </w:r>
                  <m:oMath>
                    <m:sSup>
                      <m:e>
                        <m:r>
                          <m:t>​</m:t>
                        </m:r>
                      </m:e>
                      <m:sup>
                        <m:r>
                          <m:rPr>
                            <m:sty m:val="p"/>
                          </m:rPr>
                          <m:t>.</m:t>
                        </m:r>
                      </m:sup>
                    </m:sSup>
                  </m:oMath>
                </w:p>
              </w:tc>
            </w:tr>
            <w:tr>
              <w:tc>
                <w:tcPr/>
                <w:p>
                  <w:pPr>
                    <w:pStyle w:val="Compact"/>
                  </w:pPr>
                </w:p>
              </w:tc>
              <w:tc>
                <w:tcPr/>
                <w:p>
                  <w:pPr>
                    <w:pStyle w:val="Compact"/>
                    <w:jc w:val="left"/>
                    <w:jc w:val="center"/>
                  </w:pPr>
                  <w:r>
                    <w:t xml:space="preserve">Sal:Time_post</w:t>
                  </w:r>
                </w:p>
              </w:tc>
              <w:tc>
                <w:tcPr/>
                <w:p>
                  <w:pPr>
                    <w:pStyle w:val="Compact"/>
                    <w:jc w:val="left"/>
                    <w:jc w:val="center"/>
                  </w:pPr>
                  <w:r>
                    <w:t xml:space="preserve">-0.0027 (0.0015)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-0.0056 (0.0052)</w:t>
                  </w:r>
                </w:p>
              </w:tc>
              <w:tc>
                <w:tcPr/>
                <w:p>
                  <w:pPr>
                    <w:pStyle w:val="Compact"/>
                    <w:jc w:val="left"/>
                    <w:jc w:val="center"/>
                  </w:pPr>
                  <w:r>
                    <w:t xml:space="preserve">-1.1</w:t>
                  </w:r>
                </w:p>
              </w:tc>
            </w:tr>
            <w:tr>
              <w:tc>
                <w:tcPr/>
                <w:p>
                  <w:pPr>
                    <w:pStyle w:val="Compact"/>
                  </w:pPr>
                </w:p>
              </w:tc>
              <w:tc>
                <w:tcPr/>
                <w:p>
                  <w:pPr>
                    <w:pStyle w:val="Compact"/>
                    <w:jc w:val="left"/>
                    <w:jc w:val="center"/>
                  </w:pPr>
                  <w:r>
                    <w:t xml:space="preserve">Sal:Temp:Time_post</w:t>
                  </w:r>
                </w:p>
              </w:tc>
              <w:tc>
                <w:tcPr/>
                <w:p>
                  <w:pPr>
                    <w:pStyle w:val="Compact"/>
                    <w:jc w:val="left"/>
                    <w:jc w:val="center"/>
                  </w:pPr>
                  <w:r>
                    <w:t xml:space="preserve">3.6e-05 (2.6e-05)</w:t>
                  </w:r>
                </w:p>
              </w:tc>
              <w:tc>
                <w:tcPr/>
                <w:p>
                  <w:pPr>
                    <w:pStyle w:val="Compact"/>
                    <w:jc w:val="left"/>
                    <w:jc w:val="center"/>
                  </w:pPr>
                  <w:r>
                    <w:t xml:space="preserve">1.4</w:t>
                  </w:r>
                </w:p>
              </w:tc>
            </w:tr>
            <w:tr>
              <w:tc>
                <w:tcPr/>
                <w:p>
                  <w:pPr>
                    <w:pStyle w:val="Compact"/>
                    <w:jc w:val="left"/>
                    <w:jc w:val="center"/>
                  </w:pPr>
                  <w:r>
                    <w:t xml:space="preserve">EPC 2</w:t>
                  </w:r>
                </w:p>
              </w:tc>
              <w:tc>
                <w:tcPr/>
                <w:p>
                  <w:pPr>
                    <w:pStyle w:val="Compact"/>
                    <w:jc w:val="left"/>
                    <w:jc w:val="center"/>
                  </w:pPr>
                  <w:r>
                    <w:t xml:space="preserve">Both</w:t>
                  </w:r>
                </w:p>
              </w:tc>
              <w:tc>
                <w:tcPr/>
                <w:p>
                  <w:pPr>
                    <w:pStyle w:val="Compact"/>
                    <w:jc w:val="left"/>
                    <w:jc w:val="center"/>
                  </w:pPr>
                  <w:r>
                    <w:t xml:space="preserve">0.0028 (0.00082)</w:t>
                  </w:r>
                </w:p>
              </w:tc>
              <w:tc>
                <w:tcPr/>
                <w:p>
                  <w:pPr>
                    <w:pStyle w:val="Compact"/>
                    <w:jc w:val="left"/>
                    <w:jc w:val="center"/>
                  </w:pPr>
                  <w:r>
                    <w:t xml:space="preserve">3.4**</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0.059 (0.039)</w:t>
                  </w:r>
                </w:p>
              </w:tc>
              <w:tc>
                <w:tcPr/>
                <w:p>
                  <w:pPr>
                    <w:pStyle w:val="Compact"/>
                    <w:jc w:val="left"/>
                    <w:jc w:val="center"/>
                  </w:pPr>
                  <w:r>
                    <w:t xml:space="preserve">1.5</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-0.38 (0.04)</w:t>
                  </w:r>
                </w:p>
              </w:tc>
              <w:tc>
                <w:tcPr/>
                <w:p>
                  <w:pPr>
                    <w:pStyle w:val="Compact"/>
                    <w:jc w:val="left"/>
                    <w:jc w:val="center"/>
                  </w:pPr>
                  <w:r>
                    <w:t xml:space="preserve">-9.4**</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-0.062 (0.042)</w:t>
                  </w:r>
                </w:p>
              </w:tc>
              <w:tc>
                <w:tcPr/>
                <w:p>
                  <w:pPr>
                    <w:pStyle w:val="Compact"/>
                    <w:jc w:val="left"/>
                    <w:jc w:val="center"/>
                  </w:pPr>
                  <w:r>
                    <w:t xml:space="preserve">-1.5</w:t>
                  </w:r>
                </w:p>
              </w:tc>
            </w:tr>
            <w:tr>
              <w:tc>
                <w:tcPr/>
                <w:p>
                  <w:pPr>
                    <w:pStyle w:val="Compact"/>
                    <w:jc w:val="left"/>
                    <w:jc w:val="center"/>
                  </w:pPr>
                  <w:r>
                    <w:t xml:space="preserve">FIM</w:t>
                  </w:r>
                </w:p>
              </w:tc>
              <w:tc>
                <w:tcPr/>
                <w:p>
                  <w:pPr>
                    <w:pStyle w:val="Compact"/>
                    <w:jc w:val="left"/>
                    <w:jc w:val="center"/>
                  </w:pPr>
                  <w:r>
                    <w:t xml:space="preserve">Sal</w:t>
                  </w:r>
                </w:p>
              </w:tc>
              <w:tc>
                <w:tcPr/>
                <w:p>
                  <w:pPr>
                    <w:pStyle w:val="Compact"/>
                    <w:jc w:val="left"/>
                    <w:jc w:val="center"/>
                  </w:pPr>
                  <w:r>
                    <w:t xml:space="preserve">0.043 (0.22)</w:t>
                  </w:r>
                </w:p>
              </w:tc>
              <w:tc>
                <w:tcPr/>
                <w:p>
                  <w:pPr>
                    <w:pStyle w:val="Compact"/>
                    <w:jc w:val="left"/>
                    <w:jc w:val="center"/>
                  </w:pPr>
                  <w:r>
                    <w:t xml:space="preserve">0.2</w:t>
                  </w:r>
                </w:p>
              </w:tc>
            </w:tr>
            <w:tr>
              <w:tc>
                <w:tcPr/>
                <w:p>
                  <w:pPr>
                    <w:pStyle w:val="Compact"/>
                  </w:pPr>
                </w:p>
              </w:tc>
              <w:tc>
                <w:tcPr/>
                <w:p>
                  <w:pPr>
                    <w:pStyle w:val="Compact"/>
                    <w:jc w:val="left"/>
                    <w:jc w:val="center"/>
                  </w:pPr>
                  <w:r>
                    <w:t xml:space="preserve">Temp</w:t>
                  </w:r>
                </w:p>
              </w:tc>
              <w:tc>
                <w:tcPr/>
                <w:p>
                  <w:pPr>
                    <w:pStyle w:val="Compact"/>
                    <w:jc w:val="left"/>
                    <w:jc w:val="center"/>
                  </w:pPr>
                  <w:r>
                    <w:t xml:space="preserve">0.052 (0.42)</w:t>
                  </w:r>
                </w:p>
              </w:tc>
              <w:tc>
                <w:tcPr/>
                <w:p>
                  <w:pPr>
                    <w:pStyle w:val="Compact"/>
                    <w:jc w:val="left"/>
                    <w:jc w:val="center"/>
                  </w:pPr>
                  <w:r>
                    <w:t xml:space="preserve">0.12</w:t>
                  </w:r>
                </w:p>
              </w:tc>
            </w:tr>
            <w:tr>
              <w:tc>
                <w:tcPr/>
                <w:p>
                  <w:pPr>
                    <w:pStyle w:val="Compact"/>
                  </w:pPr>
                </w:p>
              </w:tc>
              <w:tc>
                <w:tcPr/>
                <w:p>
                  <w:pPr>
                    <w:pStyle w:val="Compact"/>
                    <w:jc w:val="left"/>
                    <w:jc w:val="center"/>
                  </w:pPr>
                  <w:r>
                    <w:t xml:space="preserve">Time_post</w:t>
                  </w:r>
                </w:p>
              </w:tc>
              <w:tc>
                <w:tcPr/>
                <w:p>
                  <w:pPr>
                    <w:pStyle w:val="Compact"/>
                    <w:jc w:val="left"/>
                    <w:jc w:val="center"/>
                  </w:pPr>
                  <w:r>
                    <w:t xml:space="preserve">52 ( 32)</w:t>
                  </w:r>
                </w:p>
              </w:tc>
              <w:tc>
                <w:tcPr/>
                <w:p>
                  <w:pPr>
                    <w:pStyle w:val="Compact"/>
                    <w:jc w:val="left"/>
                    <w:jc w:val="center"/>
                  </w:pPr>
                  <w:r>
                    <w:t xml:space="preserve">1.6</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33 (2.5)</w:t>
                  </w:r>
                </w:p>
              </w:tc>
              <w:tc>
                <w:tcPr/>
                <w:p>
                  <w:pPr>
                    <w:pStyle w:val="Compact"/>
                    <w:jc w:val="left"/>
                    <w:jc w:val="center"/>
                  </w:pPr>
                  <w:r>
                    <w:t xml:space="preserve">13**</w:t>
                  </w:r>
                </w:p>
              </w:tc>
            </w:tr>
            <w:tr>
              <w:tc>
                <w:tcPr/>
                <w:p>
                  <w:pPr>
                    <w:pStyle w:val="Compact"/>
                  </w:pPr>
                </w:p>
              </w:tc>
              <w:tc>
                <w:tcPr/>
                <w:p>
                  <w:pPr>
                    <w:pStyle w:val="Compact"/>
                    <w:jc w:val="left"/>
                    <w:jc w:val="center"/>
                  </w:pPr>
                  <w:r>
                    <w:t xml:space="preserve">Baysegment_OTB</w:t>
                  </w:r>
                </w:p>
              </w:tc>
              <w:tc>
                <w:tcPr/>
                <w:p>
                  <w:pPr>
                    <w:pStyle w:val="Compact"/>
                    <w:jc w:val="left"/>
                    <w:jc w:val="center"/>
                  </w:pPr>
                  <w:r>
                    <w:t xml:space="preserve">28 (2.2)</w:t>
                  </w:r>
                </w:p>
              </w:tc>
              <w:tc>
                <w:tcPr/>
                <w:p>
                  <w:pPr>
                    <w:pStyle w:val="Compact"/>
                    <w:jc w:val="left"/>
                    <w:jc w:val="center"/>
                  </w:pPr>
                  <w:r>
                    <w:t xml:space="preserve">13**</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0.93 (0.5)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-2.4 (1.1)</w:t>
                  </w:r>
                </w:p>
              </w:tc>
              <w:tc>
                <w:tcPr/>
                <w:p>
                  <w:pPr>
                    <w:pStyle w:val="Compact"/>
                    <w:jc w:val="left"/>
                    <w:jc w:val="center"/>
                  </w:pPr>
                  <w:r>
                    <w:t xml:space="preserve">-2.2*</w:t>
                  </w:r>
                </w:p>
              </w:tc>
            </w:tr>
            <w:tr>
              <w:tc>
                <w:tcPr/>
                <w:p>
                  <w:pPr>
                    <w:pStyle w:val="Compact"/>
                    <w:jc w:val="left"/>
                    <w:jc w:val="center"/>
                  </w:pPr>
                  <w:r>
                    <w:t xml:space="preserve">PDEM</w:t>
                  </w:r>
                </w:p>
              </w:tc>
              <w:tc>
                <w:tcPr/>
                <w:p>
                  <w:pPr>
                    <w:pStyle w:val="Compact"/>
                    <w:jc w:val="left"/>
                    <w:jc w:val="center"/>
                  </w:pPr>
                  <w:r>
                    <w:t xml:space="preserve">Time_post</w:t>
                  </w:r>
                </w:p>
              </w:tc>
              <w:tc>
                <w:tcPr/>
                <w:p>
                  <w:pPr>
                    <w:pStyle w:val="Compact"/>
                    <w:jc w:val="left"/>
                    <w:jc w:val="center"/>
                  </w:pPr>
                  <w:r>
                    <w:t xml:space="preserve">-0.45 (0.24)</w:t>
                  </w:r>
                </w:p>
              </w:tc>
              <w:tc>
                <w:tcPr/>
                <w:p>
                  <w:pPr>
                    <w:pStyle w:val="Compact"/>
                    <w:jc w:val="left"/>
                    <w:jc w:val="center"/>
                  </w:pPr>
                  <w:r>
                    <w:t xml:space="preserve">-1.8</w:t>
                  </w:r>
                  <m:oMath>
                    <m:sSup>
                      <m:e>
                        <m:r>
                          <m:t>​</m:t>
                        </m:r>
                      </m:e>
                      <m:sup>
                        <m:r>
                          <m:rPr>
                            <m:sty m:val="p"/>
                          </m:rPr>
                          <m:t>.</m:t>
                        </m:r>
                      </m:sup>
                    </m:sSup>
                  </m:oMath>
                </w:p>
              </w:tc>
            </w:tr>
          </w:tbl>
          <w:bookmarkEnd w:id="73"/>
          <w:p/>
        </w:tc>
      </w:tr>
    </w:tbl>
    <w:p>
      <w:r>
        <w:br w:type="page"/>
      </w:r>
    </w:p>
    <w:bookmarkEnd w:id="74"/>
    <w:bookmarkStart w:id="257" w:name="references"/>
    <w:p>
      <w:pPr>
        <w:pStyle w:val="Heading2"/>
      </w:pPr>
      <w:r>
        <w:t xml:space="preserve">References</w:t>
      </w:r>
    </w:p>
    <w:bookmarkStart w:id="256" w:name="refs"/>
    <w:bookmarkStart w:id="76"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5">
        <w:r>
          <w:rPr>
            <w:rStyle w:val="Hyperlink"/>
          </w:rPr>
          <w:t xml:space="preserve">https://doi.org/10.1016/j.ocecoaman.2023.106929</w:t>
        </w:r>
      </w:hyperlink>
      <w:r>
        <w:t xml:space="preserve">.</w:t>
      </w:r>
    </w:p>
    <w:bookmarkEnd w:id="76"/>
    <w:bookmarkStart w:id="78"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77">
        <w:r>
          <w:rPr>
            <w:rStyle w:val="Hyperlink"/>
          </w:rPr>
          <w:t xml:space="preserve">https://doi.org/10.18637/jss.v067.i01</w:t>
        </w:r>
      </w:hyperlink>
      <w:r>
        <w:t xml:space="preserve">.</w:t>
      </w:r>
    </w:p>
    <w:bookmarkEnd w:id="78"/>
    <w:bookmarkStart w:id="80" w:name="ref-Beck20a"/>
    <w:p>
      <w:pPr>
        <w:pStyle w:val="Bibliography"/>
      </w:pPr>
      <w:r>
        <w:t xml:space="preserve">Beck, M. W. 2020a.</w:t>
      </w:r>
      <w:r>
        <w:t xml:space="preserve"> </w:t>
      </w:r>
      <w:r>
        <w:t xml:space="preserve">t</w:t>
      </w:r>
      <w:r>
        <w:t xml:space="preserve">bep-tech/wq-dash: v1.0 (version v1.0). Zenodo.</w:t>
      </w:r>
      <w:r>
        <w:t xml:space="preserve"> </w:t>
      </w:r>
      <w:hyperlink r:id="rId79">
        <w:r>
          <w:rPr>
            <w:rStyle w:val="Hyperlink"/>
          </w:rPr>
          <w:t xml:space="preserve">https://doi.org/10.5281/zenodo.3648664</w:t>
        </w:r>
      </w:hyperlink>
      <w:r>
        <w:t xml:space="preserve">.</w:t>
      </w:r>
    </w:p>
    <w:bookmarkEnd w:id="80"/>
    <w:bookmarkStart w:id="82" w:name="ref-Beck20b"/>
    <w:p>
      <w:pPr>
        <w:pStyle w:val="Bibliography"/>
      </w:pPr>
      <w:r>
        <w:t xml:space="preserve">Beck, M. W. 2020b.</w:t>
      </w:r>
      <w:r>
        <w:t xml:space="preserve"> </w:t>
      </w:r>
      <w:r>
        <w:t xml:space="preserve">t</w:t>
      </w:r>
      <w:r>
        <w:t xml:space="preserve">bep-tech/seagrasstransect-dash: v1.0 (version v1.0). Zenodo.</w:t>
      </w:r>
      <w:r>
        <w:t xml:space="preserve"> </w:t>
      </w:r>
      <w:hyperlink r:id="rId81">
        <w:r>
          <w:rPr>
            <w:rStyle w:val="Hyperlink"/>
          </w:rPr>
          <w:t xml:space="preserve">https://doi.org/10.5281/zenodo.4319936</w:t>
        </w:r>
      </w:hyperlink>
      <w:r>
        <w:t xml:space="preserve">.</w:t>
      </w:r>
    </w:p>
    <w:bookmarkEnd w:id="82"/>
    <w:bookmarkStart w:id="84"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83">
        <w:r>
          <w:rPr>
            <w:rStyle w:val="Hyperlink"/>
          </w:rPr>
          <w:t xml:space="preserve">https://doi.org/10.1016/j.marpolbul.2022.113598</w:t>
        </w:r>
      </w:hyperlink>
      <w:r>
        <w:t xml:space="preserve">.</w:t>
      </w:r>
    </w:p>
    <w:bookmarkEnd w:id="84"/>
    <w:bookmarkStart w:id="86"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85">
        <w:r>
          <w:rPr>
            <w:rStyle w:val="Hyperlink"/>
          </w:rPr>
          <w:t xml:space="preserve">https://doi.org/10.3389/fevo.2023.1070266</w:t>
        </w:r>
      </w:hyperlink>
      <w:r>
        <w:t xml:space="preserve">.</w:t>
      </w:r>
    </w:p>
    <w:bookmarkEnd w:id="86"/>
    <w:bookmarkStart w:id="88"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87">
        <w:r>
          <w:rPr>
            <w:rStyle w:val="Hyperlink"/>
          </w:rPr>
          <w:t xml:space="preserve">https://doi.org/10.21105/joss.03485</w:t>
        </w:r>
      </w:hyperlink>
      <w:r>
        <w:t xml:space="preserve">.</w:t>
      </w:r>
    </w:p>
    <w:bookmarkEnd w:id="88"/>
    <w:bookmarkStart w:id="90"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89">
        <w:r>
          <w:rPr>
            <w:rStyle w:val="Hyperlink"/>
          </w:rPr>
          <w:t xml:space="preserve">https://doi.org/10.1007/s12237-019-00619-w</w:t>
        </w:r>
      </w:hyperlink>
      <w:r>
        <w:t xml:space="preserve">.</w:t>
      </w:r>
    </w:p>
    <w:bookmarkEnd w:id="90"/>
    <w:bookmarkStart w:id="92" w:name="ref-begueria23"/>
    <w:p>
      <w:pPr>
        <w:pStyle w:val="Bibliography"/>
      </w:pPr>
      <w:r>
        <w:t xml:space="preserve">Beguería, S., and S. M. Vicente-Serrano. 2023.</w:t>
      </w:r>
      <w:r>
        <w:t xml:space="preserve"> </w:t>
      </w:r>
      <w:hyperlink r:id="rId91">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92"/>
    <w:bookmarkStart w:id="94"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93">
        <w:r>
          <w:rPr>
            <w:rStyle w:val="Hyperlink"/>
          </w:rPr>
          <w:t xml:space="preserve">https://doi.org/10.1002/joc.3887</w:t>
        </w:r>
      </w:hyperlink>
      <w:r>
        <w:t xml:space="preserve">.</w:t>
      </w:r>
    </w:p>
    <w:bookmarkEnd w:id="94"/>
    <w:bookmarkStart w:id="96"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95">
        <w:r>
          <w:rPr>
            <w:rStyle w:val="Hyperlink"/>
          </w:rPr>
          <w:t xml:space="preserve">https://doi.org/10.3354/meps147277</w:t>
        </w:r>
      </w:hyperlink>
      <w:r>
        <w:t xml:space="preserve">.</w:t>
      </w:r>
    </w:p>
    <w:bookmarkEnd w:id="96"/>
    <w:bookmarkStart w:id="98" w:name="ref-blakesley2001"/>
    <w:p>
      <w:pPr>
        <w:pStyle w:val="Bibliography"/>
      </w:pPr>
      <w:r>
        <w:t xml:space="preserve">Blakesley, B., P. Hall, D. Berns, J. Hyniova, M. Merello, and R. Conroy. 2001.</w:t>
      </w:r>
      <w:r>
        <w:t xml:space="preserve"> </w:t>
      </w:r>
      <w:hyperlink r:id="rId97">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98"/>
    <w:bookmarkStart w:id="100"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99">
        <w:r>
          <w:rPr>
            <w:rStyle w:val="Hyperlink"/>
          </w:rPr>
          <w:t xml:space="preserve">https://doi.org/10.2134/jeq2001.302303x</w:t>
        </w:r>
      </w:hyperlink>
      <w:r>
        <w:t xml:space="preserve">.</w:t>
      </w:r>
    </w:p>
    <w:bookmarkEnd w:id="100"/>
    <w:bookmarkStart w:id="102"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01">
        <w:r>
          <w:rPr>
            <w:rStyle w:val="Hyperlink"/>
          </w:rPr>
          <w:t xml:space="preserve">https://doi.org/10.1111/1365-2664.13169</w:t>
        </w:r>
      </w:hyperlink>
      <w:r>
        <w:t xml:space="preserve">.</w:t>
      </w:r>
    </w:p>
    <w:bookmarkEnd w:id="102"/>
    <w:bookmarkStart w:id="104"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03">
        <w:r>
          <w:rPr>
            <w:rStyle w:val="Hyperlink"/>
          </w:rPr>
          <w:t xml:space="preserve">https://doi.org/10.1016/j.ecolind.2023.111035</w:t>
        </w:r>
      </w:hyperlink>
      <w:r>
        <w:t xml:space="preserve">.</w:t>
      </w:r>
    </w:p>
    <w:bookmarkEnd w:id="104"/>
    <w:bookmarkStart w:id="106"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05">
        <w:r>
          <w:rPr>
            <w:rStyle w:val="Hyperlink"/>
          </w:rPr>
          <w:t xml:space="preserve">https://doi.org/10.2307/1352383</w:t>
        </w:r>
      </w:hyperlink>
      <w:r>
        <w:t xml:space="preserve">.</w:t>
      </w:r>
    </w:p>
    <w:bookmarkEnd w:id="106"/>
    <w:bookmarkStart w:id="108"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07">
        <w:r>
          <w:rPr>
            <w:rStyle w:val="Hyperlink"/>
          </w:rPr>
          <w:t xml:space="preserve">https://doi.org/10.1016/j.jembe.2007.06.024</w:t>
        </w:r>
      </w:hyperlink>
      <w:r>
        <w:t xml:space="preserve">.</w:t>
      </w:r>
    </w:p>
    <w:bookmarkEnd w:id="108"/>
    <w:bookmarkStart w:id="110" w:name="ref-chamberlain23"/>
    <w:p>
      <w:pPr>
        <w:pStyle w:val="Bibliography"/>
      </w:pPr>
      <w:r>
        <w:t xml:space="preserve">Chamberlain, S., and D. Hocking. 2023.</w:t>
      </w:r>
      <w:r>
        <w:t xml:space="preserve"> </w:t>
      </w:r>
      <w:hyperlink r:id="rId109">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10"/>
    <w:bookmarkStart w:id="112"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11">
        <w:r>
          <w:rPr>
            <w:rStyle w:val="Hyperlink"/>
          </w:rPr>
          <w:t xml:space="preserve">https://doi.org/10.1016/j.ocecoaman.2023.106490</w:t>
        </w:r>
      </w:hyperlink>
      <w:r>
        <w:t xml:space="preserve">.</w:t>
      </w:r>
    </w:p>
    <w:bookmarkEnd w:id="112"/>
    <w:bookmarkStart w:id="114"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13">
        <w:r>
          <w:rPr>
            <w:rStyle w:val="Hyperlink"/>
          </w:rPr>
          <w:t xml:space="preserve">https://doi.org/10.1016/j.jenvman.2018.01.025</w:t>
        </w:r>
      </w:hyperlink>
      <w:r>
        <w:t xml:space="preserve">.</w:t>
      </w:r>
    </w:p>
    <w:bookmarkEnd w:id="114"/>
    <w:bookmarkStart w:id="116"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15">
        <w:r>
          <w:rPr>
            <w:rStyle w:val="Hyperlink"/>
          </w:rPr>
          <w:t xml:space="preserve">https://doi.org/10.1080/00785236.1995.10422039</w:t>
        </w:r>
      </w:hyperlink>
      <w:r>
        <w:t xml:space="preserve">.</w:t>
      </w:r>
    </w:p>
    <w:bookmarkEnd w:id="116"/>
    <w:bookmarkStart w:id="118"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17">
        <w:r>
          <w:rPr>
            <w:rStyle w:val="Hyperlink"/>
          </w:rPr>
          <w:t xml:space="preserve">https://doi.org/10.1007/s12237-008-9038-7</w:t>
        </w:r>
      </w:hyperlink>
      <w:r>
        <w:t xml:space="preserve">.</w:t>
      </w:r>
    </w:p>
    <w:bookmarkEnd w:id="118"/>
    <w:bookmarkStart w:id="120"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19">
        <w:r>
          <w:rPr>
            <w:rStyle w:val="Hyperlink"/>
          </w:rPr>
          <w:t xml:space="preserve">https://doi.org/10.3389/fpls.2021.612947</w:t>
        </w:r>
      </w:hyperlink>
      <w:r>
        <w:t xml:space="preserve">.</w:t>
      </w:r>
    </w:p>
    <w:bookmarkEnd w:id="120"/>
    <w:bookmarkStart w:id="122"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21">
        <w:r>
          <w:rPr>
            <w:rStyle w:val="Hyperlink"/>
          </w:rPr>
          <w:t xml:space="preserve">https://doi.org/10.1111/gcb.15684</w:t>
        </w:r>
      </w:hyperlink>
      <w:r>
        <w:t xml:space="preserve">.</w:t>
      </w:r>
    </w:p>
    <w:bookmarkEnd w:id="122"/>
    <w:bookmarkStart w:id="124"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23">
        <w:r>
          <w:rPr>
            <w:rStyle w:val="Hyperlink"/>
          </w:rPr>
          <w:t xml:space="preserve">https://doi.org/10.1111/conl.12938</w:t>
        </w:r>
      </w:hyperlink>
      <w:r>
        <w:t xml:space="preserve">.</w:t>
      </w:r>
    </w:p>
    <w:bookmarkEnd w:id="124"/>
    <w:bookmarkStart w:id="126"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25">
        <w:r>
          <w:rPr>
            <w:rStyle w:val="Hyperlink"/>
          </w:rPr>
          <w:t xml:space="preserve">https://doi.org/10.1038/ngeo1477</w:t>
        </w:r>
      </w:hyperlink>
      <w:r>
        <w:t xml:space="preserve">.</w:t>
      </w:r>
    </w:p>
    <w:bookmarkEnd w:id="126"/>
    <w:bookmarkStart w:id="128"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27">
        <w:r>
          <w:rPr>
            <w:rStyle w:val="Hyperlink"/>
          </w:rPr>
          <w:t xml:space="preserve">https://doi.org/10.1016/j.marpolbul.2010.11.017</w:t>
        </w:r>
      </w:hyperlink>
      <w:r>
        <w:t xml:space="preserve">.</w:t>
      </w:r>
    </w:p>
    <w:bookmarkEnd w:id="128"/>
    <w:bookmarkStart w:id="130"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29">
        <w:r>
          <w:rPr>
            <w:rStyle w:val="Hyperlink"/>
          </w:rPr>
          <w:t xml:space="preserve">https://doi.org/10.1007/s00267-005-0079-4</w:t>
        </w:r>
      </w:hyperlink>
      <w:r>
        <w:t xml:space="preserve">.</w:t>
      </w:r>
    </w:p>
    <w:bookmarkEnd w:id="130"/>
    <w:bookmarkStart w:id="132"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31">
        <w:r>
          <w:rPr>
            <w:rStyle w:val="Hyperlink"/>
          </w:rPr>
          <w:t xml:space="preserve">https://doi.org/10.1016/j.ecss.2014.10.003</w:t>
        </w:r>
      </w:hyperlink>
      <w:r>
        <w:t xml:space="preserve">.</w:t>
      </w:r>
    </w:p>
    <w:bookmarkEnd w:id="132"/>
    <w:bookmarkStart w:id="134"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33">
        <w:r>
          <w:rPr>
            <w:rStyle w:val="Hyperlink"/>
          </w:rPr>
          <w:t xml:space="preserve">https://doi.org/10.3389/fmars.2022.767440</w:t>
        </w:r>
      </w:hyperlink>
      <w:r>
        <w:t xml:space="preserve">.</w:t>
      </w:r>
    </w:p>
    <w:bookmarkEnd w:id="134"/>
    <w:bookmarkStart w:id="136" w:name="ref-hall1999"/>
    <w:p>
      <w:pPr>
        <w:pStyle w:val="Bibliography"/>
      </w:pPr>
      <w:r>
        <w:t xml:space="preserve">Hall, Margaret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35">
        <w:r>
          <w:rPr>
            <w:rStyle w:val="Hyperlink"/>
          </w:rPr>
          <w:t xml:space="preserve">https://doi.org/10.2307/1353210</w:t>
        </w:r>
      </w:hyperlink>
      <w:r>
        <w:t xml:space="preserve">.</w:t>
      </w:r>
    </w:p>
    <w:bookmarkEnd w:id="136"/>
    <w:bookmarkStart w:id="138" w:name="ref-hall2016"/>
    <w:p>
      <w:pPr>
        <w:pStyle w:val="Bibliography"/>
      </w:pPr>
      <w:r>
        <w:t xml:space="preserve">Hall, Margaret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37">
        <w:r>
          <w:rPr>
            <w:rStyle w:val="Hyperlink"/>
          </w:rPr>
          <w:t xml:space="preserve">https://doi.org/10.3354/meps11923</w:t>
        </w:r>
      </w:hyperlink>
      <w:r>
        <w:t xml:space="preserve">.</w:t>
      </w:r>
    </w:p>
    <w:bookmarkEnd w:id="138"/>
    <w:bookmarkStart w:id="140"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39">
        <w:r>
          <w:rPr>
            <w:rStyle w:val="Hyperlink"/>
          </w:rPr>
          <w:t xml:space="preserve">https://doi.org/10.1007/s11802-014-2471-2</w:t>
        </w:r>
      </w:hyperlink>
      <w:r>
        <w:t xml:space="preserve">.</w:t>
      </w:r>
    </w:p>
    <w:bookmarkEnd w:id="140"/>
    <w:bookmarkStart w:id="142"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41">
        <w:r>
          <w:rPr>
            <w:rStyle w:val="Hyperlink"/>
          </w:rPr>
          <w:t xml:space="preserve">https://doi.org/10.1073/pnas.2220678120</w:t>
        </w:r>
      </w:hyperlink>
      <w:r>
        <w:t xml:space="preserve">.</w:t>
      </w:r>
    </w:p>
    <w:bookmarkEnd w:id="142"/>
    <w:bookmarkStart w:id="144"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43">
        <w:r>
          <w:rPr>
            <w:rStyle w:val="Hyperlink"/>
          </w:rPr>
          <w:t xml:space="preserve">https://doi.org/10.1029/wr018i001p00107</w:t>
        </w:r>
      </w:hyperlink>
      <w:r>
        <w:t xml:space="preserve">.</w:t>
      </w:r>
    </w:p>
    <w:bookmarkEnd w:id="144"/>
    <w:bookmarkStart w:id="146"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45">
        <w:r>
          <w:rPr>
            <w:rStyle w:val="Hyperlink"/>
          </w:rPr>
          <w:t xml:space="preserve">https://doi.org/10.1101/sqb.1957.022.01.039</w:t>
        </w:r>
      </w:hyperlink>
      <w:r>
        <w:t xml:space="preserve">.</w:t>
      </w:r>
    </w:p>
    <w:bookmarkEnd w:id="146"/>
    <w:bookmarkStart w:id="148" w:name="ref-tbep0696"/>
    <w:p>
      <w:pPr>
        <w:pStyle w:val="Bibliography"/>
      </w:pPr>
      <w:r>
        <w:t xml:space="preserve">Janicki, A. J., and D. L. Wade. 1996.</w:t>
      </w:r>
      <w:r>
        <w:t xml:space="preserve"> </w:t>
      </w:r>
      <w:hyperlink r:id="rId147">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48"/>
    <w:bookmarkStart w:id="150" w:name="ref-jei2022"/>
    <w:p>
      <w:pPr>
        <w:pStyle w:val="Bibliography"/>
      </w:pPr>
      <w:r>
        <w:t xml:space="preserve">Janicki Environmental, Inc. 2022.</w:t>
      </w:r>
      <w:r>
        <w:t xml:space="preserve"> </w:t>
      </w:r>
      <w:hyperlink r:id="rId149">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50"/>
    <w:bookmarkStart w:id="152" w:name="ref-tbep0623"/>
    <w:p>
      <w:pPr>
        <w:pStyle w:val="Bibliography"/>
      </w:pPr>
      <w:r>
        <w:t xml:space="preserve">Janicki Environmental, Inc. 2023.</w:t>
      </w:r>
      <w:r>
        <w:t xml:space="preserve"> </w:t>
      </w:r>
      <w:hyperlink r:id="rId151">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52"/>
    <w:bookmarkStart w:id="154" w:name="ref-tbep0816"/>
    <w:p>
      <w:pPr>
        <w:pStyle w:val="Bibliography"/>
      </w:pPr>
      <w:r>
        <w:t xml:space="preserve">Johansson, J. O. R. 2016.</w:t>
      </w:r>
      <w:r>
        <w:t xml:space="preserve"> </w:t>
      </w:r>
      <w:hyperlink r:id="rId153">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54"/>
    <w:bookmarkStart w:id="156" w:name="ref-johansson15"/>
    <w:p>
      <w:pPr>
        <w:pStyle w:val="Bibliography"/>
      </w:pPr>
      <w:r>
        <w:t xml:space="preserve">Johansson, J. O. R., and Janicki Environmental, Inc. 2015.</w:t>
      </w:r>
      <w:r>
        <w:t xml:space="preserve"> </w:t>
      </w:r>
      <w:hyperlink r:id="rId155">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56"/>
    <w:bookmarkStart w:id="158"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57">
        <w:r>
          <w:rPr>
            <w:rStyle w:val="Hyperlink"/>
          </w:rPr>
          <w:t xml:space="preserve">https://doi.org/10.1073/pnas.1715798115</w:t>
        </w:r>
      </w:hyperlink>
      <w:r>
        <w:t xml:space="preserve">.</w:t>
      </w:r>
    </w:p>
    <w:bookmarkEnd w:id="158"/>
    <w:bookmarkStart w:id="160"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59">
        <w:r>
          <w:rPr>
            <w:rStyle w:val="Hyperlink"/>
          </w:rPr>
          <w:t xml:space="preserve">https://doi.org/10.1111/gcb.13623</w:t>
        </w:r>
      </w:hyperlink>
      <w:r>
        <w:t xml:space="preserve">.</w:t>
      </w:r>
    </w:p>
    <w:bookmarkEnd w:id="160"/>
    <w:bookmarkStart w:id="162" w:name="ref-lewis1985"/>
    <w:p>
      <w:pPr>
        <w:pStyle w:val="Bibliography"/>
      </w:pPr>
      <w:r>
        <w:t xml:space="preserve">Lewis III, R. R., M. Durako, M. Moffler, and R. Phillips. 1985.</w:t>
      </w:r>
      <w:r>
        <w:t xml:space="preserve"> </w:t>
      </w:r>
      <w:hyperlink r:id="rId161">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62"/>
    <w:bookmarkStart w:id="164"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63">
        <w:r>
          <w:rPr>
            <w:rStyle w:val="Hyperlink"/>
          </w:rPr>
          <w:t xml:space="preserve">https://doi.org/10.1007/bf02691700</w:t>
        </w:r>
      </w:hyperlink>
      <w:r>
        <w:t xml:space="preserve">.</w:t>
      </w:r>
    </w:p>
    <w:bookmarkEnd w:id="164"/>
    <w:bookmarkStart w:id="166"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65">
        <w:r>
          <w:rPr>
            <w:rStyle w:val="Hyperlink"/>
          </w:rPr>
          <w:t xml:space="preserve">https://doi.org/10.1016/j.ecss.2022.108134</w:t>
        </w:r>
      </w:hyperlink>
      <w:r>
        <w:t xml:space="preserve">.</w:t>
      </w:r>
    </w:p>
    <w:bookmarkEnd w:id="166"/>
    <w:bookmarkStart w:id="168" w:name="ref-lopez2021"/>
    <w:p>
      <w:pPr>
        <w:pStyle w:val="Bibliography"/>
      </w:pPr>
      <w:r>
        <w:t xml:space="preserve">Lopez, C. B., S. Shankar, S. G. Kaminski, M. Garrett, and K. A. Hubbard. 2021.</w:t>
      </w:r>
      <w:r>
        <w:t xml:space="preserve"> </w:t>
      </w:r>
      <w:hyperlink r:id="rId167">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68"/>
    <w:bookmarkStart w:id="169"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69"/>
    <w:bookmarkStart w:id="171" w:name="ref-luther2022"/>
    <w:p>
      <w:pPr>
        <w:pStyle w:val="Bibliography"/>
      </w:pPr>
      <w:r>
        <w:t xml:space="preserve">Luther, M. E., and S. D. Meyers. 2022.</w:t>
      </w:r>
      <w:r>
        <w:t xml:space="preserve"> </w:t>
      </w:r>
      <w:hyperlink r:id="rId170">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71"/>
    <w:bookmarkStart w:id="173"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72">
        <w:r>
          <w:rPr>
            <w:rStyle w:val="Hyperlink"/>
          </w:rPr>
          <w:t xml:space="preserve">https://doi.org/10.1016/j.seares.2012.03.002</w:t>
        </w:r>
      </w:hyperlink>
      <w:r>
        <w:t xml:space="preserve">.</w:t>
      </w:r>
    </w:p>
    <w:bookmarkEnd w:id="173"/>
    <w:bookmarkStart w:id="175"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174">
        <w:r>
          <w:rPr>
            <w:rStyle w:val="Hyperlink"/>
          </w:rPr>
          <w:t xml:space="preserve">https://doi.org/10.1111/brv.12294</w:t>
        </w:r>
      </w:hyperlink>
      <w:r>
        <w:t xml:space="preserve">.</w:t>
      </w:r>
    </w:p>
    <w:bookmarkEnd w:id="175"/>
    <w:bookmarkStart w:id="177"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76">
        <w:r>
          <w:rPr>
            <w:rStyle w:val="Hyperlink"/>
          </w:rPr>
          <w:t xml:space="preserve">https://doi.org/10.2307/1932688</w:t>
        </w:r>
      </w:hyperlink>
      <w:r>
        <w:t xml:space="preserve">.</w:t>
      </w:r>
    </w:p>
    <w:bookmarkEnd w:id="177"/>
    <w:bookmarkStart w:id="179" w:name="ref-millard13"/>
    <w:p>
      <w:pPr>
        <w:pStyle w:val="Bibliography"/>
      </w:pPr>
      <w:r>
        <w:t xml:space="preserve">Millard, S. P. 2013.</w:t>
      </w:r>
      <w:r>
        <w:t xml:space="preserve"> </w:t>
      </w:r>
      <w:hyperlink r:id="rId178">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179"/>
    <w:bookmarkStart w:id="181"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180">
        <w:r>
          <w:rPr>
            <w:rStyle w:val="Hyperlink"/>
          </w:rPr>
          <w:t xml:space="preserve">https://doi.org/10.1002/lno.10789</w:t>
        </w:r>
      </w:hyperlink>
      <w:r>
        <w:t xml:space="preserve">.</w:t>
      </w:r>
    </w:p>
    <w:bookmarkEnd w:id="181"/>
    <w:bookmarkStart w:id="183"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182">
        <w:r>
          <w:rPr>
            <w:rStyle w:val="Hyperlink"/>
          </w:rPr>
          <w:t xml:space="preserve">https://doi.org/10.1007/bf02798652</w:t>
        </w:r>
      </w:hyperlink>
      <w:r>
        <w:t xml:space="preserve">.</w:t>
      </w:r>
    </w:p>
    <w:bookmarkEnd w:id="183"/>
    <w:bookmarkStart w:id="185"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184">
        <w:r>
          <w:rPr>
            <w:rStyle w:val="Hyperlink"/>
          </w:rPr>
          <w:t xml:space="preserve">https://doi.org/10.1016/j.dsr2.2023.105321</w:t>
        </w:r>
      </w:hyperlink>
      <w:r>
        <w:t xml:space="preserve">.</w:t>
      </w:r>
    </w:p>
    <w:bookmarkEnd w:id="185"/>
    <w:bookmarkStart w:id="187"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186">
        <w:r>
          <w:rPr>
            <w:rStyle w:val="Hyperlink"/>
          </w:rPr>
          <w:t xml:space="preserve">https://doi.org/10.1038/s41467-018-03732-9</w:t>
        </w:r>
      </w:hyperlink>
      <w:r>
        <w:t xml:space="preserve">.</w:t>
      </w:r>
    </w:p>
    <w:bookmarkEnd w:id="187"/>
    <w:bookmarkStart w:id="189"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188">
        <w:r>
          <w:rPr>
            <w:rStyle w:val="Hyperlink"/>
          </w:rPr>
          <w:t xml:space="preserve">https://doi.org/10.1641/0006-3568(2006)56[987:agcfse]2.0.co;2</w:t>
        </w:r>
      </w:hyperlink>
      <w:r>
        <w:t xml:space="preserve">.</w:t>
      </w:r>
    </w:p>
    <w:bookmarkEnd w:id="189"/>
    <w:bookmarkStart w:id="191"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190">
        <w:r>
          <w:rPr>
            <w:rStyle w:val="Hyperlink"/>
          </w:rPr>
          <w:t xml:space="preserve">https://doi.org/10.1093/biosci/bix058</w:t>
        </w:r>
      </w:hyperlink>
      <w:r>
        <w:t xml:space="preserve">.</w:t>
      </w:r>
    </w:p>
    <w:bookmarkEnd w:id="191"/>
    <w:bookmarkStart w:id="193"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192">
        <w:r>
          <w:rPr>
            <w:rStyle w:val="Hyperlink"/>
          </w:rPr>
          <w:t xml:space="preserve">https://doi.org/10.1007/s12237-023-01252-4</w:t>
        </w:r>
      </w:hyperlink>
      <w:r>
        <w:t xml:space="preserve">.</w:t>
      </w:r>
    </w:p>
    <w:bookmarkEnd w:id="193"/>
    <w:bookmarkStart w:id="195"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194">
        <w:r>
          <w:rPr>
            <w:rStyle w:val="Hyperlink"/>
          </w:rPr>
          <w:t xml:space="preserve">https://doi.org/10.1126/sciadv.abc6434</w:t>
        </w:r>
      </w:hyperlink>
      <w:r>
        <w:t xml:space="preserve">.</w:t>
      </w:r>
    </w:p>
    <w:bookmarkEnd w:id="195"/>
    <w:bookmarkStart w:id="197"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196">
        <w:r>
          <w:rPr>
            <w:rStyle w:val="Hyperlink"/>
          </w:rPr>
          <w:t xml:space="preserve">https://doi.org/10.1111/gcb.13084</w:t>
        </w:r>
      </w:hyperlink>
      <w:r>
        <w:t xml:space="preserve">.</w:t>
      </w:r>
    </w:p>
    <w:bookmarkEnd w:id="197"/>
    <w:bookmarkStart w:id="198"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198"/>
    <w:bookmarkStart w:id="200"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199">
        <w:r>
          <w:rPr>
            <w:rStyle w:val="Hyperlink"/>
          </w:rPr>
          <w:t xml:space="preserve">https://doi.org/10.3354/meps322099</w:t>
        </w:r>
      </w:hyperlink>
      <w:r>
        <w:t xml:space="preserve">.</w:t>
      </w:r>
    </w:p>
    <w:bookmarkEnd w:id="200"/>
    <w:bookmarkStart w:id="202"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01">
        <w:r>
          <w:rPr>
            <w:rStyle w:val="Hyperlink"/>
          </w:rPr>
          <w:t xml:space="preserve">https://doi.org/10.3354/meps08925</w:t>
        </w:r>
      </w:hyperlink>
      <w:r>
        <w:t xml:space="preserve">.</w:t>
      </w:r>
    </w:p>
    <w:bookmarkEnd w:id="202"/>
    <w:bookmarkStart w:id="203"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03"/>
    <w:bookmarkStart w:id="205"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04">
        <w:r>
          <w:rPr>
            <w:rStyle w:val="Hyperlink"/>
          </w:rPr>
          <w:t xml:space="preserve">https://doi.org/10.1016/j.ecolind.2015.12.007</w:t>
        </w:r>
      </w:hyperlink>
      <w:r>
        <w:t xml:space="preserve">.</w:t>
      </w:r>
    </w:p>
    <w:bookmarkEnd w:id="205"/>
    <w:bookmarkStart w:id="206"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206"/>
    <w:bookmarkStart w:id="208"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07">
        <w:r>
          <w:rPr>
            <w:rStyle w:val="Hyperlink"/>
          </w:rPr>
          <w:t xml:space="preserve">https://doi.org/10.1007/bf02691345</w:t>
        </w:r>
      </w:hyperlink>
      <w:r>
        <w:t xml:space="preserve">.</w:t>
      </w:r>
    </w:p>
    <w:bookmarkEnd w:id="208"/>
    <w:bookmarkStart w:id="210"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09">
        <w:r>
          <w:rPr>
            <w:rStyle w:val="Hyperlink"/>
          </w:rPr>
          <w:t xml:space="preserve">https://doi.org/10.1016/j.ecolind.2020.107310</w:t>
        </w:r>
      </w:hyperlink>
      <w:r>
        <w:t xml:space="preserve">.</w:t>
      </w:r>
    </w:p>
    <w:bookmarkEnd w:id="210"/>
    <w:bookmarkStart w:id="211"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11"/>
    <w:bookmarkStart w:id="213"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12">
        <w:r>
          <w:rPr>
            <w:rStyle w:val="Hyperlink"/>
          </w:rPr>
          <w:t xml:space="preserve">https://doi.org/10.1007/s00267-013-0179-5</w:t>
        </w:r>
      </w:hyperlink>
      <w:r>
        <w:t xml:space="preserve">.</w:t>
      </w:r>
    </w:p>
    <w:bookmarkEnd w:id="213"/>
    <w:bookmarkStart w:id="215" w:name="ref-sherwood2015"/>
    <w:p>
      <w:pPr>
        <w:pStyle w:val="Bibliography"/>
      </w:pPr>
      <w:r>
        <w:t xml:space="preserve">Sherwood, E. T., H. S. Greening, L. Garcia, K. Kaufman, T. Janicki, R. Pribble, B. Cunningham, et al. 2015.</w:t>
      </w:r>
      <w:r>
        <w:t xml:space="preserve"> </w:t>
      </w:r>
      <w:hyperlink r:id="rId214">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15"/>
    <w:bookmarkStart w:id="217"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16">
        <w:r>
          <w:rPr>
            <w:rStyle w:val="Hyperlink"/>
          </w:rPr>
          <w:t xml:space="preserve">https://doi.org/10.1016/j.rsma.2015.05.005</w:t>
        </w:r>
      </w:hyperlink>
      <w:r>
        <w:t xml:space="preserve">.</w:t>
      </w:r>
    </w:p>
    <w:bookmarkEnd w:id="217"/>
    <w:bookmarkStart w:id="219"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18">
        <w:r>
          <w:rPr>
            <w:rStyle w:val="Hyperlink"/>
          </w:rPr>
          <w:t xml:space="preserve">https://doi.org/10.1353/sgo.2017.0026</w:t>
        </w:r>
      </w:hyperlink>
      <w:r>
        <w:t xml:space="preserve">.</w:t>
      </w:r>
    </w:p>
    <w:bookmarkEnd w:id="219"/>
    <w:bookmarkStart w:id="221"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20">
        <w:r>
          <w:rPr>
            <w:rStyle w:val="Hyperlink"/>
          </w:rPr>
          <w:t xml:space="preserve">https://doi.org/10.21203/rs.3.rs-3528678/v1</w:t>
        </w:r>
      </w:hyperlink>
      <w:r>
        <w:t xml:space="preserve">.</w:t>
      </w:r>
    </w:p>
    <w:bookmarkEnd w:id="221"/>
    <w:bookmarkStart w:id="223"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22">
        <w:r>
          <w:rPr>
            <w:rStyle w:val="Hyperlink"/>
          </w:rPr>
          <w:t xml:space="preserve">https://doi.org/10.1016/j.scitotenv.2011.09.088</w:t>
        </w:r>
      </w:hyperlink>
      <w:r>
        <w:t xml:space="preserve">.</w:t>
      </w:r>
    </w:p>
    <w:bookmarkEnd w:id="223"/>
    <w:bookmarkStart w:id="225"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24">
        <w:r>
          <w:rPr>
            <w:rStyle w:val="Hyperlink"/>
          </w:rPr>
          <w:t xml:space="preserve">https://doi.org/10.3389/fevo.2023.1134069</w:t>
        </w:r>
      </w:hyperlink>
      <w:r>
        <w:t xml:space="preserve">.</w:t>
      </w:r>
    </w:p>
    <w:bookmarkEnd w:id="225"/>
    <w:bookmarkStart w:id="227"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26">
        <w:r>
          <w:rPr>
            <w:rStyle w:val="Hyperlink"/>
          </w:rPr>
          <w:t xml:space="preserve">https://doi.org/10.1016/j.rsma.2015.11.010</w:t>
        </w:r>
      </w:hyperlink>
      <w:r>
        <w:t xml:space="preserve">.</w:t>
      </w:r>
    </w:p>
    <w:bookmarkEnd w:id="227"/>
    <w:bookmarkStart w:id="229" w:name="ref-tbep0923"/>
    <w:p>
      <w:pPr>
        <w:pStyle w:val="Bibliography"/>
      </w:pPr>
      <w:r>
        <w:t xml:space="preserve">Todd, A., H. Walsh, and J. Neville. 2023.</w:t>
      </w:r>
      <w:r>
        <w:t xml:space="preserve"> </w:t>
      </w:r>
      <w:hyperlink r:id="rId228">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29"/>
    <w:bookmarkStart w:id="230"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30"/>
    <w:bookmarkStart w:id="232" w:name="ref-tomasko2020"/>
    <w:p>
      <w:pPr>
        <w:pStyle w:val="Bibliography"/>
      </w:pPr>
      <w:r>
        <w:t xml:space="preserve">Tomasko, D. A., M. Alderson, R. Burnes, J. Hecker, N. Iadevaia, J. Leverone, G. Raulerson, and E. Sherwood. 2020. The effects of Hurricane Irma on seagrass meadows in previously eutrophic estuaries in Southwest Florida (USA).</w:t>
      </w:r>
      <w:r>
        <w:t xml:space="preserve"> </w:t>
      </w:r>
      <w:r>
        <w:rPr>
          <w:iCs/>
          <w:i/>
        </w:rPr>
        <w:t xml:space="preserve">Marine Pollution Bulletin</w:t>
      </w:r>
      <w:r>
        <w:t xml:space="preserve"> </w:t>
      </w:r>
      <w:r>
        <w:t xml:space="preserve">156: 111247.</w:t>
      </w:r>
      <w:r>
        <w:t xml:space="preserve"> </w:t>
      </w:r>
      <w:hyperlink r:id="rId231">
        <w:r>
          <w:rPr>
            <w:rStyle w:val="Hyperlink"/>
          </w:rPr>
          <w:t xml:space="preserve">https://doi.org/10.1016/j.marpolbul.2020.111247</w:t>
        </w:r>
      </w:hyperlink>
      <w:r>
        <w:t xml:space="preserve">.</w:t>
      </w:r>
    </w:p>
    <w:bookmarkEnd w:id="232"/>
    <w:bookmarkStart w:id="234"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33">
        <w:r>
          <w:rPr>
            <w:rStyle w:val="Hyperlink"/>
          </w:rPr>
          <w:t xml:space="preserve">https://doi.org/10.1002/nt.2620020503</w:t>
        </w:r>
      </w:hyperlink>
      <w:r>
        <w:t xml:space="preserve">.</w:t>
      </w:r>
    </w:p>
    <w:bookmarkEnd w:id="234"/>
    <w:bookmarkStart w:id="236"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35">
        <w:r>
          <w:rPr>
            <w:rStyle w:val="Hyperlink"/>
          </w:rPr>
          <w:t xml:space="preserve">https://doi.org/10.1002/lol2.10098</w:t>
        </w:r>
      </w:hyperlink>
      <w:r>
        <w:t xml:space="preserve">.</w:t>
      </w:r>
    </w:p>
    <w:bookmarkEnd w:id="236"/>
    <w:bookmarkStart w:id="238"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37">
        <w:r>
          <w:rPr>
            <w:rStyle w:val="Hyperlink"/>
          </w:rPr>
          <w:t xml:space="preserve">https://doi.org/10.1146/annurev.es.03.110172.000543</w:t>
        </w:r>
      </w:hyperlink>
      <w:r>
        <w:t xml:space="preserve">.</w:t>
      </w:r>
    </w:p>
    <w:bookmarkEnd w:id="238"/>
    <w:bookmarkStart w:id="240" w:name="ref-venables2002b"/>
    <w:p>
      <w:pPr>
        <w:pStyle w:val="Bibliography"/>
      </w:pPr>
      <w:r>
        <w:t xml:space="preserve">Venables, W. N., and B. D. Ripley. 2002.</w:t>
      </w:r>
      <w:r>
        <w:t xml:space="preserve"> </w:t>
      </w:r>
      <w:r>
        <w:rPr>
          <w:iCs/>
          <w:i/>
        </w:rPr>
        <w:t xml:space="preserve">Modern applied statistics with</w:t>
      </w:r>
      <w:r>
        <w:rPr>
          <w:iCs/>
          <w:i/>
        </w:rPr>
        <w:t xml:space="preserve"> </w:t>
      </w:r>
      <w:r>
        <w:rPr>
          <w:iCs/>
          <w:i/>
        </w:rPr>
        <w:t xml:space="preserve">S</w:t>
      </w:r>
      <w:r>
        <w:t xml:space="preserve">. New York: Springer.</w:t>
      </w:r>
      <w:r>
        <w:t xml:space="preserve"> </w:t>
      </w:r>
      <w:hyperlink r:id="rId239">
        <w:r>
          <w:rPr>
            <w:rStyle w:val="Hyperlink"/>
          </w:rPr>
          <w:t xml:space="preserve">https://doi.org/10.1007/978-0-387-21706-2</w:t>
        </w:r>
      </w:hyperlink>
      <w:r>
        <w:t xml:space="preserve">.</w:t>
      </w:r>
    </w:p>
    <w:bookmarkEnd w:id="240"/>
    <w:bookmarkStart w:id="242"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41">
        <w:r>
          <w:rPr>
            <w:rStyle w:val="Hyperlink"/>
          </w:rPr>
          <w:t xml:space="preserve">https://doi.org/10.1073/pnas.0905620106</w:t>
        </w:r>
      </w:hyperlink>
      <w:r>
        <w:t xml:space="preserve">.</w:t>
      </w:r>
    </w:p>
    <w:bookmarkEnd w:id="242"/>
    <w:bookmarkStart w:id="244"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43">
        <w:r>
          <w:rPr>
            <w:rStyle w:val="Hyperlink"/>
          </w:rPr>
          <w:t xml:space="preserve">https://doi.org/10.1111/1365-2745.13648</w:t>
        </w:r>
      </w:hyperlink>
      <w:r>
        <w:t xml:space="preserve">.</w:t>
      </w:r>
    </w:p>
    <w:bookmarkEnd w:id="244"/>
    <w:bookmarkStart w:id="246"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45">
        <w:r>
          <w:rPr>
            <w:rStyle w:val="Hyperlink"/>
          </w:rPr>
          <w:t xml:space="preserve">https://doi.org/10.1029/2005jc003067</w:t>
        </w:r>
      </w:hyperlink>
      <w:r>
        <w:t xml:space="preserve">.</w:t>
      </w:r>
    </w:p>
    <w:bookmarkEnd w:id="246"/>
    <w:bookmarkStart w:id="248"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47">
        <w:r>
          <w:rPr>
            <w:rStyle w:val="Hyperlink"/>
          </w:rPr>
          <w:t xml:space="preserve">https://doi.org/10.1002/ehs2.1258</w:t>
        </w:r>
      </w:hyperlink>
      <w:r>
        <w:t xml:space="preserve">.</w:t>
      </w:r>
    </w:p>
    <w:bookmarkEnd w:id="248"/>
    <w:bookmarkStart w:id="249"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49"/>
    <w:bookmarkStart w:id="251"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50">
        <w:r>
          <w:rPr>
            <w:rStyle w:val="Hyperlink"/>
          </w:rPr>
          <w:t xml:space="preserve">https://doi.org/10.1016/j.marpolbul.2023.115043</w:t>
        </w:r>
      </w:hyperlink>
      <w:r>
        <w:t xml:space="preserve">.</w:t>
      </w:r>
    </w:p>
    <w:bookmarkEnd w:id="251"/>
    <w:bookmarkStart w:id="253"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52">
        <w:r>
          <w:rPr>
            <w:rStyle w:val="Hyperlink"/>
          </w:rPr>
          <w:t xml:space="preserve">https://doi.org/10.1016/0304-3770(75)90016-9</w:t>
        </w:r>
      </w:hyperlink>
      <w:r>
        <w:t xml:space="preserve">.</w:t>
      </w:r>
    </w:p>
    <w:bookmarkEnd w:id="253"/>
    <w:bookmarkStart w:id="255"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54">
        <w:r>
          <w:rPr>
            <w:rStyle w:val="Hyperlink"/>
          </w:rPr>
          <w:t xml:space="preserve">https://doi.org/10.1007/978-0-387-87458-6</w:t>
        </w:r>
      </w:hyperlink>
      <w:r>
        <w:t xml:space="preserve">.</w:t>
      </w:r>
    </w:p>
    <w:bookmarkEnd w:id="255"/>
    <w:bookmarkEnd w:id="256"/>
    <w:bookmarkEnd w:id="257"/>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65" Target="media/rId65.png" /><Relationship Type="http://schemas.openxmlformats.org/officeDocument/2006/relationships/hyperlink" Id="rId91" Target="https://CRAN.R-project.org/package=SPEI" TargetMode="External" /><Relationship Type="http://schemas.openxmlformats.org/officeDocument/2006/relationships/hyperlink" Id="rId109"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47" Target="https://doi.org/10.1002/ehs2.1258" TargetMode="External" /><Relationship Type="http://schemas.openxmlformats.org/officeDocument/2006/relationships/hyperlink" Id="rId93" Target="https://doi.org/10.1002/joc.3887" TargetMode="External" /><Relationship Type="http://schemas.openxmlformats.org/officeDocument/2006/relationships/hyperlink" Id="rId180" Target="https://doi.org/10.1002/lno.10789" TargetMode="External" /><Relationship Type="http://schemas.openxmlformats.org/officeDocument/2006/relationships/hyperlink" Id="rId235" Target="https://doi.org/10.1002/lol2.10098" TargetMode="External" /><Relationship Type="http://schemas.openxmlformats.org/officeDocument/2006/relationships/hyperlink" Id="rId233" Target="https://doi.org/10.1002/nt.2620020503" TargetMode="External" /><Relationship Type="http://schemas.openxmlformats.org/officeDocument/2006/relationships/hyperlink" Id="rId239" Target="https://doi.org/10.1007/978-0-387-21706-2" TargetMode="External" /><Relationship Type="http://schemas.openxmlformats.org/officeDocument/2006/relationships/hyperlink" Id="rId254" Target="https://doi.org/10.1007/978-0-387-87458-6" TargetMode="External" /><Relationship Type="http://schemas.openxmlformats.org/officeDocument/2006/relationships/hyperlink" Id="rId207" Target="https://doi.org/10.1007/bf02691345" TargetMode="External" /><Relationship Type="http://schemas.openxmlformats.org/officeDocument/2006/relationships/hyperlink" Id="rId163" Target="https://doi.org/10.1007/bf02691700" TargetMode="External" /><Relationship Type="http://schemas.openxmlformats.org/officeDocument/2006/relationships/hyperlink" Id="rId182" Target="https://doi.org/10.1007/bf02798652" TargetMode="External" /><Relationship Type="http://schemas.openxmlformats.org/officeDocument/2006/relationships/hyperlink" Id="rId129" Target="https://doi.org/10.1007/s00267-005-0079-4" TargetMode="External" /><Relationship Type="http://schemas.openxmlformats.org/officeDocument/2006/relationships/hyperlink" Id="rId212" Target="https://doi.org/10.1007/s00267-013-0179-5" TargetMode="External" /><Relationship Type="http://schemas.openxmlformats.org/officeDocument/2006/relationships/hyperlink" Id="rId139" Target="https://doi.org/10.1007/s11802-014-2471-2" TargetMode="External" /><Relationship Type="http://schemas.openxmlformats.org/officeDocument/2006/relationships/hyperlink" Id="rId117" Target="https://doi.org/10.1007/s12237-008-9038-7" TargetMode="External" /><Relationship Type="http://schemas.openxmlformats.org/officeDocument/2006/relationships/hyperlink" Id="rId89" Target="https://doi.org/10.1007/s12237-019-00619-w" TargetMode="External" /><Relationship Type="http://schemas.openxmlformats.org/officeDocument/2006/relationships/hyperlink" Id="rId192" Target="https://doi.org/10.1007/s12237-023-01252-4" TargetMode="External" /><Relationship Type="http://schemas.openxmlformats.org/officeDocument/2006/relationships/hyperlink" Id="rId252" Target="https://doi.org/10.1016/0304-3770(75)90016-9" TargetMode="External" /><Relationship Type="http://schemas.openxmlformats.org/officeDocument/2006/relationships/hyperlink" Id="rId184" Target="https://doi.org/10.1016/j.dsr2.2023.105321" TargetMode="External" /><Relationship Type="http://schemas.openxmlformats.org/officeDocument/2006/relationships/hyperlink" Id="rId204" Target="https://doi.org/10.1016/j.ecolind.2015.12.007" TargetMode="External" /><Relationship Type="http://schemas.openxmlformats.org/officeDocument/2006/relationships/hyperlink" Id="rId209" Target="https://doi.org/10.1016/j.ecolind.2020.107310" TargetMode="External" /><Relationship Type="http://schemas.openxmlformats.org/officeDocument/2006/relationships/hyperlink" Id="rId103" Target="https://doi.org/10.1016/j.ecolind.2023.111035" TargetMode="External" /><Relationship Type="http://schemas.openxmlformats.org/officeDocument/2006/relationships/hyperlink" Id="rId131" Target="https://doi.org/10.1016/j.ecss.2014.10.003" TargetMode="External" /><Relationship Type="http://schemas.openxmlformats.org/officeDocument/2006/relationships/hyperlink" Id="rId165" Target="https://doi.org/10.1016/j.ecss.2022.108134" TargetMode="External" /><Relationship Type="http://schemas.openxmlformats.org/officeDocument/2006/relationships/hyperlink" Id="rId107" Target="https://doi.org/10.1016/j.jembe.2007.06.024" TargetMode="External" /><Relationship Type="http://schemas.openxmlformats.org/officeDocument/2006/relationships/hyperlink" Id="rId113" Target="https://doi.org/10.1016/j.jenvman.2018.01.025" TargetMode="External" /><Relationship Type="http://schemas.openxmlformats.org/officeDocument/2006/relationships/hyperlink" Id="rId127" Target="https://doi.org/10.1016/j.marpolbul.2010.11.017" TargetMode="External" /><Relationship Type="http://schemas.openxmlformats.org/officeDocument/2006/relationships/hyperlink" Id="rId231" Target="https://doi.org/10.1016/j.marpolbul.2020.111247" TargetMode="External" /><Relationship Type="http://schemas.openxmlformats.org/officeDocument/2006/relationships/hyperlink" Id="rId83" Target="https://doi.org/10.1016/j.marpolbul.2022.113598" TargetMode="External" /><Relationship Type="http://schemas.openxmlformats.org/officeDocument/2006/relationships/hyperlink" Id="rId250" Target="https://doi.org/10.1016/j.marpolbul.2023.115043" TargetMode="External" /><Relationship Type="http://schemas.openxmlformats.org/officeDocument/2006/relationships/hyperlink" Id="rId111" Target="https://doi.org/10.1016/j.ocecoaman.2023.106490" TargetMode="External" /><Relationship Type="http://schemas.openxmlformats.org/officeDocument/2006/relationships/hyperlink" Id="rId75" Target="https://doi.org/10.1016/j.ocecoaman.2023.106929" TargetMode="External" /><Relationship Type="http://schemas.openxmlformats.org/officeDocument/2006/relationships/hyperlink" Id="rId216" Target="https://doi.org/10.1016/j.rsma.2015.05.005" TargetMode="External" /><Relationship Type="http://schemas.openxmlformats.org/officeDocument/2006/relationships/hyperlink" Id="rId226" Target="https://doi.org/10.1016/j.rsma.2015.11.010" TargetMode="External" /><Relationship Type="http://schemas.openxmlformats.org/officeDocument/2006/relationships/hyperlink" Id="rId222" Target="https://doi.org/10.1016/j.scitotenv.2011.09.088" TargetMode="External" /><Relationship Type="http://schemas.openxmlformats.org/officeDocument/2006/relationships/hyperlink" Id="rId172" Target="https://doi.org/10.1016/j.seares.2012.03.002" TargetMode="External" /><Relationship Type="http://schemas.openxmlformats.org/officeDocument/2006/relationships/hyperlink" Id="rId245" Target="https://doi.org/10.1029/2005jc003067" TargetMode="External" /><Relationship Type="http://schemas.openxmlformats.org/officeDocument/2006/relationships/hyperlink" Id="rId143" Target="https://doi.org/10.1029/wr018i001p00107" TargetMode="External" /><Relationship Type="http://schemas.openxmlformats.org/officeDocument/2006/relationships/hyperlink" Id="rId125" Target="https://doi.org/10.1038/ngeo1477" TargetMode="External" /><Relationship Type="http://schemas.openxmlformats.org/officeDocument/2006/relationships/hyperlink" Id="rId186" Target="https://doi.org/10.1038/s41467-018-03732-9" TargetMode="External" /><Relationship Type="http://schemas.openxmlformats.org/officeDocument/2006/relationships/hyperlink" Id="rId241" Target="https://doi.org/10.1073/pnas.0905620106" TargetMode="External" /><Relationship Type="http://schemas.openxmlformats.org/officeDocument/2006/relationships/hyperlink" Id="rId157" Target="https://doi.org/10.1073/pnas.1715798115" TargetMode="External" /><Relationship Type="http://schemas.openxmlformats.org/officeDocument/2006/relationships/hyperlink" Id="rId141" Target="https://doi.org/10.1073/pnas.2220678120" TargetMode="External" /><Relationship Type="http://schemas.openxmlformats.org/officeDocument/2006/relationships/hyperlink" Id="rId115" Target="https://doi.org/10.1080/00785236.1995.10422039" TargetMode="External" /><Relationship Type="http://schemas.openxmlformats.org/officeDocument/2006/relationships/hyperlink" Id="rId190" Target="https://doi.org/10.1093/biosci/bix058" TargetMode="External" /><Relationship Type="http://schemas.openxmlformats.org/officeDocument/2006/relationships/hyperlink" Id="rId145" Target="https://doi.org/10.1101/sqb.1957.022.01.039" TargetMode="External" /><Relationship Type="http://schemas.openxmlformats.org/officeDocument/2006/relationships/hyperlink" Id="rId101" Target="https://doi.org/10.1111/1365-2664.13169" TargetMode="External" /><Relationship Type="http://schemas.openxmlformats.org/officeDocument/2006/relationships/hyperlink" Id="rId243" Target="https://doi.org/10.1111/1365-2745.13648" TargetMode="External" /><Relationship Type="http://schemas.openxmlformats.org/officeDocument/2006/relationships/hyperlink" Id="rId174" Target="https://doi.org/10.1111/brv.12294" TargetMode="External" /><Relationship Type="http://schemas.openxmlformats.org/officeDocument/2006/relationships/hyperlink" Id="rId123" Target="https://doi.org/10.1111/conl.12938" TargetMode="External" /><Relationship Type="http://schemas.openxmlformats.org/officeDocument/2006/relationships/hyperlink" Id="rId196" Target="https://doi.org/10.1111/gcb.13084" TargetMode="External" /><Relationship Type="http://schemas.openxmlformats.org/officeDocument/2006/relationships/hyperlink" Id="rId159" Target="https://doi.org/10.1111/gcb.13623" TargetMode="External" /><Relationship Type="http://schemas.openxmlformats.org/officeDocument/2006/relationships/hyperlink" Id="rId121" Target="https://doi.org/10.1111/gcb.15684" TargetMode="External" /><Relationship Type="http://schemas.openxmlformats.org/officeDocument/2006/relationships/hyperlink" Id="rId194" Target="https://doi.org/10.1126/sciadv.abc6434" TargetMode="External" /><Relationship Type="http://schemas.openxmlformats.org/officeDocument/2006/relationships/hyperlink" Id="rId237" Target="https://doi.org/10.1146/annurev.es.03.110172.000543" TargetMode="External" /><Relationship Type="http://schemas.openxmlformats.org/officeDocument/2006/relationships/hyperlink" Id="rId218" Target="https://doi.org/10.1353/sgo.2017.0026" TargetMode="External" /><Relationship Type="http://schemas.openxmlformats.org/officeDocument/2006/relationships/hyperlink" Id="rId188" Target="https://doi.org/10.1641/0006-3568(2006)56[987:agcfse]2.0.co;2" TargetMode="External" /><Relationship Type="http://schemas.openxmlformats.org/officeDocument/2006/relationships/hyperlink" Id="rId77" Target="https://doi.org/10.18637/jss.v067.i01" TargetMode="External" /><Relationship Type="http://schemas.openxmlformats.org/officeDocument/2006/relationships/hyperlink" Id="rId87" Target="https://doi.org/10.21105/joss.03485" TargetMode="External" /><Relationship Type="http://schemas.openxmlformats.org/officeDocument/2006/relationships/hyperlink" Id="rId220" Target="https://doi.org/10.21203/rs.3.rs-3528678/v1" TargetMode="External" /><Relationship Type="http://schemas.openxmlformats.org/officeDocument/2006/relationships/hyperlink" Id="rId99" Target="https://doi.org/10.2134/jeq2001.302303x" TargetMode="External" /><Relationship Type="http://schemas.openxmlformats.org/officeDocument/2006/relationships/hyperlink" Id="rId105" Target="https://doi.org/10.2307/1352383" TargetMode="External" /><Relationship Type="http://schemas.openxmlformats.org/officeDocument/2006/relationships/hyperlink" Id="rId135" Target="https://doi.org/10.2307/1353210" TargetMode="External" /><Relationship Type="http://schemas.openxmlformats.org/officeDocument/2006/relationships/hyperlink" Id="rId176" Target="https://doi.org/10.2307/1932688" TargetMode="External" /><Relationship Type="http://schemas.openxmlformats.org/officeDocument/2006/relationships/hyperlink" Id="rId201" Target="https://doi.org/10.3354/meps08925" TargetMode="External" /><Relationship Type="http://schemas.openxmlformats.org/officeDocument/2006/relationships/hyperlink" Id="rId137" Target="https://doi.org/10.3354/meps11923" TargetMode="External" /><Relationship Type="http://schemas.openxmlformats.org/officeDocument/2006/relationships/hyperlink" Id="rId95" Target="https://doi.org/10.3354/meps147277" TargetMode="External" /><Relationship Type="http://schemas.openxmlformats.org/officeDocument/2006/relationships/hyperlink" Id="rId199" Target="https://doi.org/10.3354/meps322099" TargetMode="External" /><Relationship Type="http://schemas.openxmlformats.org/officeDocument/2006/relationships/hyperlink" Id="rId85" Target="https://doi.org/10.3389/fevo.2023.1070266" TargetMode="External" /><Relationship Type="http://schemas.openxmlformats.org/officeDocument/2006/relationships/hyperlink" Id="rId224" Target="https://doi.org/10.3389/fevo.2023.1134069" TargetMode="External" /><Relationship Type="http://schemas.openxmlformats.org/officeDocument/2006/relationships/hyperlink" Id="rId133" Target="https://doi.org/10.3389/fmars.2022.767440" TargetMode="External" /><Relationship Type="http://schemas.openxmlformats.org/officeDocument/2006/relationships/hyperlink" Id="rId119" Target="https://doi.org/10.3389/fpls.2021.612947" TargetMode="External" /><Relationship Type="http://schemas.openxmlformats.org/officeDocument/2006/relationships/hyperlink" Id="rId79" Target="https://doi.org/10.5281/zenodo.3648664" TargetMode="External" /><Relationship Type="http://schemas.openxmlformats.org/officeDocument/2006/relationships/hyperlink" Id="rId81" Target="https://doi.org/10.5281/zenodo.4319936" TargetMode="External" /><Relationship Type="http://schemas.openxmlformats.org/officeDocument/2006/relationships/hyperlink" Id="rId170" Target="https://drive.google.com/file/d/1-1Jq9vly5EvVwEp698brlBucXjSMDbNn/view?usp=sharing" TargetMode="External" /><Relationship Type="http://schemas.openxmlformats.org/officeDocument/2006/relationships/hyperlink" Id="rId228" Target="https://drive.google.com/file/d/15zetRgrFKkWah9KAY1in7q0so8ywHzkA/view?usp=drive_link" TargetMode="External" /><Relationship Type="http://schemas.openxmlformats.org/officeDocument/2006/relationships/hyperlink" Id="rId155" Target="https://drive.google.com/file/d/19bNEs2qy6z0hXa1IE7OtbFTjqk1LarFN/view?usp=drivesdk" TargetMode="External" /><Relationship Type="http://schemas.openxmlformats.org/officeDocument/2006/relationships/hyperlink" Id="rId214" Target="https://drive.google.com/file/d/1BCviGfLykVX-p1tA3b0306deP3pKMagr/view?usp=drivesdk" TargetMode="External" /><Relationship Type="http://schemas.openxmlformats.org/officeDocument/2006/relationships/hyperlink" Id="rId151" Target="https://drive.google.com/file/d/1KARuSC5fGx05MuT1wiOQFWNXysBokkQl/view?usp=share_link" TargetMode="External" /><Relationship Type="http://schemas.openxmlformats.org/officeDocument/2006/relationships/hyperlink" Id="rId153" Target="https://drive.google.com/file/d/1Z_8L9sYQWSl1hon1tP1Y8zBo7MHQK9zC/view?usp=drivesdk" TargetMode="External" /><Relationship Type="http://schemas.openxmlformats.org/officeDocument/2006/relationships/hyperlink" Id="rId167" Target="https://drive.google.com/file/d/1iXX_JZP5fLS3ORIkFb7WwNYv8HjpHyKw/view?usp=sharing" TargetMode="External" /><Relationship Type="http://schemas.openxmlformats.org/officeDocument/2006/relationships/hyperlink" Id="rId147" Target="https://drive.google.com/file/d/1kZkvuprvsMyN9nPS5PHYvXHyo1KQxKTr/view?usp=drivesdk" TargetMode="External" /><Relationship Type="http://schemas.openxmlformats.org/officeDocument/2006/relationships/hyperlink" Id="rId161" Target="https://drive.google.com/file/d/1sNp3FpjdeOjATZ9nDRRAiXEOqQen9W_p/view?usp=sharing" TargetMode="External" /><Relationship Type="http://schemas.openxmlformats.org/officeDocument/2006/relationships/hyperlink" Id="rId97" Target="https://drive.google.com/file/d/1tUkGW7TRAJ_skWj-UemDVIJnUAsy0ITf/view?usp=drivesdk" TargetMode="External" /><Relationship Type="http://schemas.openxmlformats.org/officeDocument/2006/relationships/hyperlink" Id="rId14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78"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1" Target="https://CRAN.R-project.org/package=SPEI" TargetMode="External" /><Relationship Type="http://schemas.openxmlformats.org/officeDocument/2006/relationships/hyperlink" Id="rId109"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47" Target="https://doi.org/10.1002/ehs2.1258" TargetMode="External" /><Relationship Type="http://schemas.openxmlformats.org/officeDocument/2006/relationships/hyperlink" Id="rId93" Target="https://doi.org/10.1002/joc.3887" TargetMode="External" /><Relationship Type="http://schemas.openxmlformats.org/officeDocument/2006/relationships/hyperlink" Id="rId180" Target="https://doi.org/10.1002/lno.10789" TargetMode="External" /><Relationship Type="http://schemas.openxmlformats.org/officeDocument/2006/relationships/hyperlink" Id="rId235" Target="https://doi.org/10.1002/lol2.10098" TargetMode="External" /><Relationship Type="http://schemas.openxmlformats.org/officeDocument/2006/relationships/hyperlink" Id="rId233" Target="https://doi.org/10.1002/nt.2620020503" TargetMode="External" /><Relationship Type="http://schemas.openxmlformats.org/officeDocument/2006/relationships/hyperlink" Id="rId239" Target="https://doi.org/10.1007/978-0-387-21706-2" TargetMode="External" /><Relationship Type="http://schemas.openxmlformats.org/officeDocument/2006/relationships/hyperlink" Id="rId254" Target="https://doi.org/10.1007/978-0-387-87458-6" TargetMode="External" /><Relationship Type="http://schemas.openxmlformats.org/officeDocument/2006/relationships/hyperlink" Id="rId207" Target="https://doi.org/10.1007/bf02691345" TargetMode="External" /><Relationship Type="http://schemas.openxmlformats.org/officeDocument/2006/relationships/hyperlink" Id="rId163" Target="https://doi.org/10.1007/bf02691700" TargetMode="External" /><Relationship Type="http://schemas.openxmlformats.org/officeDocument/2006/relationships/hyperlink" Id="rId182" Target="https://doi.org/10.1007/bf02798652" TargetMode="External" /><Relationship Type="http://schemas.openxmlformats.org/officeDocument/2006/relationships/hyperlink" Id="rId129" Target="https://doi.org/10.1007/s00267-005-0079-4" TargetMode="External" /><Relationship Type="http://schemas.openxmlformats.org/officeDocument/2006/relationships/hyperlink" Id="rId212" Target="https://doi.org/10.1007/s00267-013-0179-5" TargetMode="External" /><Relationship Type="http://schemas.openxmlformats.org/officeDocument/2006/relationships/hyperlink" Id="rId139" Target="https://doi.org/10.1007/s11802-014-2471-2" TargetMode="External" /><Relationship Type="http://schemas.openxmlformats.org/officeDocument/2006/relationships/hyperlink" Id="rId117" Target="https://doi.org/10.1007/s12237-008-9038-7" TargetMode="External" /><Relationship Type="http://schemas.openxmlformats.org/officeDocument/2006/relationships/hyperlink" Id="rId89" Target="https://doi.org/10.1007/s12237-019-00619-w" TargetMode="External" /><Relationship Type="http://schemas.openxmlformats.org/officeDocument/2006/relationships/hyperlink" Id="rId192" Target="https://doi.org/10.1007/s12237-023-01252-4" TargetMode="External" /><Relationship Type="http://schemas.openxmlformats.org/officeDocument/2006/relationships/hyperlink" Id="rId252" Target="https://doi.org/10.1016/0304-3770(75)90016-9" TargetMode="External" /><Relationship Type="http://schemas.openxmlformats.org/officeDocument/2006/relationships/hyperlink" Id="rId184" Target="https://doi.org/10.1016/j.dsr2.2023.105321" TargetMode="External" /><Relationship Type="http://schemas.openxmlformats.org/officeDocument/2006/relationships/hyperlink" Id="rId204" Target="https://doi.org/10.1016/j.ecolind.2015.12.007" TargetMode="External" /><Relationship Type="http://schemas.openxmlformats.org/officeDocument/2006/relationships/hyperlink" Id="rId209" Target="https://doi.org/10.1016/j.ecolind.2020.107310" TargetMode="External" /><Relationship Type="http://schemas.openxmlformats.org/officeDocument/2006/relationships/hyperlink" Id="rId103" Target="https://doi.org/10.1016/j.ecolind.2023.111035" TargetMode="External" /><Relationship Type="http://schemas.openxmlformats.org/officeDocument/2006/relationships/hyperlink" Id="rId131" Target="https://doi.org/10.1016/j.ecss.2014.10.003" TargetMode="External" /><Relationship Type="http://schemas.openxmlformats.org/officeDocument/2006/relationships/hyperlink" Id="rId165" Target="https://doi.org/10.1016/j.ecss.2022.108134" TargetMode="External" /><Relationship Type="http://schemas.openxmlformats.org/officeDocument/2006/relationships/hyperlink" Id="rId107" Target="https://doi.org/10.1016/j.jembe.2007.06.024" TargetMode="External" /><Relationship Type="http://schemas.openxmlformats.org/officeDocument/2006/relationships/hyperlink" Id="rId113" Target="https://doi.org/10.1016/j.jenvman.2018.01.025" TargetMode="External" /><Relationship Type="http://schemas.openxmlformats.org/officeDocument/2006/relationships/hyperlink" Id="rId127" Target="https://doi.org/10.1016/j.marpolbul.2010.11.017" TargetMode="External" /><Relationship Type="http://schemas.openxmlformats.org/officeDocument/2006/relationships/hyperlink" Id="rId231" Target="https://doi.org/10.1016/j.marpolbul.2020.111247" TargetMode="External" /><Relationship Type="http://schemas.openxmlformats.org/officeDocument/2006/relationships/hyperlink" Id="rId83" Target="https://doi.org/10.1016/j.marpolbul.2022.113598" TargetMode="External" /><Relationship Type="http://schemas.openxmlformats.org/officeDocument/2006/relationships/hyperlink" Id="rId250" Target="https://doi.org/10.1016/j.marpolbul.2023.115043" TargetMode="External" /><Relationship Type="http://schemas.openxmlformats.org/officeDocument/2006/relationships/hyperlink" Id="rId111" Target="https://doi.org/10.1016/j.ocecoaman.2023.106490" TargetMode="External" /><Relationship Type="http://schemas.openxmlformats.org/officeDocument/2006/relationships/hyperlink" Id="rId75" Target="https://doi.org/10.1016/j.ocecoaman.2023.106929" TargetMode="External" /><Relationship Type="http://schemas.openxmlformats.org/officeDocument/2006/relationships/hyperlink" Id="rId216" Target="https://doi.org/10.1016/j.rsma.2015.05.005" TargetMode="External" /><Relationship Type="http://schemas.openxmlformats.org/officeDocument/2006/relationships/hyperlink" Id="rId226" Target="https://doi.org/10.1016/j.rsma.2015.11.010" TargetMode="External" /><Relationship Type="http://schemas.openxmlformats.org/officeDocument/2006/relationships/hyperlink" Id="rId222" Target="https://doi.org/10.1016/j.scitotenv.2011.09.088" TargetMode="External" /><Relationship Type="http://schemas.openxmlformats.org/officeDocument/2006/relationships/hyperlink" Id="rId172" Target="https://doi.org/10.1016/j.seares.2012.03.002" TargetMode="External" /><Relationship Type="http://schemas.openxmlformats.org/officeDocument/2006/relationships/hyperlink" Id="rId245" Target="https://doi.org/10.1029/2005jc003067" TargetMode="External" /><Relationship Type="http://schemas.openxmlformats.org/officeDocument/2006/relationships/hyperlink" Id="rId143" Target="https://doi.org/10.1029/wr018i001p00107" TargetMode="External" /><Relationship Type="http://schemas.openxmlformats.org/officeDocument/2006/relationships/hyperlink" Id="rId125" Target="https://doi.org/10.1038/ngeo1477" TargetMode="External" /><Relationship Type="http://schemas.openxmlformats.org/officeDocument/2006/relationships/hyperlink" Id="rId186" Target="https://doi.org/10.1038/s41467-018-03732-9" TargetMode="External" /><Relationship Type="http://schemas.openxmlformats.org/officeDocument/2006/relationships/hyperlink" Id="rId241" Target="https://doi.org/10.1073/pnas.0905620106" TargetMode="External" /><Relationship Type="http://schemas.openxmlformats.org/officeDocument/2006/relationships/hyperlink" Id="rId157" Target="https://doi.org/10.1073/pnas.1715798115" TargetMode="External" /><Relationship Type="http://schemas.openxmlformats.org/officeDocument/2006/relationships/hyperlink" Id="rId141" Target="https://doi.org/10.1073/pnas.2220678120" TargetMode="External" /><Relationship Type="http://schemas.openxmlformats.org/officeDocument/2006/relationships/hyperlink" Id="rId115" Target="https://doi.org/10.1080/00785236.1995.10422039" TargetMode="External" /><Relationship Type="http://schemas.openxmlformats.org/officeDocument/2006/relationships/hyperlink" Id="rId190" Target="https://doi.org/10.1093/biosci/bix058" TargetMode="External" /><Relationship Type="http://schemas.openxmlformats.org/officeDocument/2006/relationships/hyperlink" Id="rId145" Target="https://doi.org/10.1101/sqb.1957.022.01.039" TargetMode="External" /><Relationship Type="http://schemas.openxmlformats.org/officeDocument/2006/relationships/hyperlink" Id="rId101" Target="https://doi.org/10.1111/1365-2664.13169" TargetMode="External" /><Relationship Type="http://schemas.openxmlformats.org/officeDocument/2006/relationships/hyperlink" Id="rId243" Target="https://doi.org/10.1111/1365-2745.13648" TargetMode="External" /><Relationship Type="http://schemas.openxmlformats.org/officeDocument/2006/relationships/hyperlink" Id="rId174" Target="https://doi.org/10.1111/brv.12294" TargetMode="External" /><Relationship Type="http://schemas.openxmlformats.org/officeDocument/2006/relationships/hyperlink" Id="rId123" Target="https://doi.org/10.1111/conl.12938" TargetMode="External" /><Relationship Type="http://schemas.openxmlformats.org/officeDocument/2006/relationships/hyperlink" Id="rId196" Target="https://doi.org/10.1111/gcb.13084" TargetMode="External" /><Relationship Type="http://schemas.openxmlformats.org/officeDocument/2006/relationships/hyperlink" Id="rId159" Target="https://doi.org/10.1111/gcb.13623" TargetMode="External" /><Relationship Type="http://schemas.openxmlformats.org/officeDocument/2006/relationships/hyperlink" Id="rId121" Target="https://doi.org/10.1111/gcb.15684" TargetMode="External" /><Relationship Type="http://schemas.openxmlformats.org/officeDocument/2006/relationships/hyperlink" Id="rId194" Target="https://doi.org/10.1126/sciadv.abc6434" TargetMode="External" /><Relationship Type="http://schemas.openxmlformats.org/officeDocument/2006/relationships/hyperlink" Id="rId237" Target="https://doi.org/10.1146/annurev.es.03.110172.000543" TargetMode="External" /><Relationship Type="http://schemas.openxmlformats.org/officeDocument/2006/relationships/hyperlink" Id="rId218" Target="https://doi.org/10.1353/sgo.2017.0026" TargetMode="External" /><Relationship Type="http://schemas.openxmlformats.org/officeDocument/2006/relationships/hyperlink" Id="rId188" Target="https://doi.org/10.1641/0006-3568(2006)56[987:agcfse]2.0.co;2" TargetMode="External" /><Relationship Type="http://schemas.openxmlformats.org/officeDocument/2006/relationships/hyperlink" Id="rId77" Target="https://doi.org/10.18637/jss.v067.i01" TargetMode="External" /><Relationship Type="http://schemas.openxmlformats.org/officeDocument/2006/relationships/hyperlink" Id="rId87" Target="https://doi.org/10.21105/joss.03485" TargetMode="External" /><Relationship Type="http://schemas.openxmlformats.org/officeDocument/2006/relationships/hyperlink" Id="rId220" Target="https://doi.org/10.21203/rs.3.rs-3528678/v1" TargetMode="External" /><Relationship Type="http://schemas.openxmlformats.org/officeDocument/2006/relationships/hyperlink" Id="rId99" Target="https://doi.org/10.2134/jeq2001.302303x" TargetMode="External" /><Relationship Type="http://schemas.openxmlformats.org/officeDocument/2006/relationships/hyperlink" Id="rId105" Target="https://doi.org/10.2307/1352383" TargetMode="External" /><Relationship Type="http://schemas.openxmlformats.org/officeDocument/2006/relationships/hyperlink" Id="rId135" Target="https://doi.org/10.2307/1353210" TargetMode="External" /><Relationship Type="http://schemas.openxmlformats.org/officeDocument/2006/relationships/hyperlink" Id="rId176" Target="https://doi.org/10.2307/1932688" TargetMode="External" /><Relationship Type="http://schemas.openxmlformats.org/officeDocument/2006/relationships/hyperlink" Id="rId201" Target="https://doi.org/10.3354/meps08925" TargetMode="External" /><Relationship Type="http://schemas.openxmlformats.org/officeDocument/2006/relationships/hyperlink" Id="rId137" Target="https://doi.org/10.3354/meps11923" TargetMode="External" /><Relationship Type="http://schemas.openxmlformats.org/officeDocument/2006/relationships/hyperlink" Id="rId95" Target="https://doi.org/10.3354/meps147277" TargetMode="External" /><Relationship Type="http://schemas.openxmlformats.org/officeDocument/2006/relationships/hyperlink" Id="rId199" Target="https://doi.org/10.3354/meps322099" TargetMode="External" /><Relationship Type="http://schemas.openxmlformats.org/officeDocument/2006/relationships/hyperlink" Id="rId85" Target="https://doi.org/10.3389/fevo.2023.1070266" TargetMode="External" /><Relationship Type="http://schemas.openxmlformats.org/officeDocument/2006/relationships/hyperlink" Id="rId224" Target="https://doi.org/10.3389/fevo.2023.1134069" TargetMode="External" /><Relationship Type="http://schemas.openxmlformats.org/officeDocument/2006/relationships/hyperlink" Id="rId133" Target="https://doi.org/10.3389/fmars.2022.767440" TargetMode="External" /><Relationship Type="http://schemas.openxmlformats.org/officeDocument/2006/relationships/hyperlink" Id="rId119" Target="https://doi.org/10.3389/fpls.2021.612947" TargetMode="External" /><Relationship Type="http://schemas.openxmlformats.org/officeDocument/2006/relationships/hyperlink" Id="rId79" Target="https://doi.org/10.5281/zenodo.3648664" TargetMode="External" /><Relationship Type="http://schemas.openxmlformats.org/officeDocument/2006/relationships/hyperlink" Id="rId81" Target="https://doi.org/10.5281/zenodo.4319936" TargetMode="External" /><Relationship Type="http://schemas.openxmlformats.org/officeDocument/2006/relationships/hyperlink" Id="rId170" Target="https://drive.google.com/file/d/1-1Jq9vly5EvVwEp698brlBucXjSMDbNn/view?usp=sharing" TargetMode="External" /><Relationship Type="http://schemas.openxmlformats.org/officeDocument/2006/relationships/hyperlink" Id="rId228" Target="https://drive.google.com/file/d/15zetRgrFKkWah9KAY1in7q0so8ywHzkA/view?usp=drive_link" TargetMode="External" /><Relationship Type="http://schemas.openxmlformats.org/officeDocument/2006/relationships/hyperlink" Id="rId155" Target="https://drive.google.com/file/d/19bNEs2qy6z0hXa1IE7OtbFTjqk1LarFN/view?usp=drivesdk" TargetMode="External" /><Relationship Type="http://schemas.openxmlformats.org/officeDocument/2006/relationships/hyperlink" Id="rId214" Target="https://drive.google.com/file/d/1BCviGfLykVX-p1tA3b0306deP3pKMagr/view?usp=drivesdk" TargetMode="External" /><Relationship Type="http://schemas.openxmlformats.org/officeDocument/2006/relationships/hyperlink" Id="rId151" Target="https://drive.google.com/file/d/1KARuSC5fGx05MuT1wiOQFWNXysBokkQl/view?usp=share_link" TargetMode="External" /><Relationship Type="http://schemas.openxmlformats.org/officeDocument/2006/relationships/hyperlink" Id="rId153" Target="https://drive.google.com/file/d/1Z_8L9sYQWSl1hon1tP1Y8zBo7MHQK9zC/view?usp=drivesdk" TargetMode="External" /><Relationship Type="http://schemas.openxmlformats.org/officeDocument/2006/relationships/hyperlink" Id="rId167" Target="https://drive.google.com/file/d/1iXX_JZP5fLS3ORIkFb7WwNYv8HjpHyKw/view?usp=sharing" TargetMode="External" /><Relationship Type="http://schemas.openxmlformats.org/officeDocument/2006/relationships/hyperlink" Id="rId147" Target="https://drive.google.com/file/d/1kZkvuprvsMyN9nPS5PHYvXHyo1KQxKTr/view?usp=drivesdk" TargetMode="External" /><Relationship Type="http://schemas.openxmlformats.org/officeDocument/2006/relationships/hyperlink" Id="rId161" Target="https://drive.google.com/file/d/1sNp3FpjdeOjATZ9nDRRAiXEOqQen9W_p/view?usp=sharing" TargetMode="External" /><Relationship Type="http://schemas.openxmlformats.org/officeDocument/2006/relationships/hyperlink" Id="rId97" Target="https://drive.google.com/file/d/1tUkGW7TRAJ_skWj-UemDVIJnUAsy0ITf/view?usp=drivesdk" TargetMode="External" /><Relationship Type="http://schemas.openxmlformats.org/officeDocument/2006/relationships/hyperlink" Id="rId14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78"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conditions for seagrass in a large Gulf coast estuary</dc:title>
  <dc:creator>Marcus W Beck1,✉, Kerry Flaherty-Walia1, Sheila Scolaro1, Maya C Burke1, Bradley T Furman2, David J Karlen3, Chris Pratt3, and Edward T Sherwood1</dc:creator>
  <cp:keywords/>
  <dcterms:created xsi:type="dcterms:W3CDTF">2024-02-01T21:31:50Z</dcterms:created>
  <dcterms:modified xsi:type="dcterms:W3CDTF">2024-02-01T21:31:50Z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