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2.png" ContentType="image/png"/>
  <Override PartName="/word/media/rId62.png" ContentType="image/png"/>
  <Override PartName="/word/media/rId46.png" ContentType="image/png"/>
  <Override PartName="/word/media/rId38.png" ContentType="image/png"/>
  <Override PartName="/word/media/rId50.png" ContentType="image/png"/>
  <Override PartName="/word/media/rId54.png" ContentType="image/png"/>
  <Override PartName="/word/media/rId34.png" ContentType="image/png"/>
  <Override PartName="/word/media/rId5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30"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one of the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(M. W. 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M. W. Beck et al. 2022)</w:t>
      </w:r>
      <w:r>
        <w:t xml:space="preserve">. Important subtidal habitats include seagrasses, hard bottom, tidal flats, and oyster reefs, where a majority of management effort has focused on restoring and maintaining seagrass cover</w:t>
      </w:r>
      <w:r>
        <w:t xml:space="preserve"> </w:t>
      </w:r>
      <w:r>
        <w:t xml:space="preserve">(E. T. Sherwood et al. 2017)</w:t>
      </w:r>
      <w:r>
        <w:t xml:space="preserve">. Additional native habitats include intertidal wetlands (mangroves, salt marshes, salt barriers)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M. W.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conditions primarily from nutrient inputs from wastewater and stormwater</w:t>
      </w:r>
      <w:r>
        <w:t xml:space="preserve"> </w:t>
      </w:r>
      <w:r>
        <w:t xml:space="preserve">(H. 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Sherwood et al. 2015; M.E. Luther, S.D.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(Cary B. 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(H. 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a successful management paradigm through the National Estuary Program</w:t>
      </w:r>
      <w:r>
        <w:t xml:space="preserve"> </w:t>
      </w:r>
      <w:r>
        <w:t xml:space="preserve">(Holly Greening and Janicki 2006; H. Greening et al. 2014; E. T. Sherwood et al. 2017)</w:t>
      </w:r>
      <w:r>
        <w:t xml:space="preserve">. From 1988 to 2016, seagrasses increased 79% to a total areal cover of 41,655 acres (16,857 ha), surpassing the goal of restoring coverage to 95% of that which occurred in 1950 (Figure</w:t>
      </w:r>
      <w:r>
        <w:t xml:space="preserve"> </w:t>
      </w:r>
      <w:hyperlink w:anchor="fig-seagrasschg">
        <w:r>
          <w:rPr>
            <w:rStyle w:val="Hyperlink"/>
          </w:rPr>
          <w:t xml:space="preserve">1</w:t>
        </w:r>
      </w:hyperlink>
      <w:r>
        <w:t xml:space="preserve">a). Throughout this same period, nitrogen load estimates decreased by about 2/3 from their peak estimated in the mid-1970s as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(H. Greening et al. 2014; M. W. Beck et al. 2019)</w:t>
      </w:r>
      <w:r>
        <w:t xml:space="preserve">. These reductions in nutrient loadings resulted in largescale reductions in chlorophyll concentrations and light attenuation in the water column, creating favorable environments for seagrass growth. The most dramatic improvements in seagrass cover were observed in Old Tampa Bay where coverage increased by 122% or 4,465 acres (2,477 ha) to a total of 11,247 acres (4,511 ha) from 1988 estimates.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water quality conditions remaining relatively stable (Figure</w:t>
      </w:r>
      <w:r>
        <w:t xml:space="preserve"> </w:t>
      </w:r>
      <w:hyperlink w:anchor="fig-seagrasschg">
        <w:r>
          <w:rPr>
            <w:rStyle w:val="Hyperlink"/>
          </w:rPr>
          <w:t xml:space="preserve">1</w:t>
        </w:r>
      </w:hyperlink>
      <w:r>
        <w:t xml:space="preserve">a). Total cover in Tampa Bay has decreased by 28% from the 2016 peak by 11,518 acres (4,661 ha) to ta total of 30,137 acres (12,196 ha). Losses have been most pronounced in Old Tampa Bay (62%; 6,963acres/2,818 ha loss) and Hillsborough Bay (80%; 1,599acres/647 ha loss). The current estimate for Old Tampa Bay of 4,183 acres (1,693 ha) is the lowest ever recorded in that bay segment since mapping efforts began in the 1980s. Similarly, coverage in Middle Tampa Bay decreased by 20% (1,926 acres/779 ha loss). Coverage in Lower Tampa Bay has remained stable, with only a 2% loss that is likely within the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[e.g., ,</w:t>
      </w:r>
      <w:r>
        <w:t xml:space="preserve"> </w:t>
      </w:r>
      <w:r>
        <w:t xml:space="preserve">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 [-</w:t>
      </w:r>
      <w:hyperlink w:anchor="fig-seagrasschg">
        <w:r>
          <w:rPr>
            <w:rStyle w:val="Hyperlink"/>
          </w:rPr>
          <w:t xml:space="preserve">Figure 1</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(Johansson 2016; E. T.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Other sources of seagrass data are described in the next section.</w:t>
      </w:r>
    </w:p>
    <w:bookmarkEnd w:id="26"/>
    <w:bookmarkStart w:id="27"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where the latter includes measurements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(M. 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specifically targets shallow habitats where seagrasses are predominantly found in Tampa Bay and includes the longest consistent sampling protocol (1996 to present).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Sites with greater than 50% cover of seagrass were identified as</w:t>
      </w:r>
      <w:r>
        <w:t xml:space="preserve"> </w:t>
      </w:r>
      <w:r>
        <w:t xml:space="preserve">“</w:t>
      </w:r>
      <w:r>
        <w:t xml:space="preserve">seagrass</w:t>
      </w:r>
      <w:r>
        <w:t xml:space="preserve">”</w:t>
      </w:r>
      <w:r>
        <w:t xml:space="preserve"> </w:t>
      </w:r>
      <w:r>
        <w:t xml:space="preserve">sites and those less than 50% or bare sediment were identified as</w:t>
      </w:r>
      <w:r>
        <w:t xml:space="preserve"> </w:t>
      </w:r>
      <w:r>
        <w:t xml:space="preserve">“</w:t>
      </w:r>
      <w:r>
        <w:t xml:space="preserve">no seagrass</w:t>
      </w:r>
      <w:r>
        <w:t xml:space="preserve">”</w:t>
      </w:r>
      <w:r>
        <w:t xml:space="preserve"> </w:t>
      </w:r>
      <w:r>
        <w:t xml:space="preserve">sites for comparison with temperature and salinity measurements. Sites exclusively with macroalgae were not included in the analysis. All FIM data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recquest to PCDEM staff for the western portion of Old Tampa Bay where sampling occurs from 2003 to present (also available at &lt;https://wateratlas.usf.edu/&gt;). We focused primarily on OTB for the analysis of the PCDEM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between the organizations are also compared to assess precision between different laboratories. As such, the water quality measurements used herein are considered comparable, relative to the different sampling designs used by each program.</w:t>
      </w:r>
    </w:p>
    <w:bookmarkEnd w:id="27"/>
    <w:bookmarkStart w:id="28" w:name="trend-analysis"/>
    <w:p>
      <w:pPr>
        <w:pStyle w:val="Heading3"/>
      </w:pPr>
      <w:r>
        <w:t xml:space="preserve">2.5 Trend analysis</w:t>
      </w:r>
    </w:p>
    <w:p>
      <w:pPr>
        <w:pStyle w:val="FirstParagraph"/>
      </w:pPr>
      <w:r>
        <w:t xml:space="preserve">The first goal of this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from long-term climate change.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 (SPI) was estimated from the daily rainfall data to identify periods of time when rainfall significantly deviated from the long-term average (using the spi function from…).</w:t>
      </w:r>
    </w:p>
    <w:bookmarkEnd w:id="28"/>
    <w:bookmarkStart w:id="29" w:name="links-to-seagrass"/>
    <w:p>
      <w:pPr>
        <w:pStyle w:val="Heading3"/>
      </w:pPr>
      <w:r>
        <w:t xml:space="preserve">2.6 Links to seagrass</w:t>
      </w:r>
    </w:p>
    <w:p>
      <w:pPr>
        <w:pStyle w:val="FirstParagraph"/>
      </w:pPr>
      <w:r>
        <w:t xml:space="preserve">Observed trends aggregated by year and bay segment across stations and months in</w:t>
      </w:r>
      <w:r>
        <w:t xml:space="preserve"> </w:t>
      </w:r>
      <w:hyperlink w:anchor="fig-meteowq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3"/>
        </w:numPr>
      </w:pPr>
      <w:r>
        <w:t xml:space="preserve">Temp: 20-30 (range,</w:t>
      </w:r>
      <w:r>
        <w:t xml:space="preserve"> </w:t>
      </w:r>
      <w:r>
        <w:t xml:space="preserve">Lewis III et al. (1985)</w:t>
      </w:r>
      <w:r>
        <w:t xml:space="preserve">)</w:t>
      </w:r>
    </w:p>
    <w:p>
      <w:pPr>
        <w:numPr>
          <w:ilvl w:val="0"/>
          <w:numId w:val="1003"/>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4"/>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4"/>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5"/>
        </w:numPr>
      </w:pPr>
      <w:r>
        <w:t xml:space="preserve">Temp: 20-30 (range,</w:t>
      </w:r>
      <w:r>
        <w:t xml:space="preserve"> </w:t>
      </w:r>
      <w:r>
        <w:t xml:space="preserve">Lewis III et al. (1985)</w:t>
      </w:r>
      <w:r>
        <w:t xml:space="preserve">), 29 (upper from SS)</w:t>
      </w:r>
    </w:p>
    <w:p>
      <w:pPr>
        <w:numPr>
          <w:ilvl w:val="0"/>
          <w:numId w:val="1005"/>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6"/>
        </w:numPr>
        <w:pStyle w:val="Compact"/>
      </w:pPr>
      <w:r>
        <w:t xml:space="preserve">Get FIM, Pinellas, Manatee data</w:t>
      </w:r>
    </w:p>
    <w:p>
      <w:pPr>
        <w:pStyle w:val="FirstParagraph"/>
      </w:pPr>
      <w:r>
        <w:t xml:space="preserve">All models excluded Lower Tampa Bay because of minimal seagrass change over time. Evaluated total fo, percent change between years, and</w:t>
      </w:r>
    </w:p>
    <w:p>
      <w:pPr>
        <w:pStyle w:val="BodyText"/>
      </w:pPr>
      <w:r>
        <w:t xml:space="preserve">GLMs of percent change each year by Sal, Temp, with year and bay segment interactions. Attempted different windows of time from approximate seagrass sample date, 30 days to one year. The best model was one that included an effect of Salinity and an interaction with bay segment. Hillsborough Bay showed a strong response of increasing likelihood of seagrass loss with number of days when salinity was below the threshold.</w:t>
      </w:r>
    </w:p>
    <w:p>
      <w:pPr>
        <w:pStyle w:val="BodyText"/>
      </w:pPr>
      <w:r>
        <w:t xml:space="preserve">Then GAMs were evaluated looking at total by Salinity, with interaction of year and bay segment. Also created a model looking at percent change vs Temp and year/bay segment interaction.</w:t>
      </w:r>
    </w:p>
    <w:p>
      <w:pPr>
        <w:pStyle w:val="BodyText"/>
      </w:pPr>
      <w:r>
        <w:t xml:space="preserve">Show plots of both the glm and gams.</w:t>
      </w:r>
    </w:p>
    <w:bookmarkEnd w:id="29"/>
    <w:bookmarkEnd w:id="30"/>
    <w:bookmarkStart w:id="31" w:name="results"/>
    <w:p>
      <w:pPr>
        <w:pStyle w:val="Heading2"/>
      </w:pPr>
      <w:r>
        <w:t xml:space="preserve">3 Results</w:t>
      </w:r>
    </w:p>
    <w:p>
      <w:pPr>
        <w:pStyle w:val="FirstParagraph"/>
      </w:pPr>
      <w:r>
        <w:t xml:space="preserve">For</w:t>
      </w:r>
      <w:r>
        <w:t xml:space="preserve"> </w:t>
      </w:r>
      <w:hyperlink w:anchor="fig-meteowq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sSub>
            <m:e>
              <m:r>
                <m:t>X</m:t>
              </m:r>
            </m:e>
            <m:sub>
              <m:r>
                <m:t>i</m:t>
              </m:r>
              <m:r>
                <m:t>j</m:t>
              </m:r>
            </m:sub>
          </m:sSub>
          <m:r>
            <m:rPr>
              <m:sty m:val="p"/>
            </m:rPr>
            <m:t>+</m:t>
          </m:r>
          <m:sSub>
            <m:e>
              <m:r>
                <m:t>u</m:t>
              </m:r>
            </m:e>
            <m:sub>
              <m:r>
                <m:t>i</m:t>
              </m:r>
            </m:sub>
          </m:sSub>
          <m:r>
            <m:rPr>
              <m:sty m:val="p"/>
            </m:rPr>
            <m:t>+</m:t>
          </m:r>
          <m:sSub>
            <m:e>
              <m:r>
                <m:t>ϵ</m:t>
              </m:r>
            </m:e>
            <m:sub>
              <m:r>
                <m:t>i</m:t>
              </m:r>
              <m:r>
                <m:t>j</m:t>
              </m:r>
            </m:sub>
          </m:sSub>
        </m:oMath>
      </m:oMathPara>
    </w:p>
    <w:p>
      <w:pPr>
        <w:pStyle w:val="FirstParagraph"/>
      </w:pPr>
      <w:r>
        <w:t xml:space="preserve">NMS results in</w:t>
      </w:r>
      <w:r>
        <w:t xml:space="preserve"> </w:t>
      </w:r>
      <w:hyperlink w:anchor="fig-nms">
        <w:r>
          <w:rPr>
            <w:rStyle w:val="Hyperlink"/>
          </w:rPr>
          <w:t xml:space="preserve">Figure 6</w:t>
        </w:r>
      </w:hyperlink>
      <w:r>
        <w:t xml:space="preserve"> </w:t>
      </w:r>
      <w:r>
        <w:t xml:space="preserve">and seagrass decline results in</w:t>
      </w:r>
      <w:r>
        <w:t xml:space="preserve"> </w:t>
      </w:r>
      <w:hyperlink w:anchor="fig-sgmod">
        <w:r>
          <w:rPr>
            <w:rStyle w:val="Hyperlink"/>
          </w:rPr>
          <w:t xml:space="preserve">Figure 7</w:t>
        </w:r>
      </w:hyperlink>
    </w:p>
    <w:bookmarkEnd w:id="31"/>
    <w:bookmarkStart w:id="32"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Alternative nutrient pathways and role of macroalgae, competition for resources, shading, etc.</w:t>
      </w:r>
    </w:p>
    <w:p>
      <w:pPr>
        <w:pStyle w:val="BodyText"/>
      </w:pPr>
      <w:r>
        <w:t xml:space="preserve">OTB seagrass loss and role of pyrodinium, optimal temperatures from 28-31</w:t>
      </w:r>
      <w:r>
        <w:t xml:space="preserve"> </w:t>
      </w:r>
      <w:r>
        <w:t xml:space="preserve">(Cary B. 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Cary B. Lopez et al. 2021)</w:t>
      </w:r>
      <w:r>
        <w:t xml:space="preserve">. Optimal salinity range between 20-32 psu</w:t>
      </w:r>
      <w:r>
        <w:t xml:space="preserve"> </w:t>
      </w:r>
      <w:r>
        <w:t xml:space="preserve">(Cary B. Lopez et al. 2021)</w:t>
      </w:r>
      <w:r>
        <w:t xml:space="preserve">.</w:t>
      </w:r>
    </w:p>
    <w:bookmarkEnd w:id="32"/>
    <w:bookmarkStart w:id="33" w:name="acknowledgments"/>
    <w:p>
      <w:pPr>
        <w:pStyle w:val="Heading2"/>
      </w:pPr>
      <w:r>
        <w:t xml:space="preserve">5 Acknowledgments</w:t>
      </w:r>
    </w:p>
    <w:bookmarkEnd w:id="33"/>
    <w:bookmarkStart w:id="66"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37" w:name="fig-seagrasschg"/>
          <w:p>
            <w:pPr>
              <w:pStyle w:val="Figure"/>
              <w:jc w:val="center"/>
            </w:pPr>
            <w:r>
              <w:drawing>
                <wp:inline>
                  <wp:extent cx="5943600" cy="4457699"/>
                  <wp:effectExtent b="0" l="0" r="0" t="0"/>
                  <wp:docPr descr="" title="" id="35" name="Picture"/>
                  <a:graphic>
                    <a:graphicData uri="http://schemas.openxmlformats.org/drawingml/2006/picture">
                      <pic:pic>
                        <pic:nvPicPr>
                          <pic:cNvPr descr="figs/seagrasschg.png" id="36" name="Picture"/>
                          <pic:cNvPicPr>
                            <a:picLocks noChangeArrowheads="1" noChangeAspect="1"/>
                          </pic:cNvPicPr>
                        </pic:nvPicPr>
                        <pic:blipFill>
                          <a:blip r:embed="rId34"/>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7"/>
        </w:tc>
      </w:tr>
    </w:tbl>
    <w:p>
      <w:r>
        <w:br w:type="page"/>
      </w:r>
    </w:p>
    <w:tbl>
      <w:tblPr>
        <w:tblStyle w:val="Table"/>
        <w:tblW w:type="pct" w:w="5000"/>
        <w:tblLook w:firstRow="0" w:lastRow="0" w:firstColumn="0" w:lastColumn="0" w:noHBand="0" w:noVBand="0" w:val="0000"/>
      </w:tblPr>
      <w:tblGrid>
        <w:gridCol w:w="7920"/>
      </w:tblGrid>
      <w:tr>
        <w:tc>
          <w:tcPr/>
          <w:bookmarkStart w:id="41" w:name="fig-meteowqraw"/>
          <w:p>
            <w:pPr>
              <w:pStyle w:val="Figure"/>
              <w:jc w:val="center"/>
            </w:pPr>
            <w:r>
              <w:drawing>
                <wp:inline>
                  <wp:extent cx="5943600" cy="7217228"/>
                  <wp:effectExtent b="0" l="0" r="0" t="0"/>
                  <wp:docPr descr="" title="" id="39" name="Picture"/>
                  <a:graphic>
                    <a:graphicData uri="http://schemas.openxmlformats.org/drawingml/2006/picture">
                      <pic:pic>
                        <pic:nvPicPr>
                          <pic:cNvPr descr="figs/meteowqraw.png" id="40" name="Picture"/>
                          <pic:cNvPicPr>
                            <a:picLocks noChangeArrowheads="1" noChangeAspect="1"/>
                          </pic:cNvPicPr>
                        </pic:nvPicPr>
                        <pic:blipFill>
                          <a:blip r:embed="rId38"/>
                          <a:stretch>
                            <a:fillRect/>
                          </a:stretch>
                        </pic:blipFill>
                        <pic:spPr bwMode="auto">
                          <a:xfrm>
                            <a:off x="0" y="0"/>
                            <a:ext cx="5943600" cy="72172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41"/>
        </w:tc>
      </w:tr>
    </w:tbl>
    <w:p>
      <w:r>
        <w:br w:type="page"/>
      </w:r>
    </w:p>
    <w:tbl>
      <w:tblPr>
        <w:tblStyle w:val="Table"/>
        <w:tblW w:type="pct" w:w="5000"/>
        <w:tblLook w:firstRow="0" w:lastRow="0" w:firstColumn="0" w:lastColumn="0" w:noHBand="0" w:noVBand="0" w:val="0000"/>
      </w:tblPr>
      <w:tblGrid>
        <w:gridCol w:w="7920"/>
      </w:tblGrid>
      <w:tr>
        <w:tc>
          <w:tcPr/>
          <w:bookmarkStart w:id="45" w:name="fig-concept"/>
          <w:p>
            <w:pPr>
              <w:pStyle w:val="Figure"/>
              <w:jc w:val="center"/>
            </w:pPr>
            <w:r>
              <w:drawing>
                <wp:inline>
                  <wp:extent cx="4905519" cy="5002796"/>
                  <wp:effectExtent b="0" l="0" r="0" t="0"/>
                  <wp:docPr descr="" title="" id="43" name="Picture"/>
                  <a:graphic>
                    <a:graphicData uri="http://schemas.openxmlformats.org/drawingml/2006/picture">
                      <pic:pic>
                        <pic:nvPicPr>
                          <pic:cNvPr descr="figs/concept.png" id="44" name="Picture"/>
                          <pic:cNvPicPr>
                            <a:picLocks noChangeArrowheads="1" noChangeAspect="1"/>
                          </pic:cNvPicPr>
                        </pic:nvPicPr>
                        <pic:blipFill>
                          <a:blip r:embed="rId42"/>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45"/>
        </w:tc>
      </w:tr>
    </w:tbl>
    <w:p>
      <w:r>
        <w:br w:type="page"/>
      </w:r>
    </w:p>
    <w:tbl>
      <w:tblPr>
        <w:tblStyle w:val="Table"/>
        <w:tblW w:type="pct" w:w="5000"/>
        <w:tblLook w:firstRow="0" w:lastRow="0" w:firstColumn="0" w:lastColumn="0" w:noHBand="0" w:noVBand="0" w:val="0000"/>
      </w:tblPr>
      <w:tblGrid>
        <w:gridCol w:w="7920"/>
      </w:tblGrid>
      <w:tr>
        <w:tc>
          <w:tcPr/>
          <w:bookmarkStart w:id="49" w:name="fig-kendall"/>
          <w:p>
            <w:pPr>
              <w:pStyle w:val="Figure"/>
              <w:jc w:val="center"/>
            </w:pPr>
            <w:r>
              <w:drawing>
                <wp:inline>
                  <wp:extent cx="5943600" cy="4379494"/>
                  <wp:effectExtent b="0" l="0" r="0" t="0"/>
                  <wp:docPr descr="" title="" id="47" name="Picture"/>
                  <a:graphic>
                    <a:graphicData uri="http://schemas.openxmlformats.org/drawingml/2006/picture">
                      <pic:pic>
                        <pic:nvPicPr>
                          <pic:cNvPr descr="figs/kendall.png" id="48" name="Picture"/>
                          <pic:cNvPicPr>
                            <a:picLocks noChangeArrowheads="1" noChangeAspect="1"/>
                          </pic:cNvPicPr>
                        </pic:nvPicPr>
                        <pic:blipFill>
                          <a:blip r:embed="rId46"/>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49"/>
        </w:tc>
      </w:tr>
    </w:tbl>
    <w:p>
      <w:r>
        <w:br w:type="page"/>
      </w:r>
    </w:p>
    <w:tbl>
      <w:tblPr>
        <w:tblStyle w:val="Table"/>
        <w:tblW w:type="pct" w:w="5000"/>
        <w:tblLook w:firstRow="0" w:lastRow="0" w:firstColumn="0" w:lastColumn="0" w:noHBand="0" w:noVBand="0" w:val="0000"/>
      </w:tblPr>
      <w:tblGrid>
        <w:gridCol w:w="7920"/>
      </w:tblGrid>
      <w:tr>
        <w:tc>
          <w:tcPr/>
          <w:bookmarkStart w:id="53" w:name="fig-mixeff"/>
          <w:p>
            <w:pPr>
              <w:pStyle w:val="Figure"/>
              <w:jc w:val="center"/>
            </w:pPr>
            <w:r>
              <w:drawing>
                <wp:inline>
                  <wp:extent cx="5943600" cy="5094514"/>
                  <wp:effectExtent b="0" l="0" r="0" t="0"/>
                  <wp:docPr descr="" title="" id="51" name="Picture"/>
                  <a:graphic>
                    <a:graphicData uri="http://schemas.openxmlformats.org/drawingml/2006/picture">
                      <pic:pic>
                        <pic:nvPicPr>
                          <pic:cNvPr descr="figs/mixeff.png" id="52" name="Picture"/>
                          <pic:cNvPicPr>
                            <a:picLocks noChangeArrowheads="1" noChangeAspect="1"/>
                          </pic:cNvPicPr>
                        </pic:nvPicPr>
                        <pic:blipFill>
                          <a:blip r:embed="rId50"/>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3"/>
        </w:tc>
      </w:tr>
    </w:tbl>
    <w:p>
      <w:r>
        <w:br w:type="page"/>
      </w:r>
    </w:p>
    <w:tbl>
      <w:tblPr>
        <w:tblStyle w:val="Table"/>
        <w:tblW w:type="pct" w:w="5000"/>
        <w:tblLook w:firstRow="0" w:lastRow="0" w:firstColumn="0" w:lastColumn="0" w:noHBand="0" w:noVBand="0" w:val="0000"/>
      </w:tblPr>
      <w:tblGrid>
        <w:gridCol w:w="7920"/>
      </w:tblGrid>
      <w:tr>
        <w:tc>
          <w:tcPr/>
          <w:bookmarkStart w:id="57" w:name="fig-nms"/>
          <w:p>
            <w:pPr>
              <w:pStyle w:val="Figure"/>
              <w:jc w:val="center"/>
            </w:pPr>
            <w:r>
              <w:drawing>
                <wp:inline>
                  <wp:extent cx="5943600" cy="2641600"/>
                  <wp:effectExtent b="0" l="0" r="0" t="0"/>
                  <wp:docPr descr="" title="" id="55" name="Picture"/>
                  <a:graphic>
                    <a:graphicData uri="http://schemas.openxmlformats.org/drawingml/2006/picture">
                      <pic:pic>
                        <pic:nvPicPr>
                          <pic:cNvPr descr="figs/nms.png" id="56" name="Picture"/>
                          <pic:cNvPicPr>
                            <a:picLocks noChangeArrowheads="1" noChangeAspect="1"/>
                          </pic:cNvPicPr>
                        </pic:nvPicPr>
                        <pic:blipFill>
                          <a:blip r:embed="rId54"/>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The left plot excludes counts of days with both temperature and salinity above and below the threshods, whereas the right plot excludes the separate temperature and salinity metrics. Points are sized by seagrass frequency occurrence. 95% confidence ellipses are shown for observations in each major bay segment OTB: Old Tampa Bay, HB: Hillsborough Bay, MTB: Middle Tampa Bay.</w:t>
            </w:r>
          </w:p>
          <w:bookmarkEnd w:id="57"/>
        </w:tc>
      </w:tr>
    </w:tbl>
    <w:p>
      <w:r>
        <w:br w:type="page"/>
      </w:r>
    </w:p>
    <w:tbl>
      <w:tblPr>
        <w:tblStyle w:val="Table"/>
        <w:tblW w:type="pct" w:w="5000"/>
        <w:tblLook w:firstRow="0" w:lastRow="0" w:firstColumn="0" w:lastColumn="0" w:noHBand="0" w:noVBand="0" w:val="0000"/>
      </w:tblPr>
      <w:tblGrid>
        <w:gridCol w:w="7920"/>
      </w:tblGrid>
      <w:tr>
        <w:tc>
          <w:tcPr/>
          <w:bookmarkStart w:id="61" w:name="fig-sgmod"/>
          <w:p>
            <w:pPr>
              <w:pStyle w:val="Figure"/>
              <w:jc w:val="center"/>
            </w:pPr>
            <w:r>
              <w:drawing>
                <wp:inline>
                  <wp:extent cx="5943600" cy="4622800"/>
                  <wp:effectExtent b="0" l="0" r="0" t="0"/>
                  <wp:docPr descr="" title="" id="59" name="Picture"/>
                  <a:graphic>
                    <a:graphicData uri="http://schemas.openxmlformats.org/drawingml/2006/picture">
                      <pic:pic>
                        <pic:nvPicPr>
                          <pic:cNvPr descr="figs/sgmod.png" id="60" name="Picture"/>
                          <pic:cNvPicPr>
                            <a:picLocks noChangeArrowheads="1" noChangeAspect="1"/>
                          </pic:cNvPicPr>
                        </pic:nvPicPr>
                        <pic:blipFill>
                          <a:blip r:embed="rId58"/>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decline as (a) percent change between years and (b) probability of decline versus number of days when salinity was below the threshold. Models evaluated the response variable on the y-axes as a function of salinity days and interactions with year category (seagrass recovery prior to 2016, seagrass decline 2016 to present) and bay segment. Shaded areas are 95% confidence intervals. Colored lines in (b) as rug plots show instances of seagrass increase (blue) or decrease (red) by year.</w:t>
            </w:r>
          </w:p>
          <w:bookmarkEnd w:id="61"/>
        </w:tc>
      </w:tr>
    </w:tbl>
    <w:p>
      <w:r>
        <w:br w:type="page"/>
      </w:r>
    </w:p>
    <w:tbl>
      <w:tblPr>
        <w:tblStyle w:val="Table"/>
        <w:tblW w:type="pct" w:w="5000"/>
        <w:tblLook w:firstRow="0" w:lastRow="0" w:firstColumn="0" w:lastColumn="0" w:noHBand="0" w:noVBand="0" w:val="0000"/>
      </w:tblPr>
      <w:tblGrid>
        <w:gridCol w:w="7920"/>
      </w:tblGrid>
      <w:tr>
        <w:tc>
          <w:tcPr/>
          <w:bookmarkStart w:id="65" w:name="fig-flowtemp"/>
          <w:p>
            <w:pPr>
              <w:pStyle w:val="Figure"/>
              <w:jc w:val="center"/>
            </w:pPr>
            <w:r>
              <w:drawing>
                <wp:inline>
                  <wp:extent cx="5495559" cy="3663706"/>
                  <wp:effectExtent b="0" l="0" r="0" t="0"/>
                  <wp:docPr descr="" title="" id="63" name="Picture"/>
                  <a:graphic>
                    <a:graphicData uri="http://schemas.openxmlformats.org/drawingml/2006/picture">
                      <pic:pic>
                        <pic:nvPicPr>
                          <pic:cNvPr descr="figs/flowtemp.png" id="64" name="Picture"/>
                          <pic:cNvPicPr>
                            <a:picLocks noChangeArrowheads="1" noChangeAspect="1"/>
                          </pic:cNvPicPr>
                        </pic:nvPicPr>
                        <pic:blipFill>
                          <a:blip r:embed="rId62"/>
                          <a:stretch>
                            <a:fillRect/>
                          </a:stretch>
                        </pic:blipFill>
                        <pic:spPr bwMode="auto">
                          <a:xfrm>
                            <a:off x="0" y="0"/>
                            <a:ext cx="5495559" cy="3663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Relationship between water temperature and discharge in the Hillsborough River (USGS gage 02303000) over time. The relationship is shown for February (dry month) and August (wet month) grouped by historic (1975-1999) and contemporary (2000-2022) time periods. Regression lines with 95% confidence intervals for each temporal grouping are shown.</w:t>
            </w:r>
          </w:p>
          <w:bookmarkEnd w:id="65"/>
        </w:tc>
      </w:tr>
    </w:tbl>
    <w:p>
      <w:r>
        <w:br w:type="page"/>
      </w:r>
    </w:p>
    <w:bookmarkEnd w:id="66"/>
    <w:bookmarkStart w:id="67" w:name="tables"/>
    <w:p>
      <w:pPr>
        <w:pStyle w:val="Heading2"/>
      </w:pPr>
      <w:r>
        <w:t xml:space="preserve">Tables</w:t>
      </w:r>
    </w:p>
    <w:p>
      <w:pPr>
        <w:pStyle w:val="FirstParagraph"/>
      </w:pPr>
      <w:r>
        <w:t xml:space="preserve">Summary of mixed-effects models evaluating increases in the number of days each year from 1975 to 2022 when temperature was above 30C, salinity was below 25ppt,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 (3.3)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 (13.2)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(2.7)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 (4.8)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(11.8)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 (2.7)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 (3.1)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 (11)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 (1.7)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(3.5)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(1.3)</w:t>
            </w:r>
          </w:p>
        </w:tc>
      </w:tr>
      <w:tr>
        <w:trPr>
          <w:trHeight w:val="360"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r>
    </w:tbl>
    <w:p>
      <w:r>
        <w:br w:type="page"/>
      </w:r>
    </w:p>
    <w:bookmarkEnd w:id="67"/>
    <w:bookmarkStart w:id="127" w:name="references"/>
    <w:p>
      <w:pPr>
        <w:pStyle w:val="Heading2"/>
      </w:pPr>
      <w:r>
        <w:t xml:space="preserve">References</w:t>
      </w:r>
    </w:p>
    <w:bookmarkStart w:id="126" w:name="refs"/>
    <w:bookmarkStart w:id="69" w:name="ref-beck2022"/>
    <w:p>
      <w:pPr>
        <w:pStyle w:val="Bibliography"/>
      </w:pPr>
      <w:r>
        <w:t xml:space="preserve">Beck, Marcus W., Andrew Altieri, Christine Angelini, Maya C. Burke, Jing Chen, Diana W. Chin, Jayne Gardiner, et al. 2022.</w:t>
      </w:r>
      <w:r>
        <w:t xml:space="preserve"> </w:t>
      </w:r>
      <w:r>
        <w:t xml:space="preserve">“Initial Estuarine Response to Inorganic Nutrient Inputs from a Legacy Mining Facility Adjacent to Tampa Bay, Florida.”</w:t>
      </w:r>
      <w:r>
        <w:t xml:space="preserve"> </w:t>
      </w:r>
      <w:r>
        <w:rPr>
          <w:iCs/>
          <w:i/>
        </w:rPr>
        <w:t xml:space="preserve">Marine Pollution Bulletin</w:t>
      </w:r>
      <w:r>
        <w:t xml:space="preserve"> </w:t>
      </w:r>
      <w:r>
        <w:t xml:space="preserve">178 (May): 113598.</w:t>
      </w:r>
      <w:r>
        <w:t xml:space="preserve"> </w:t>
      </w:r>
      <w:hyperlink r:id="rId68">
        <w:r>
          <w:rPr>
            <w:rStyle w:val="Hyperlink"/>
          </w:rPr>
          <w:t xml:space="preserve">https://doi.org/10.1016/j.marpolbul.2022.113598</w:t>
        </w:r>
      </w:hyperlink>
      <w:r>
        <w:t xml:space="preserve">.</w:t>
      </w:r>
    </w:p>
    <w:bookmarkEnd w:id="69"/>
    <w:bookmarkStart w:id="71" w:name="ref-beck2023"/>
    <w:p>
      <w:pPr>
        <w:pStyle w:val="Bibliography"/>
      </w:pPr>
      <w:r>
        <w:t xml:space="preserve">Beck, Marcus W., Douglas E. Robison, Gary E. Raulerson, Maya C. Burke, Justin Saarinen, Christine Sciarrino, Edward T. Sherwood, and David A. Tomasko. 2023.</w:t>
      </w:r>
      <w:r>
        <w:t xml:space="preserve"> </w:t>
      </w:r>
      <w:r>
        <w:t xml:space="preserve">“Addressing Climate Change and Development Pressures in an Urban Estuary Through Habitat Restoration Planning.”</w:t>
      </w:r>
      <w:r>
        <w:t xml:space="preserve"> </w:t>
      </w:r>
      <w:r>
        <w:rPr>
          <w:iCs/>
          <w:i/>
        </w:rPr>
        <w:t xml:space="preserve">Frontiers in Ecology and Evolution</w:t>
      </w:r>
      <w:r>
        <w:t xml:space="preserve"> </w:t>
      </w:r>
      <w:r>
        <w:t xml:space="preserve">11 (January).</w:t>
      </w:r>
      <w:r>
        <w:t xml:space="preserve"> </w:t>
      </w:r>
      <w:hyperlink r:id="rId70">
        <w:r>
          <w:rPr>
            <w:rStyle w:val="Hyperlink"/>
          </w:rPr>
          <w:t xml:space="preserve">https://doi.org/10.3389/fevo.2023.1070266</w:t>
        </w:r>
      </w:hyperlink>
      <w:r>
        <w:t xml:space="preserve">.</w:t>
      </w:r>
    </w:p>
    <w:bookmarkEnd w:id="71"/>
    <w:bookmarkStart w:id="73" w:name="ref-beck2019"/>
    <w:p>
      <w:pPr>
        <w:pStyle w:val="Bibliography"/>
      </w:pPr>
      <w:r>
        <w:t xml:space="preserve">Beck, Marcus W., Edward T. Sherwood, Jessica Renee Henkel, Kirsten Dorans, Kathryn Ireland, and Patricia Varela. 2019.</w:t>
      </w:r>
      <w:r>
        <w:t xml:space="preserve"> </w:t>
      </w:r>
      <w:r>
        <w:t xml:space="preserve">“Assessment of the Cumulative Effects of Restoration Activities on Water Quality in Tampa Bay, Florida.”</w:t>
      </w:r>
      <w:r>
        <w:t xml:space="preserve"> </w:t>
      </w:r>
      <w:r>
        <w:rPr>
          <w:iCs/>
          <w:i/>
        </w:rPr>
        <w:t xml:space="preserve">Estuaries and Coasts</w:t>
      </w:r>
      <w:r>
        <w:t xml:space="preserve"> </w:t>
      </w:r>
      <w:r>
        <w:t xml:space="preserve">42 (7): 1774–91.</w:t>
      </w:r>
      <w:r>
        <w:t xml:space="preserve"> </w:t>
      </w:r>
      <w:hyperlink r:id="rId72">
        <w:r>
          <w:rPr>
            <w:rStyle w:val="Hyperlink"/>
          </w:rPr>
          <w:t xml:space="preserve">https://doi.org/10.1007/s12237-019-00619-w</w:t>
        </w:r>
      </w:hyperlink>
      <w:r>
        <w:t xml:space="preserve">.</w:t>
      </w:r>
    </w:p>
    <w:bookmarkEnd w:id="73"/>
    <w:bookmarkStart w:id="75" w:name="ref-beck2021"/>
    <w:p>
      <w:pPr>
        <w:pStyle w:val="Bibliography"/>
      </w:pPr>
      <w:r>
        <w:t xml:space="preserve">Beck, Marcus, Meagan Schrandt, Michael Wessel, Edward Sherwood, Gary Raulerson, Adhokshaja Prasad, and Benjamin Best. 2021.</w:t>
      </w:r>
      <w:r>
        <w:t xml:space="preserve"> </w:t>
      </w:r>
      <w:r>
        <w:t xml:space="preserve">“Tbeptools: An r Package for Synthesizing Estuarine Data for Environmental Research.”</w:t>
      </w:r>
      <w:r>
        <w:t xml:space="preserve"> </w:t>
      </w:r>
      <w:r>
        <w:rPr>
          <w:iCs/>
          <w:i/>
        </w:rPr>
        <w:t xml:space="preserve">Journal of Open Source Software</w:t>
      </w:r>
      <w:r>
        <w:t xml:space="preserve"> </w:t>
      </w:r>
      <w:r>
        <w:t xml:space="preserve">6 (65): 3485.</w:t>
      </w:r>
      <w:r>
        <w:t xml:space="preserve"> </w:t>
      </w:r>
      <w:hyperlink r:id="rId74">
        <w:r>
          <w:rPr>
            <w:rStyle w:val="Hyperlink"/>
          </w:rPr>
          <w:t xml:space="preserve">https://doi.org/10.21105/joss.03485</w:t>
        </w:r>
      </w:hyperlink>
      <w:r>
        <w:t xml:space="preserve">.</w:t>
      </w:r>
    </w:p>
    <w:bookmarkEnd w:id="75"/>
    <w:bookmarkStart w:id="77" w:name="ref-chamberlain23"/>
    <w:p>
      <w:pPr>
        <w:pStyle w:val="Bibliography"/>
      </w:pPr>
      <w:r>
        <w:t xml:space="preserve">Chamberlain, Scott, and Daniel Hocking. 2023.</w:t>
      </w:r>
      <w:r>
        <w:t xml:space="preserve"> </w:t>
      </w:r>
      <w:r>
        <w:rPr>
          <w:iCs/>
          <w:i/>
        </w:rPr>
        <w:t xml:space="preserve">rnoaa</w:t>
      </w:r>
      <w:r>
        <w:rPr>
          <w:iCs/>
          <w:i/>
        </w:rPr>
        <w:t xml:space="preserve">:</w:t>
      </w:r>
      <w:r>
        <w:rPr>
          <w:iCs/>
          <w:i/>
        </w:rPr>
        <w:t xml:space="preserve"> </w:t>
      </w:r>
      <w:r>
        <w:rPr>
          <w:iCs/>
          <w:i/>
        </w:rPr>
        <w:t xml:space="preserve">’NOAA’</w:t>
      </w:r>
      <w:r>
        <w:rPr>
          <w:iCs/>
          <w:i/>
        </w:rPr>
        <w:t xml:space="preserve"> </w:t>
      </w:r>
      <w:r>
        <w:rPr>
          <w:iCs/>
          <w:i/>
        </w:rPr>
        <w:t xml:space="preserve">Weather Data from</w:t>
      </w:r>
      <w:r>
        <w:rPr>
          <w:iCs/>
          <w:i/>
        </w:rPr>
        <w:t xml:space="preserve"> </w:t>
      </w:r>
      <w:r>
        <w:rPr>
          <w:iCs/>
          <w:i/>
        </w:rPr>
        <w:t xml:space="preserve">R</w:t>
      </w:r>
      <w:r>
        <w:t xml:space="preserve">.</w:t>
      </w:r>
      <w:r>
        <w:t xml:space="preserve"> </w:t>
      </w:r>
      <w:hyperlink r:id="rId76">
        <w:r>
          <w:rPr>
            <w:rStyle w:val="Hyperlink"/>
          </w:rPr>
          <w:t xml:space="preserve">https://CRAN.R-project.org/package=rnoaa</w:t>
        </w:r>
      </w:hyperlink>
      <w:r>
        <w:t xml:space="preserve">.</w:t>
      </w:r>
    </w:p>
    <w:bookmarkEnd w:id="77"/>
    <w:bookmarkStart w:id="79"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78">
        <w:r>
          <w:rPr>
            <w:rStyle w:val="Hyperlink"/>
          </w:rPr>
          <w:t xml:space="preserve">https://doi.org/10.3389/fpls.2021.612947</w:t>
        </w:r>
      </w:hyperlink>
      <w:r>
        <w:t xml:space="preserve">.</w:t>
      </w:r>
    </w:p>
    <w:bookmarkEnd w:id="79"/>
    <w:bookmarkStart w:id="81" w:name="ref-garrett2011"/>
    <w:p>
      <w:pPr>
        <w:pStyle w:val="Bibliography"/>
      </w:pPr>
      <w:r>
        <w:t xml:space="preserve">Garrett, Matthew, Jennifer Wolny, Earnest Truby, Cynthia Heil, and Charles Kovach. 2011.</w:t>
      </w:r>
      <w:r>
        <w:t xml:space="preserve"> </w:t>
      </w:r>
      <w:r>
        <w:t xml:space="preserve">“Harmful Algal Bloom Species and Phosphate-Processing Effluent: Field and Laboratory Studies.”</w:t>
      </w:r>
      <w:r>
        <w:t xml:space="preserve"> </w:t>
      </w:r>
      <w:r>
        <w:rPr>
          <w:iCs/>
          <w:i/>
        </w:rPr>
        <w:t xml:space="preserve">Marine Pollution Bulletin</w:t>
      </w:r>
      <w:r>
        <w:t xml:space="preserve"> </w:t>
      </w:r>
      <w:r>
        <w:t xml:space="preserve">62 (3): 596–601.</w:t>
      </w:r>
      <w:r>
        <w:t xml:space="preserve"> </w:t>
      </w:r>
      <w:hyperlink r:id="rId80">
        <w:r>
          <w:rPr>
            <w:rStyle w:val="Hyperlink"/>
          </w:rPr>
          <w:t xml:space="preserve">https://doi.org/10.1016/j.marpolbul.2010.11.017</w:t>
        </w:r>
      </w:hyperlink>
      <w:r>
        <w:t xml:space="preserve">.</w:t>
      </w:r>
    </w:p>
    <w:bookmarkEnd w:id="81"/>
    <w:bookmarkStart w:id="83" w:name="ref-greening2014"/>
    <w:p>
      <w:pPr>
        <w:pStyle w:val="Bibliography"/>
      </w:pPr>
      <w:r>
        <w:t xml:space="preserve">Greening, H., A. Janicki, E. T. Sherwood, R. Pribble, and J. O. R. Johansson. 2014.</w:t>
      </w:r>
      <w:r>
        <w:t xml:space="preserve"> </w:t>
      </w:r>
      <w:r>
        <w:t xml:space="preserve">“Ecosystem Responses to Long-Term Nutrient Management in an Urban Estuary: Tampa Bay, Florida, USA.”</w:t>
      </w:r>
      <w:r>
        <w:t xml:space="preserve"> </w:t>
      </w:r>
      <w:r>
        <w:rPr>
          <w:iCs/>
          <w:i/>
        </w:rPr>
        <w:t xml:space="preserve">Estuarine, Coastal and Shelf Science</w:t>
      </w:r>
      <w:r>
        <w:t xml:space="preserve"> </w:t>
      </w:r>
      <w:r>
        <w:t xml:space="preserve">151 (December): A1–16.</w:t>
      </w:r>
      <w:r>
        <w:t xml:space="preserve"> </w:t>
      </w:r>
      <w:hyperlink r:id="rId82">
        <w:r>
          <w:rPr>
            <w:rStyle w:val="Hyperlink"/>
          </w:rPr>
          <w:t xml:space="preserve">https://doi.org/10.1016/j.ecss.2014.10.003</w:t>
        </w:r>
      </w:hyperlink>
      <w:r>
        <w:t xml:space="preserve">.</w:t>
      </w:r>
    </w:p>
    <w:bookmarkEnd w:id="83"/>
    <w:bookmarkStart w:id="85" w:name="ref-greening2006"/>
    <w:p>
      <w:pPr>
        <w:pStyle w:val="Bibliography"/>
      </w:pPr>
      <w:r>
        <w:t xml:space="preserve">Greening, Holly, and Anthony Janicki. 2006.</w:t>
      </w:r>
      <w:r>
        <w:t xml:space="preserve"> </w:t>
      </w:r>
      <w:r>
        <w:t xml:space="preserve">“Toward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(2): 163–78.</w:t>
      </w:r>
      <w:r>
        <w:t xml:space="preserve"> </w:t>
      </w:r>
      <w:hyperlink r:id="rId84">
        <w:r>
          <w:rPr>
            <w:rStyle w:val="Hyperlink"/>
          </w:rPr>
          <w:t xml:space="preserve">https://doi.org/10.1007/s00267-005-0079-4</w:t>
        </w:r>
      </w:hyperlink>
      <w:r>
        <w:t xml:space="preserve">.</w:t>
      </w:r>
    </w:p>
    <w:bookmarkEnd w:id="85"/>
    <w:bookmarkStart w:id="87"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86">
        <w:r>
          <w:rPr>
            <w:rStyle w:val="Hyperlink"/>
          </w:rPr>
          <w:t xml:space="preserve">https://doi.org/10.1073/pnas.2220678120</w:t>
        </w:r>
      </w:hyperlink>
      <w:r>
        <w:t xml:space="preserve">.</w:t>
      </w:r>
    </w:p>
    <w:bookmarkEnd w:id="87"/>
    <w:bookmarkStart w:id="89" w:name="ref-tbep0623"/>
    <w:p>
      <w:pPr>
        <w:pStyle w:val="Bibliography"/>
      </w:pPr>
      <w:r>
        <w:t xml:space="preserve">Janicki Environmental, Inc. 2023.</w:t>
      </w:r>
      <w:r>
        <w:t xml:space="preserve"> </w:t>
      </w:r>
      <w:r>
        <w:t xml:space="preserve">“Estimates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2017-2021.”</w:t>
      </w:r>
      <w:r>
        <w:t xml:space="preserve"> </w:t>
      </w:r>
      <w:r>
        <w:t xml:space="preserve">06-23. St. Petersburg, Florida: Tampa Bay Estuary Program.</w:t>
      </w:r>
      <w:r>
        <w:t xml:space="preserve"> </w:t>
      </w:r>
      <w:hyperlink r:id="rId88">
        <w:r>
          <w:rPr>
            <w:rStyle w:val="Hyperlink"/>
          </w:rPr>
          <w:t xml:space="preserve">https://drive.google.com/file/d/1KARuSC5fGx05MuT1wiOQFWNXysBokkQl/view?usp=share_link</w:t>
        </w:r>
      </w:hyperlink>
      <w:r>
        <w:t xml:space="preserve">.</w:t>
      </w:r>
    </w:p>
    <w:bookmarkEnd w:id="89"/>
    <w:bookmarkStart w:id="90" w:name="ref-tbep0816"/>
    <w:p>
      <w:pPr>
        <w:pStyle w:val="Bibliography"/>
      </w:pPr>
      <w:r>
        <w:t xml:space="preserve">Johansson, R. 2016.</w:t>
      </w:r>
      <w:r>
        <w:t xml:space="preserve"> </w:t>
      </w:r>
      <w:r>
        <w:t xml:space="preserve">“Seagrass Transect Monitoring in</w:t>
      </w:r>
      <w:r>
        <w:t xml:space="preserve"> </w:t>
      </w:r>
      <w:r>
        <w:t xml:space="preserve">T</w:t>
      </w:r>
      <w:r>
        <w:t xml:space="preserve">ampa</w:t>
      </w:r>
      <w:r>
        <w:t xml:space="preserve"> </w:t>
      </w:r>
      <w:r>
        <w:t xml:space="preserve">B</w:t>
      </w:r>
      <w:r>
        <w:t xml:space="preserve">ay: A Summary of Findings from 1997 Through 2015.”</w:t>
      </w:r>
    </w:p>
    <w:bookmarkEnd w:id="90"/>
    <w:bookmarkStart w:id="91" w:name="ref-johansson15"/>
    <w:p>
      <w:pPr>
        <w:pStyle w:val="Bibliography"/>
      </w:pPr>
      <w:r>
        <w:t xml:space="preserve">Johansson, R., and Janicki Environmental, Inc. 2015.</w:t>
      </w:r>
      <w:r>
        <w:t xml:space="preserve"> </w:t>
      </w:r>
      <w:r>
        <w:t xml:space="preserve">“Long-Term Underwater Light Climate Variation and Submerged Seagrass Trends in</w:t>
      </w:r>
      <w:r>
        <w:t xml:space="preserve"> </w:t>
      </w:r>
      <w:r>
        <w:t xml:space="preserve">T</w:t>
      </w:r>
      <w:r>
        <w:t xml:space="preserve">ampa</w:t>
      </w:r>
      <w:r>
        <w:t xml:space="preserve"> </w:t>
      </w:r>
      <w:r>
        <w:t xml:space="preserve">B</w:t>
      </w:r>
      <w:r>
        <w:t xml:space="preserve">ay,</w:t>
      </w:r>
      <w:r>
        <w:t xml:space="preserve"> </w:t>
      </w:r>
      <w:r>
        <w:t xml:space="preserve">F</w:t>
      </w:r>
      <w:r>
        <w:t xml:space="preserve">lorida: With a Discussion of Phytoplankton and</w:t>
      </w:r>
      <w:r>
        <w:t xml:space="preserve"> </w:t>
      </w:r>
      <w:r>
        <w:t xml:space="preserve">CDOM</w:t>
      </w:r>
      <w:r>
        <w:t xml:space="preserve"> </w:t>
      </w:r>
      <w:r>
        <w:t xml:space="preserve">Interactions.”</w:t>
      </w:r>
    </w:p>
    <w:bookmarkEnd w:id="91"/>
    <w:bookmarkStart w:id="93"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92">
        <w:r>
          <w:rPr>
            <w:rStyle w:val="Hyperlink"/>
          </w:rPr>
          <w:t xml:space="preserve">https://drive.google.com/file/d/1sNp3FpjdeOjATZ9nDRRAiXEOqQen9W_p/view?usp=sharing</w:t>
        </w:r>
      </w:hyperlink>
      <w:r>
        <w:t xml:space="preserve">.</w:t>
      </w:r>
    </w:p>
    <w:bookmarkEnd w:id="93"/>
    <w:bookmarkStart w:id="95"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94">
        <w:r>
          <w:rPr>
            <w:rStyle w:val="Hyperlink"/>
          </w:rPr>
          <w:t xml:space="preserve">https://doi.org/10.1007/bf02691700</w:t>
        </w:r>
      </w:hyperlink>
      <w:r>
        <w:t xml:space="preserve">.</w:t>
      </w:r>
    </w:p>
    <w:bookmarkEnd w:id="95"/>
    <w:bookmarkStart w:id="96" w:name="ref-lopez2023"/>
    <w:p>
      <w:pPr>
        <w:pStyle w:val="Bibliography"/>
      </w:pPr>
      <w:r>
        <w:t xml:space="preserve">Lopez, Cary B, Sugandha Shankar, Sara G Kaminski, and Katherine A Hubbard. 2023.</w:t>
      </w:r>
      <w:r>
        <w:t xml:space="preserve"> </w:t>
      </w:r>
      <w:r>
        <w:t xml:space="preserve">“</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96"/>
    <w:bookmarkStart w:id="98"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97">
        <w:r>
          <w:rPr>
            <w:rStyle w:val="Hyperlink"/>
          </w:rPr>
          <w:t xml:space="preserve">https://doi.org/10.3389/fmars.2021.769877</w:t>
        </w:r>
      </w:hyperlink>
      <w:r>
        <w:t xml:space="preserve">.</w:t>
      </w:r>
    </w:p>
    <w:bookmarkEnd w:id="98"/>
    <w:bookmarkStart w:id="100"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99">
        <w:r>
          <w:rPr>
            <w:rStyle w:val="Hyperlink"/>
          </w:rPr>
          <w:t xml:space="preserve">https://doi.org/10.2307/1932688</w:t>
        </w:r>
      </w:hyperlink>
      <w:r>
        <w:t xml:space="preserve">.</w:t>
      </w:r>
    </w:p>
    <w:bookmarkEnd w:id="100"/>
    <w:bookmarkStart w:id="102" w:name="ref-luther2022"/>
    <w:p>
      <w:pPr>
        <w:pStyle w:val="Bibliography"/>
      </w:pPr>
      <w:r>
        <w:t xml:space="preserve">M.E. Luther, S.D. Meyers. 2022.</w:t>
      </w:r>
      <w:r>
        <w:t xml:space="preserve"> </w:t>
      </w:r>
      <w:r>
        <w:t xml:space="preserve">“</w:t>
      </w:r>
      <w:r>
        <w:t xml:space="preserve">Designing a Genetic Algorithm for the Selection of Causeway Cut-Throughs in Old Tampa Bay: Planning and Prototyping</w:t>
      </w:r>
      <w:r>
        <w:t xml:space="preserve">.”</w:t>
      </w:r>
      <w:r>
        <w:t xml:space="preserve"> </w:t>
      </w:r>
      <w:r>
        <w:t xml:space="preserve">08-22. St. Petersburg, Florida: Tampa Bay Estuary Program.</w:t>
      </w:r>
      <w:r>
        <w:t xml:space="preserve"> </w:t>
      </w:r>
      <w:hyperlink r:id="rId101">
        <w:r>
          <w:rPr>
            <w:rStyle w:val="Hyperlink"/>
          </w:rPr>
          <w:t xml:space="preserve">https://drive.google.com/file/d/1-1Jq9vly5EvVwEp698brlBucXjSMDbNn/view?usp=sharing</w:t>
        </w:r>
      </w:hyperlink>
      <w:r>
        <w:t xml:space="preserve">.</w:t>
      </w:r>
    </w:p>
    <w:bookmarkEnd w:id="102"/>
    <w:bookmarkStart w:id="104"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103">
        <w:r>
          <w:rPr>
            <w:rStyle w:val="Hyperlink"/>
          </w:rPr>
          <w:t xml:space="preserve">https://doi.org/10.1016/j.dsr2.2023.105321</w:t>
        </w:r>
      </w:hyperlink>
      <w:r>
        <w:t xml:space="preserve">.</w:t>
      </w:r>
    </w:p>
    <w:bookmarkEnd w:id="104"/>
    <w:bookmarkStart w:id="105"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105"/>
    <w:bookmarkStart w:id="107"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106">
        <w:r>
          <w:rPr>
            <w:rStyle w:val="Hyperlink"/>
          </w:rPr>
          <w:t xml:space="preserve">https://doi.org/10.3354/meps322099</w:t>
        </w:r>
      </w:hyperlink>
      <w:r>
        <w:t xml:space="preserve">.</w:t>
      </w:r>
    </w:p>
    <w:bookmarkEnd w:id="107"/>
    <w:bookmarkStart w:id="109" w:name="ref-Robison20"/>
    <w:p>
      <w:pPr>
        <w:pStyle w:val="Bibliography"/>
      </w:pPr>
      <w:r>
        <w:t xml:space="preserve">Robison, D., T. Ries, J. Saarinen, D. Tomasko, and C. Sciarrino. 2020.</w:t>
      </w:r>
      <w:r>
        <w:t xml:space="preserve"> </w:t>
      </w:r>
      <w:r>
        <w:t xml:space="preserve">“</w:t>
      </w:r>
      <w:r>
        <w:t xml:space="preserve">Tampa Bay Estuary Program: 2020 Habitat Master Plan Update</w:t>
      </w:r>
      <w:r>
        <w:t xml:space="preserve">.”</w:t>
      </w:r>
      <w:r>
        <w:t xml:space="preserve"> </w:t>
      </w:r>
      <w:r>
        <w:t xml:space="preserve">Technical report. Tampa Bay Estuary Program, St. Petersburg, Florida.</w:t>
      </w:r>
      <w:r>
        <w:t xml:space="preserve"> </w:t>
      </w:r>
      <w:hyperlink r:id="rId108">
        <w:r>
          <w:rPr>
            <w:rStyle w:val="Hyperlink"/>
          </w:rPr>
          <w:t xml:space="preserve">https://drive.google.com/file/d/1Hp0l_qtbxp1JxKJoGatdyuANSzQrpL0I/view?usp=drivesdk</w:t>
        </w:r>
      </w:hyperlink>
      <w:r>
        <w:t xml:space="preserve">.</w:t>
      </w:r>
    </w:p>
    <w:bookmarkEnd w:id="109"/>
    <w:bookmarkStart w:id="111" w:name="ref-schrandt2021"/>
    <w:p>
      <w:pPr>
        <w:pStyle w:val="Bibliography"/>
      </w:pPr>
      <w:r>
        <w:t xml:space="preserve">Schrandt, Meagan N., Timothy C. MacDonald, Edward T. Sherwood, and Marcus W. Beck. 2021.</w:t>
      </w:r>
      <w:r>
        <w:t xml:space="preserve"> </w:t>
      </w:r>
      <w:r>
        <w:t xml:space="preserve">“A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(April): 107310.</w:t>
      </w:r>
      <w:r>
        <w:t xml:space="preserve"> </w:t>
      </w:r>
      <w:hyperlink r:id="rId110">
        <w:r>
          <w:rPr>
            <w:rStyle w:val="Hyperlink"/>
          </w:rPr>
          <w:t xml:space="preserve">https://doi.org/10.1016/j.ecolind.2020.107310</w:t>
        </w:r>
      </w:hyperlink>
      <w:r>
        <w:t xml:space="preserve">.</w:t>
      </w:r>
    </w:p>
    <w:bookmarkEnd w:id="111"/>
    <w:bookmarkStart w:id="113" w:name="ref-sherwood2017"/>
    <w:p>
      <w:pPr>
        <w:pStyle w:val="Bibliography"/>
      </w:pPr>
      <w:r>
        <w:t xml:space="preserve">Sherwood, Edward T., Holly S. Greening, J. O. Roger Johansson, Kristen Kaufman, and Gary E. Raulerson. 2017.</w:t>
      </w:r>
      <w:r>
        <w:t xml:space="preserve"> </w:t>
      </w:r>
      <w:r>
        <w:t xml:space="preserve">“Tampa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(3): 294–319.</w:t>
      </w:r>
      <w:r>
        <w:t xml:space="preserve"> </w:t>
      </w:r>
      <w:hyperlink r:id="rId112">
        <w:r>
          <w:rPr>
            <w:rStyle w:val="Hyperlink"/>
          </w:rPr>
          <w:t xml:space="preserve">https://doi.org/10.1353/sgo.2017.0026</w:t>
        </w:r>
      </w:hyperlink>
      <w:r>
        <w:t xml:space="preserve">.</w:t>
      </w:r>
    </w:p>
    <w:bookmarkEnd w:id="113"/>
    <w:bookmarkStart w:id="115" w:name="ref-sherwood2015"/>
    <w:p>
      <w:pPr>
        <w:pStyle w:val="Bibliography"/>
      </w:pPr>
      <w:r>
        <w:t xml:space="preserve">Sherwood, E., H. Greening, L. Garcia, K. Kaufman, T. Janicki, R. Pribble, B. Cunningham, et al. 2015.</w:t>
      </w:r>
      <w:r>
        <w:t xml:space="preserve"> </w:t>
      </w:r>
      <w:r>
        <w:t xml:space="preserve">“Development of an Integrated Ecosystem Model to Determine Effectiveness of Potential Watershed Management Projects on Improving</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10-15. St. Petersburg, Florida: Tampa Bay Estuary Program.</w:t>
      </w:r>
      <w:r>
        <w:t xml:space="preserve"> </w:t>
      </w:r>
      <w:hyperlink r:id="rId114">
        <w:r>
          <w:rPr>
            <w:rStyle w:val="Hyperlink"/>
          </w:rPr>
          <w:t xml:space="preserve">https://drive.google.com/file/d/1BCviGfLykVX-p1tA3b0306deP3pKMagr/view?usp=drivesdk</w:t>
        </w:r>
      </w:hyperlink>
      <w:r>
        <w:t xml:space="preserve">.</w:t>
      </w:r>
    </w:p>
    <w:bookmarkEnd w:id="115"/>
    <w:bookmarkStart w:id="117" w:name="ref-SWFWMD23"/>
    <w:p>
      <w:pPr>
        <w:pStyle w:val="Bibliography"/>
      </w:pPr>
      <w:r>
        <w:t xml:space="preserve">Southwest Florida Water Management District. 2023.</w:t>
      </w:r>
      <w:r>
        <w:t xml:space="preserve"> </w:t>
      </w:r>
      <w:r>
        <w:t xml:space="preserve">“Seagrass in 2022.”</w:t>
      </w:r>
      <w:r>
        <w:t xml:space="preserve"> </w:t>
      </w:r>
      <w:hyperlink r:id="rId116">
        <w:r>
          <w:rPr>
            <w:rStyle w:val="Hyperlink"/>
          </w:rPr>
          <w:t xml:space="preserve">https://data-swfwmd.opendata.arcgis.com/datasets/seagrass-in-2022</w:t>
        </w:r>
      </w:hyperlink>
      <w:r>
        <w:t xml:space="preserve">.</w:t>
      </w:r>
    </w:p>
    <w:bookmarkEnd w:id="117"/>
    <w:bookmarkStart w:id="119"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118">
        <w:r>
          <w:rPr>
            <w:rStyle w:val="Hyperlink"/>
          </w:rPr>
          <w:t xml:space="preserve">https://doi.org/10.1002/nt.2620020503</w:t>
        </w:r>
      </w:hyperlink>
      <w:r>
        <w:t xml:space="preserve">.</w:t>
      </w:r>
    </w:p>
    <w:bookmarkEnd w:id="119"/>
    <w:bookmarkStart w:id="121"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120">
        <w:r>
          <w:rPr>
            <w:rStyle w:val="Hyperlink"/>
          </w:rPr>
          <w:t xml:space="preserve">https://doi.org/10.1002/lol2.10098</w:t>
        </w:r>
      </w:hyperlink>
      <w:r>
        <w:t xml:space="preserve">.</w:t>
      </w:r>
    </w:p>
    <w:bookmarkEnd w:id="121"/>
    <w:bookmarkStart w:id="123"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122">
        <w:r>
          <w:rPr>
            <w:rStyle w:val="Hyperlink"/>
          </w:rPr>
          <w:t xml:space="preserve">https://doi.org/10.1016/j.marpolbul.2023.115043</w:t>
        </w:r>
      </w:hyperlink>
      <w:r>
        <w:t xml:space="preserve">.</w:t>
      </w:r>
    </w:p>
    <w:bookmarkEnd w:id="123"/>
    <w:bookmarkStart w:id="125"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124">
        <w:r>
          <w:rPr>
            <w:rStyle w:val="Hyperlink"/>
          </w:rPr>
          <w:t xml:space="preserve">https://doi.org/10.1016/0304-3770(75)90016-9</w:t>
        </w:r>
      </w:hyperlink>
      <w:r>
        <w:t xml:space="preserve">.</w:t>
      </w:r>
    </w:p>
    <w:bookmarkEnd w:id="125"/>
    <w:bookmarkEnd w:id="126"/>
    <w:bookmarkEnd w:id="127"/>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2" Target="media/rId42.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34" Target="media/rId34.png" /><Relationship Type="http://schemas.openxmlformats.org/officeDocument/2006/relationships/image" Id="rId58" Target="media/rId58.png" /><Relationship Type="http://schemas.openxmlformats.org/officeDocument/2006/relationships/hyperlink" Id="rId76" Target="https://CRAN.R-project.org/package=rnoaa" TargetMode="External" /><Relationship Type="http://schemas.openxmlformats.org/officeDocument/2006/relationships/hyperlink" Id="rId116" Target="https://data-swfwmd.opendata.arcgis.com/datasets/seagrass-in-2022" TargetMode="External" /><Relationship Type="http://schemas.openxmlformats.org/officeDocument/2006/relationships/hyperlink" Id="rId120" Target="https://doi.org/10.1002/lol2.10098" TargetMode="External" /><Relationship Type="http://schemas.openxmlformats.org/officeDocument/2006/relationships/hyperlink" Id="rId118" Target="https://doi.org/10.1002/nt.2620020503" TargetMode="External" /><Relationship Type="http://schemas.openxmlformats.org/officeDocument/2006/relationships/hyperlink" Id="rId94" Target="https://doi.org/10.1007/bf02691700" TargetMode="External" /><Relationship Type="http://schemas.openxmlformats.org/officeDocument/2006/relationships/hyperlink" Id="rId84" Target="https://doi.org/10.1007/s00267-005-0079-4" TargetMode="External" /><Relationship Type="http://schemas.openxmlformats.org/officeDocument/2006/relationships/hyperlink" Id="rId72" Target="https://doi.org/10.1007/s12237-019-00619-w" TargetMode="External" /><Relationship Type="http://schemas.openxmlformats.org/officeDocument/2006/relationships/hyperlink" Id="rId124" Target="https://doi.org/10.1016/0304-3770(75)90016-9" TargetMode="External" /><Relationship Type="http://schemas.openxmlformats.org/officeDocument/2006/relationships/hyperlink" Id="rId103" Target="https://doi.org/10.1016/j.dsr2.2023.105321" TargetMode="External" /><Relationship Type="http://schemas.openxmlformats.org/officeDocument/2006/relationships/hyperlink" Id="rId110" Target="https://doi.org/10.1016/j.ecolind.2020.107310" TargetMode="External" /><Relationship Type="http://schemas.openxmlformats.org/officeDocument/2006/relationships/hyperlink" Id="rId82" Target="https://doi.org/10.1016/j.ecss.2014.10.003" TargetMode="External" /><Relationship Type="http://schemas.openxmlformats.org/officeDocument/2006/relationships/hyperlink" Id="rId80" Target="https://doi.org/10.1016/j.marpolbul.2010.11.017" TargetMode="External" /><Relationship Type="http://schemas.openxmlformats.org/officeDocument/2006/relationships/hyperlink" Id="rId68" Target="https://doi.org/10.1016/j.marpolbul.2022.113598" TargetMode="External" /><Relationship Type="http://schemas.openxmlformats.org/officeDocument/2006/relationships/hyperlink" Id="rId122" Target="https://doi.org/10.1016/j.marpolbul.2023.115043" TargetMode="External" /><Relationship Type="http://schemas.openxmlformats.org/officeDocument/2006/relationships/hyperlink" Id="rId86" Target="https://doi.org/10.1073/pnas.2220678120" TargetMode="External" /><Relationship Type="http://schemas.openxmlformats.org/officeDocument/2006/relationships/hyperlink" Id="rId112" Target="https://doi.org/10.1353/sgo.2017.0026" TargetMode="External" /><Relationship Type="http://schemas.openxmlformats.org/officeDocument/2006/relationships/hyperlink" Id="rId74" Target="https://doi.org/10.21105/joss.03485" TargetMode="External" /><Relationship Type="http://schemas.openxmlformats.org/officeDocument/2006/relationships/hyperlink" Id="rId99" Target="https://doi.org/10.2307/1932688" TargetMode="External" /><Relationship Type="http://schemas.openxmlformats.org/officeDocument/2006/relationships/hyperlink" Id="rId106" Target="https://doi.org/10.3354/meps322099" TargetMode="External" /><Relationship Type="http://schemas.openxmlformats.org/officeDocument/2006/relationships/hyperlink" Id="rId70" Target="https://doi.org/10.3389/fevo.2023.1070266" TargetMode="External" /><Relationship Type="http://schemas.openxmlformats.org/officeDocument/2006/relationships/hyperlink" Id="rId97" Target="https://doi.org/10.3389/fmars.2021.769877" TargetMode="External" /><Relationship Type="http://schemas.openxmlformats.org/officeDocument/2006/relationships/hyperlink" Id="rId78" Target="https://doi.org/10.3389/fpls.2021.612947" TargetMode="External" /><Relationship Type="http://schemas.openxmlformats.org/officeDocument/2006/relationships/hyperlink" Id="rId101" Target="https://drive.google.com/file/d/1-1Jq9vly5EvVwEp698brlBucXjSMDbNn/view?usp=sharing" TargetMode="External" /><Relationship Type="http://schemas.openxmlformats.org/officeDocument/2006/relationships/hyperlink" Id="rId114" Target="https://drive.google.com/file/d/1BCviGfLykVX-p1tA3b0306deP3pKMagr/view?usp=drivesdk" TargetMode="External" /><Relationship Type="http://schemas.openxmlformats.org/officeDocument/2006/relationships/hyperlink" Id="rId108" Target="https://drive.google.com/file/d/1Hp0l_qtbxp1JxKJoGatdyuANSzQrpL0I/view?usp=drivesdk" TargetMode="External" /><Relationship Type="http://schemas.openxmlformats.org/officeDocument/2006/relationships/hyperlink" Id="rId88" Target="https://drive.google.com/file/d/1KARuSC5fGx05MuT1wiOQFWNXysBokkQl/view?usp=share_link" TargetMode="External" /><Relationship Type="http://schemas.openxmlformats.org/officeDocument/2006/relationships/hyperlink" Id="rId92"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6" Target="https://CRAN.R-project.org/package=rnoaa" TargetMode="External" /><Relationship Type="http://schemas.openxmlformats.org/officeDocument/2006/relationships/hyperlink" Id="rId116" Target="https://data-swfwmd.opendata.arcgis.com/datasets/seagrass-in-2022" TargetMode="External" /><Relationship Type="http://schemas.openxmlformats.org/officeDocument/2006/relationships/hyperlink" Id="rId120" Target="https://doi.org/10.1002/lol2.10098" TargetMode="External" /><Relationship Type="http://schemas.openxmlformats.org/officeDocument/2006/relationships/hyperlink" Id="rId118" Target="https://doi.org/10.1002/nt.2620020503" TargetMode="External" /><Relationship Type="http://schemas.openxmlformats.org/officeDocument/2006/relationships/hyperlink" Id="rId94" Target="https://doi.org/10.1007/bf02691700" TargetMode="External" /><Relationship Type="http://schemas.openxmlformats.org/officeDocument/2006/relationships/hyperlink" Id="rId84" Target="https://doi.org/10.1007/s00267-005-0079-4" TargetMode="External" /><Relationship Type="http://schemas.openxmlformats.org/officeDocument/2006/relationships/hyperlink" Id="rId72" Target="https://doi.org/10.1007/s12237-019-00619-w" TargetMode="External" /><Relationship Type="http://schemas.openxmlformats.org/officeDocument/2006/relationships/hyperlink" Id="rId124" Target="https://doi.org/10.1016/0304-3770(75)90016-9" TargetMode="External" /><Relationship Type="http://schemas.openxmlformats.org/officeDocument/2006/relationships/hyperlink" Id="rId103" Target="https://doi.org/10.1016/j.dsr2.2023.105321" TargetMode="External" /><Relationship Type="http://schemas.openxmlformats.org/officeDocument/2006/relationships/hyperlink" Id="rId110" Target="https://doi.org/10.1016/j.ecolind.2020.107310" TargetMode="External" /><Relationship Type="http://schemas.openxmlformats.org/officeDocument/2006/relationships/hyperlink" Id="rId82" Target="https://doi.org/10.1016/j.ecss.2014.10.003" TargetMode="External" /><Relationship Type="http://schemas.openxmlformats.org/officeDocument/2006/relationships/hyperlink" Id="rId80" Target="https://doi.org/10.1016/j.marpolbul.2010.11.017" TargetMode="External" /><Relationship Type="http://schemas.openxmlformats.org/officeDocument/2006/relationships/hyperlink" Id="rId68" Target="https://doi.org/10.1016/j.marpolbul.2022.113598" TargetMode="External" /><Relationship Type="http://schemas.openxmlformats.org/officeDocument/2006/relationships/hyperlink" Id="rId122" Target="https://doi.org/10.1016/j.marpolbul.2023.115043" TargetMode="External" /><Relationship Type="http://schemas.openxmlformats.org/officeDocument/2006/relationships/hyperlink" Id="rId86" Target="https://doi.org/10.1073/pnas.2220678120" TargetMode="External" /><Relationship Type="http://schemas.openxmlformats.org/officeDocument/2006/relationships/hyperlink" Id="rId112" Target="https://doi.org/10.1353/sgo.2017.0026" TargetMode="External" /><Relationship Type="http://schemas.openxmlformats.org/officeDocument/2006/relationships/hyperlink" Id="rId74" Target="https://doi.org/10.21105/joss.03485" TargetMode="External" /><Relationship Type="http://schemas.openxmlformats.org/officeDocument/2006/relationships/hyperlink" Id="rId99" Target="https://doi.org/10.2307/1932688" TargetMode="External" /><Relationship Type="http://schemas.openxmlformats.org/officeDocument/2006/relationships/hyperlink" Id="rId106" Target="https://doi.org/10.3354/meps322099" TargetMode="External" /><Relationship Type="http://schemas.openxmlformats.org/officeDocument/2006/relationships/hyperlink" Id="rId70" Target="https://doi.org/10.3389/fevo.2023.1070266" TargetMode="External" /><Relationship Type="http://schemas.openxmlformats.org/officeDocument/2006/relationships/hyperlink" Id="rId97" Target="https://doi.org/10.3389/fmars.2021.769877" TargetMode="External" /><Relationship Type="http://schemas.openxmlformats.org/officeDocument/2006/relationships/hyperlink" Id="rId78" Target="https://doi.org/10.3389/fpls.2021.612947" TargetMode="External" /><Relationship Type="http://schemas.openxmlformats.org/officeDocument/2006/relationships/hyperlink" Id="rId101" Target="https://drive.google.com/file/d/1-1Jq9vly5EvVwEp698brlBucXjSMDbNn/view?usp=sharing" TargetMode="External" /><Relationship Type="http://schemas.openxmlformats.org/officeDocument/2006/relationships/hyperlink" Id="rId114" Target="https://drive.google.com/file/d/1BCviGfLykVX-p1tA3b0306deP3pKMagr/view?usp=drivesdk" TargetMode="External" /><Relationship Type="http://schemas.openxmlformats.org/officeDocument/2006/relationships/hyperlink" Id="rId108" Target="https://drive.google.com/file/d/1Hp0l_qtbxp1JxKJoGatdyuANSzQrpL0I/view?usp=drivesdk" TargetMode="External" /><Relationship Type="http://schemas.openxmlformats.org/officeDocument/2006/relationships/hyperlink" Id="rId88" Target="https://drive.google.com/file/d/1KARuSC5fGx05MuT1wiOQFWNXysBokkQl/view?usp=share_link" TargetMode="External" /><Relationship Type="http://schemas.openxmlformats.org/officeDocument/2006/relationships/hyperlink" Id="rId92"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2023-10-25T16:00:43Z</dcterms:created>
  <dcterms:modified xsi:type="dcterms:W3CDTF">2023-10-25T16:00:43Z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