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8.png" ContentType="image/png"/>
  <Override PartName="/word/media/rId52.png" ContentType="image/png"/>
  <Override PartName="/word/media/rId44.png" ContentType="image/png"/>
  <Override PartName="/word/media/rId56.png" ContentType="image/png"/>
  <Override PartName="/word/media/rId40.png" ContentType="image/png"/>
  <Override PartName="/word/media/rId6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3" w:name="introduction"/>
    <w:p>
      <w:pPr>
        <w:pStyle w:val="Heading2"/>
      </w:pPr>
      <w:r>
        <w:t xml:space="preserve">1 Introduction</w:t>
      </w:r>
    </w:p>
    <w:p>
      <w:pPr>
        <w:numPr>
          <w:ilvl w:val="0"/>
          <w:numId w:val="1001"/>
        </w:numPr>
        <w:pStyle w:val="Compact"/>
      </w:pPr>
      <w:r>
        <w:t xml:space="preserve">Importance of seagrass as foundation species</w:t>
      </w:r>
    </w:p>
    <w:p>
      <w:pPr>
        <w:numPr>
          <w:ilvl w:val="0"/>
          <w:numId w:val="1001"/>
        </w:numPr>
        <w:pStyle w:val="Compact"/>
      </w:pPr>
      <w:r>
        <w:t xml:space="preserve">Tampa Bay context</w:t>
      </w:r>
    </w:p>
    <w:p>
      <w:pPr>
        <w:numPr>
          <w:ilvl w:val="0"/>
          <w:numId w:val="1001"/>
        </w:numPr>
        <w:pStyle w:val="Compact"/>
      </w:pPr>
      <w:r>
        <w:t xml:space="preserve">Climate change stressors</w:t>
      </w:r>
    </w:p>
    <w:p>
      <w:pPr>
        <w:numPr>
          <w:ilvl w:val="0"/>
          <w:numId w:val="1001"/>
        </w:numPr>
        <w:pStyle w:val="Compact"/>
      </w:pPr>
      <w:r>
        <w:t xml:space="preserve">Goals/objectives</w:t>
      </w:r>
    </w:p>
    <w:p>
      <w:pPr>
        <w:numPr>
          <w:ilvl w:val="1"/>
          <w:numId w:val="1002"/>
        </w:numPr>
        <w:pStyle w:val="Compact"/>
      </w:pPr>
      <w:r>
        <w:t xml:space="preserve">Describe</w:t>
      </w:r>
    </w:p>
    <w:p>
      <w:pPr>
        <w:pStyle w:val="FirstParagraph"/>
      </w:pPr>
      <w:r>
        <w:t xml:space="preserve">Background: SST trends in Tampa Bay w/ EPC data, WFS, and deep GOM</w:t>
      </w:r>
      <w:r>
        <w:t xml:space="preserve"> </w:t>
      </w:r>
      <w:r>
        <w:t xml:space="preserve">(Nickerson et al. 2023)</w:t>
      </w:r>
      <w:r>
        <w:t xml:space="preserve"> </w:t>
      </w:r>
      <w:r>
        <w:t xml:space="preserve">showed that 1975 to 2022 trend for EPC was notable, but less so from 1998 to 2022. Also noted the trend was most pronounced in the winter, see Fig 3.</w:t>
      </w:r>
    </w:p>
    <w:p>
      <w:pPr>
        <w:pStyle w:val="BodyText"/>
      </w:pPr>
      <w:r>
        <w:t xml:space="preserve">Preprint about warming SW Fl estuaries:</w:t>
      </w:r>
      <w:r>
        <w:t xml:space="preserve"> </w:t>
      </w:r>
      <w:hyperlink r:id="rId22">
        <w:r>
          <w:rPr>
            <w:rStyle w:val="Hyperlink"/>
          </w:rPr>
          <w:t xml:space="preserve">https://www.researchsquare.com/article/rs-3528678/v1</w:t>
        </w:r>
      </w:hyperlink>
    </w:p>
    <w:p>
      <w:pPr>
        <w:pStyle w:val="BodyText"/>
      </w:pPr>
      <w:r>
        <w:t xml:space="preserve">Good CC references for FL: https://www.mdpi.com/2071-1050/15/14/11364</w:t>
      </w:r>
    </w:p>
    <w:p>
      <w:pPr>
        <w:pStyle w:val="BodyText"/>
      </w:pPr>
      <w:r>
        <w:t xml:space="preserve">Heat stress combined with highlight accelerates decline of</w:t>
      </w:r>
      <w:r>
        <w:t xml:space="preserve"> </w:t>
      </w:r>
      <w:r>
        <w:rPr>
          <w:iCs/>
          <w:i/>
        </w:rPr>
        <w:t xml:space="preserve">E. acoroides</w:t>
      </w:r>
      <w:r>
        <w:t xml:space="preserve">, used 36C</w:t>
      </w:r>
      <w:r>
        <w:t xml:space="preserve"> </w:t>
      </w:r>
      <w:r>
        <w:t xml:space="preserve">(Zhang et al. 2023)</w:t>
      </w:r>
    </w:p>
    <w:p>
      <w:pPr>
        <w:pStyle w:val="BodyText"/>
      </w:pPr>
      <w:r>
        <w:t xml:space="preserve">Widgeongrass colonization in Chesapeake Bay as an opportunistic, heat-tolerant species that has replaced Eelgrass, although former is sensitive to nutrient pulses. Paper provides an example of implications on climate change and nutrient management on foundation species and system resiliency</w:t>
      </w:r>
      <w:r>
        <w:t xml:space="preserve"> </w:t>
      </w:r>
      <w:r>
        <w:t xml:space="preserve">(Hensel et al. 2023)</w:t>
      </w:r>
      <w:r>
        <w:t xml:space="preserve">.</w:t>
      </w:r>
    </w:p>
    <w:p>
      <w:pPr>
        <w:pStyle w:val="BodyText"/>
      </w:pPr>
      <w:r>
        <w:t xml:space="preserve">Lewis III et al. (1985)</w:t>
      </w:r>
      <w:r>
        <w:t xml:space="preserve"> </w:t>
      </w:r>
      <w:r>
        <w:t xml:space="preserve">review of seagrass in Tampa Bay.</w:t>
      </w:r>
      <w:r>
        <w:t xml:space="preserve"> </w:t>
      </w:r>
      <w:r>
        <w:t xml:space="preserve">Lirman and Cropper (2003)</w:t>
      </w:r>
      <w:r>
        <w:t xml:space="preserve"> </w:t>
      </w:r>
      <w:r>
        <w:t xml:space="preserve">conducted exposure experiments to evaluate seagrass growth in response to a range of salinity conditions.</w:t>
      </w:r>
      <w:r>
        <w:t xml:space="preserve"> </w:t>
      </w:r>
      <w:r>
        <w:t xml:space="preserve">McMillan and Moseley (1967)</w:t>
      </w:r>
      <w:r>
        <w:t xml:space="preserve"> </w:t>
      </w:r>
      <w:r>
        <w:t xml:space="preserve">discusses growth of halodule, syringodium, thalassia, and ruppia in response to salinity increases (up to 75 psu), no info on lower limit. Cites</w:t>
      </w:r>
      <w:r>
        <w:t xml:space="preserve"> </w:t>
      </w:r>
      <w:r>
        <w:t xml:space="preserve">Phillips (1960)</w:t>
      </w:r>
      <w:r>
        <w:t xml:space="preserve"> </w:t>
      </w:r>
      <w:r>
        <w:t xml:space="preserve">for a salinity range of Thalassia in Florida of 33 - 38 psu.</w:t>
      </w:r>
      <w:r>
        <w:t xml:space="preserve"> </w:t>
      </w:r>
      <w:r>
        <w:t xml:space="preserve">Zieman (1975)</w:t>
      </w:r>
      <w:r>
        <w:t xml:space="preserve"> </w:t>
      </w:r>
      <w:r>
        <w:t xml:space="preserve">discusses seasonal variation of thalassia relative to temp and salinity</w:t>
      </w:r>
    </w:p>
    <w:p>
      <w:pPr>
        <w:pStyle w:val="BodyText"/>
      </w:pPr>
      <w:r>
        <w:t xml:space="preserve">Focus on two time periods: full record and recent decline</w:t>
      </w:r>
    </w:p>
    <w:p>
      <w:pPr>
        <w:pStyle w:val="BodyText"/>
      </w:pPr>
      <w:r>
        <w:t xml:space="preserve">Focus on two physical parameters: temperature and salinity</w:t>
      </w:r>
    </w:p>
    <w:p>
      <w:pPr>
        <w:pStyle w:val="BodyText"/>
      </w:pPr>
      <w:r>
        <w:t xml:space="preserve">Temp background for TB: NOAA coastwatch trends</w:t>
      </w:r>
    </w:p>
    <w:bookmarkEnd w:id="23"/>
    <w:bookmarkStart w:id="32" w:name="methods"/>
    <w:p>
      <w:pPr>
        <w:pStyle w:val="Heading2"/>
      </w:pPr>
      <w:r>
        <w:t xml:space="preserve">2 Methods</w:t>
      </w:r>
    </w:p>
    <w:bookmarkStart w:id="24"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contributing a majority of freshwater inflow to the bay. Tampa Bay straddles the temperate and tropical boundary of central Florida characterized by warm, humid conditions and a distinct rainy season during the summer months. The watershed is heavily developed and includes over 3 million people with 42% of the land as urban or suburban contributing substantial inputs of wastewater and stormwater runoff that can stress bay resources</w:t>
      </w:r>
      <w:r>
        <w:t xml:space="preserve"> </w:t>
      </w:r>
      <w:r>
        <w:t xml:space="preserve">(Marcus W. 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Marcus W. Beck et al. 2022a)</w:t>
      </w:r>
      <w:r>
        <w:t xml:space="preserve">. Important subtidal habitats include seagrasses, hard bottom, tidal flats, and oyster reefs, where a majority of management efforts have historically focused on restoring and maintaining seagrass cover</w:t>
      </w:r>
      <w:r>
        <w:t xml:space="preserve"> </w:t>
      </w:r>
      <w:r>
        <w:t xml:space="preserve">(E. T. Sherwood et al. 2017)</w:t>
      </w:r>
      <w:r>
        <w:t xml:space="preserve">. Additional native habitats include intertidal wetlands (mangroves, salt marshes, salt barrens) and pine forests, oak hammocks, and freshwater wetlands present in upland habitats</w:t>
      </w:r>
      <w:r>
        <w:t xml:space="preserve"> </w:t>
      </w:r>
      <w:r>
        <w:t xml:space="preserve">(Robison et al. 2020)</w:t>
      </w:r>
      <w:r>
        <w:t xml:space="preserve">. Losses of native uplands and potentially restorable habitats to development in the watershed from 1990 to 2020 have been estimated at 188,429 acres</w:t>
      </w:r>
      <w:r>
        <w:t xml:space="preserve"> </w:t>
      </w:r>
      <w:r>
        <w:t xml:space="preserve">(76,254 ha, Marcus W. Beck et al. 2023)</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Old Tampa Bay and Hillsborough Bay have historically had the most degraded water quality primarily from nutrient inputs from wastewater and stormwater</w:t>
      </w:r>
      <w:r>
        <w:t xml:space="preserve"> </w:t>
      </w:r>
      <w:r>
        <w:t xml:space="preserve">(H. 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w:t>
      </w:r>
      <w:r>
        <w:t xml:space="preserve"> </w:t>
      </w:r>
      <w:r>
        <w:t xml:space="preserve">(Janicki Environmental, Inc. 2023)</w:t>
      </w:r>
      <w:r>
        <w:t xml:space="preserve">. Notably, Old Tampa Bay has restricted circulation from multiple land bridges that traverse the bay</w:t>
      </w:r>
      <w:r>
        <w:t xml:space="preserve"> </w:t>
      </w:r>
      <w:r>
        <w:t xml:space="preserve">(E. Sherwood et al. 2015; M.E. Luther, S.D.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 prior to wastewater regulation, particularly in Old Tampa Bay and Hillsborough Bay</w:t>
      </w:r>
      <w:r>
        <w:t xml:space="preserve"> </w:t>
      </w:r>
      <w:r>
        <w:t xml:space="preserve">(H. Greening et al. 2014; Johansson and Janicki Environmental, Inc. 2015)</w:t>
      </w:r>
      <w:r>
        <w:t xml:space="preserve">.</w:t>
      </w:r>
    </w:p>
    <w:bookmarkEnd w:id="24"/>
    <w:bookmarkStart w:id="25"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of a successful management paradigm through the National Estuary Program</w:t>
      </w:r>
      <w:r>
        <w:t xml:space="preserve"> </w:t>
      </w:r>
      <w:r>
        <w:t xml:space="preserve">(Holly Greening and Janicki 2006; H. Greening et al. 2014; E. T. Sherwood et al. 2017)</w:t>
      </w:r>
      <w:r>
        <w:t xml:space="preserve">. From 1988 to 2016, seagrasses increased 79% to 41,655 acres (16,857 ha), surpassing the regional management goal of restoring coverage to 95% of a benchmark 1950s coverage (Figure</w:t>
      </w:r>
      <w:r>
        <w:t xml:space="preserve"> </w:t>
      </w:r>
      <w:hyperlink w:anchor="fig-seagrasschg">
        <w:r>
          <w:rPr>
            <w:rStyle w:val="Hyperlink"/>
          </w:rPr>
          <w:t xml:space="preserve">1</w:t>
        </w:r>
      </w:hyperlink>
      <w:r>
        <w:t xml:space="preserve">a). Throughout this same period, nitrogen load estimates decreased by about 2/3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projects in the watershed</w:t>
      </w:r>
      <w:r>
        <w:t xml:space="preserve"> </w:t>
      </w:r>
      <w:r>
        <w:t xml:space="preserve">(H. Greening et al. 2014; Marcus W. Beck et al. 2019)</w:t>
      </w:r>
      <w:r>
        <w:t xml:space="preserve">. These reductions in nutrient loadings resulted in large scale reductions in chlorophyll concentrations and light attenuation in the water column, creating favorable environments for seagrass growth. The most dramatic improvements in seagrass cover were observed in Old Tampa Bay where coverage increased by 122% or 4,465 acres (2,477 ha) from 1988 estimates to a total of 11,247 acres (4,511 ha). Similar gains were observed in Middle Tampa Bay where seagrass cover increased by 86% or 4,465 acres (1,807 ha) to a total of 9,652 acres (3,906 ha) and Hillsborough Bay where cover increased from nearly zero acres to a total of 2,007 acres (810 ha). Seagrasses have generally been stable over time in Lower Tampa Bay.</w:t>
      </w:r>
    </w:p>
    <w:p>
      <w:pPr>
        <w:pStyle w:val="BodyText"/>
      </w:pPr>
      <w:r>
        <w:t xml:space="preserve">From 2016 to present, dramatic losses of seagrasses have been observed in Tampa Bay, despite nutrient loading and light attenuation remaining relatively stable (Figure</w:t>
      </w:r>
      <w:r>
        <w:t xml:space="preserve"> </w:t>
      </w:r>
      <w:hyperlink w:anchor="fig-seagrasschg">
        <w:r>
          <w:rPr>
            <w:rStyle w:val="Hyperlink"/>
          </w:rPr>
          <w:t xml:space="preserve">1</w:t>
        </w:r>
      </w:hyperlink>
      <w:r>
        <w:t xml:space="preserve">a). Total cover in Tampa Bay has decreased by 28% from the 2016 peak by 11,518 acres (4,661 ha) to a total of 30,137 acres (12,196 ha).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that is likely within the range of mapping error for the coverage estimates.</w:t>
      </w:r>
    </w:p>
    <w:bookmarkEnd w:id="25"/>
    <w:bookmarkStart w:id="27"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w:t>
      </w:r>
      <w:r>
        <w:t xml:space="preserve"> </w:t>
      </w:r>
      <w:r>
        <w:t xml:space="preserve">(e.g., Southwest Florida Water Management District 2023)</w:t>
      </w:r>
      <w:r>
        <w:t xml:space="preserve">. These maps are created by photointerpretation of aerial images obtained at the end of the growing season, typically during November-December. The TBEP has used these maps to track progress towards achieving seagrass restoration goals as total cover in Tampa Bay. No species information is provided. A more detailed, but spatially-specific, data source is the Tampa Bay Interagency Seagrass Monitoring Program (Figure</w:t>
      </w:r>
      <w:r>
        <w:t xml:space="preserve"> </w:t>
      </w:r>
      <w:hyperlink w:anchor="fig-seagrasschg">
        <w:r>
          <w:rPr>
            <w:rStyle w:val="Hyperlink"/>
          </w:rPr>
          <w:t xml:space="preserve">1</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61 fixed locations in Tampa Bay, many of which were chosen to target seagrass beds of interest</w:t>
      </w:r>
      <w:r>
        <w:t xml:space="preserve"> </w:t>
      </w:r>
      <w:r>
        <w:t xml:space="preserve">(Johansson 2016; E. T. Sherwood et al. 2017)</w:t>
      </w:r>
      <w:r>
        <w:t xml:space="preserve">. This dataset provides species information, including abundance, cover, frequency occurrence, and condition, collected at fixed meter marks along a transect extending from the shoreline to the deepwater edge of the seagrass bed. Although the areal maps provide the standard for assessment of restoration goals, the transect data allow for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7"/>
    <w:bookmarkStart w:id="28"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45 stations in the major bay segments since the late 1970s. These data provide the basis for regulatory assessments and compliance reporting for the nutrient TMDL in Tampa Bay. Water quality samples are collected at each station from surface water grabs (e.g., nutrients) or</w:t>
      </w:r>
      <w:r>
        <w:t xml:space="preserve"> </w:t>
      </w:r>
      <w:r>
        <w:rPr>
          <w:iCs/>
          <w:i/>
        </w:rPr>
        <w:t xml:space="preserve">in situ</w:t>
      </w:r>
      <w:r>
        <w:t xml:space="preserve"> </w:t>
      </w:r>
      <w:r>
        <w:t xml:space="preserve">measurements for physical parameters (e.g., salinity, temperature) collected at the surface, mid-depth, and bottom. Time of sampling can vary, although most samples are collected from mid-morning to early afternoon. All surface and bottom salinity and temperature measurements for each of the 45 monitoring stations were evaluated herein. Trends were assessed for both surface and bottom samples, as described below, whereas only the bottom measurements were used for comparison to seagrass trends. The data were obtained using the tbeptools R package that imports the data directly from a stable web address provided by the EPC</w:t>
      </w:r>
      <w:r>
        <w:t xml:space="preserve"> </w:t>
      </w:r>
      <w:r>
        <w:t xml:space="preserve">(M. 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survey gear types that target different habitats. A stratified sample design is used to target multiple habitats where unique sites are sampled each month. We used data from the 21.3 meter center-bag nearshore seine that targets shallow habitats where seagrasses are predominantly found in Tampa Bay and includes the longest consistent sampling protocol (1996 to present). These data are collected by pulling the seine adjacent to the shore to sample approximately 140 m</w:t>
      </w:r>
      <m:oMath>
        <m:sSup>
          <m:e>
            <m:r>
              <m:t>​</m:t>
            </m:r>
          </m:e>
          <m:sup>
            <m:r>
              <m:t>2</m:t>
            </m:r>
          </m:sup>
        </m:sSup>
      </m:oMath>
      <w:r>
        <w:t xml:space="preserve"> </w:t>
      </w:r>
      <w:r>
        <w:t xml:space="preserve">of bay bottom</w:t>
      </w:r>
      <w:r>
        <w:t xml:space="preserve"> </w:t>
      </w:r>
      <w:r>
        <w:t xml:space="preserve">(Schrandt et al. 2021)</w:t>
      </w:r>
      <w:r>
        <w:t xml:space="preserve">. In addition to collecting fish and selected invertebrates,</w:t>
      </w:r>
      <w:r>
        <w:t xml:space="preserve"> </w:t>
      </w:r>
      <w:r>
        <w:rPr>
          <w:iCs/>
          <w:i/>
        </w:rPr>
        <w:t xml:space="preserve">in situ</w:t>
      </w:r>
      <w:r>
        <w:t xml:space="preserve"> </w:t>
      </w:r>
      <w:r>
        <w:t xml:space="preserve">physical measurements for water temperature and salinity are collected at the beginning and end of the seine haul, and typically at the surface and bottom. Only measurements at the beginning of the seine haul and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by request.</w:t>
      </w:r>
    </w:p>
    <w:p>
      <w:pPr>
        <w:pStyle w:val="BodyText"/>
      </w:pPr>
      <w:r>
        <w:t xml:space="preserve">The third and final dataset evaluated was from the Pinellas County Department of Environmental Management (PCDEM). Surface waters in Pinellas county have been monitored since the 1990s, although a consistent stratified random sampling designed has been used in Tampa Bay since 2003 primarily to support robust statistical assessments for NPDES reporting. Data were obtained by request to PCDEM staff for the western portion of Old Tampa Bay where sampling occurs from 2003 to present (also available at &lt;https://wateratlas.usf.edu/&gt;). We focused primarily on OTB for the analysis of the PCDEM data given the length of record, consistency of sampling, and relative loss of seagrass compared to the other bay segments. Four distinct spatial zones in OTB are used to stratify the random selection of sample points that typically include 4 sample points per month in each zone. Water quality samples at each site are similar to those collected by EPC, where only bottom measurements for salinity and temperature were retained.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 This</w:t>
      </w:r>
      <w:r>
        <w:t xml:space="preserve"> </w:t>
      </w:r>
      <w:r>
        <w:rPr>
          <w:iCs/>
          <w:i/>
        </w:rPr>
        <w:t xml:space="preserve">ad hoc</w:t>
      </w:r>
      <w:r>
        <w:t xml:space="preserve"> </w:t>
      </w:r>
      <w:r>
        <w:t xml:space="preserve">group has routinely met quarterly to ensure similar standards and methods are used for the collection and processing of surface water quality monitoring data.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8"/>
    <w:bookmarkStart w:id="29"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For comparison to water quality conditions, meteorological data describing air temperature and precipitation were obtained from Tampa International Airport where daily measurements have been collected since 1939. The</w:t>
      </w:r>
      <w:r>
        <w:t xml:space="preserve"> </w:t>
      </w:r>
      <w:r>
        <w:rPr>
          <w:iCs/>
          <w:i/>
        </w:rPr>
        <w:t xml:space="preserve">rnoaa</w:t>
      </w:r>
      <w:r>
        <w:t xml:space="preserve"> </w:t>
      </w:r>
      <w:r>
        <w:t xml:space="preserve">R package</w:t>
      </w:r>
      <w:r>
        <w:t xml:space="preserve"> </w:t>
      </w:r>
      <w:r>
        <w:t xml:space="preserve">(Chamberlain and Hocking 2023)</w:t>
      </w:r>
      <w:r>
        <w:t xml:space="preserve"> </w:t>
      </w:r>
      <w:r>
        <w:t xml:space="preserve">was used to retrieve these data starting from 1975 when EPC monitoring began in Tampa Bay. Annual averages for air temperature and cumulative annual precipitation were calculated. Additionally, the Standardized Precipitation Index</w:t>
      </w:r>
      <w:r>
        <w:t xml:space="preserve"> </w:t>
      </w:r>
      <w:r>
        <w:t xml:space="preserve">(SPI, Beguería et al. 2013)</w:t>
      </w:r>
      <w:r>
        <w:t xml:space="preserve"> </w:t>
      </w:r>
      <w:r>
        <w:t xml:space="preserve">was estimated from the daily rainfall data 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Annual hydrologic loading data to Tampa Bay beginning in 1985 were also obtained for comparison to annual precipitation</w:t>
      </w:r>
      <w:r>
        <w:t xml:space="preserve"> </w:t>
      </w:r>
      <w:r>
        <w:t xml:space="preserve">(Janicki Environmental, Inc. 2023)</w:t>
      </w:r>
      <w:r>
        <w:t xml:space="preserve">. All climate and loading data were evaluated annually with simple linear regression trends to assess change over time. Water temperature and salinity trends using the EPC, FIM, and PDEM data were similarly evaluated by averaging the monthly data each year for each bay segment. Linear trends for these data were evaluated based on averages of all stations and months within each year and bay segment, which allowed for comparable statistical power between datasets with different sample designs.</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Slack, and Smith 1982; Millard 2013)</w:t>
      </w:r>
      <w:r>
        <w:t xml:space="preserve">. The change per year was also evaluated for each parameter based on the slope estimates returned by each test. Kendall tests were also used to evaluate changes over time for each month to determine when the trends were most pronounced seasonally, e.g., all January estimates across years, all February estimates, etc. The percentage of stations in each bay segment with significant increasing temperature or decreasing salinity trends were evaluated for each month. All tests evaluated both surface and bottom measurements to assess potential differences by water depth.</w:t>
      </w:r>
    </w:p>
    <w:bookmarkEnd w:id="29"/>
    <w:bookmarkStart w:id="30"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with particular attention on differences between bay segments and the time periods before and after 2016 (pre/post seagrass recovery). The conceptual model for evaluating these changes describes the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within a range of values for a single parameter (e.g., minimum and maximum temperatures where a species is typically observed), where reduced growth or mortality is observed outside of these ranges. Because both water temperature and salinity were evaluated, the same model can be conceptualized in two-dimensional space</w:t>
      </w:r>
      <w:r>
        <w:t xml:space="preserv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optimal niche space can be defined in multiple dimensions for many parameters, we focus on water temperature and salinity given that other dominant forcing factors, i.e., light availability, have generally not been limiting for growth in recent years.</w:t>
      </w:r>
    </w:p>
    <w:p>
      <w:pPr>
        <w:pStyle w:val="BodyText"/>
      </w:pPr>
      <w:r>
        <w:t xml:space="preserve">A fundamental challenge describing niche space is identifying the boundaries for optimal conditions. In Tampa Bay, the three dominant seagrass species are</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testudinium</w:t>
      </w:r>
      <w:r>
        <w:t xml:space="preserve"> </w:t>
      </w:r>
      <w:r>
        <w:t xml:space="preserve">(turtle grass)</w:t>
      </w:r>
      <w:r>
        <w:t xml:space="preserve"> </w:t>
      </w:r>
      <w:r>
        <w:t xml:space="preserve">(Lewis III et al. 1985)</w:t>
      </w:r>
      <w:r>
        <w:t xml:space="preserve">.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 thresholds for optimal temperature and salinity ranges, multiple thresholds were evaluated to both describe the potential for stress and how it may be related to changes in seagrass. Distinctions were not made between species, primarily due to lack of consensus between studies and likely site-specific ranges that affect seagrass growth in Tampa Bay.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are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and a single predictor for decimal year</w:t>
      </w:r>
      <w:r>
        <w:t xml:space="preserve"> </w:t>
      </w:r>
      <w:r>
        <w:t xml:space="preserve">(Wood 2017)</w:t>
      </w:r>
      <w:r>
        <w:t xml:space="preserve">. The smoothing spline for decimal year had sufficient knots to capture the seasonal signal within each year and the long-term inter-annual trends</w:t>
      </w:r>
      <w:r>
        <w:t xml:space="preserve"> </w:t>
      </w:r>
      <w:r>
        <w:t xml:space="preserve">(Marcus W. Beck et al. 2022b)</w:t>
      </w:r>
      <w:r>
        <w:t xml:space="preserve">. Model fit for each station was sufficient to calculate daily predictions for assessing the stressor metrics (see supplement, R</w:t>
      </w:r>
      <m:oMath>
        <m:sSup>
          <m:e>
            <m:r>
              <m:t>​</m:t>
            </m:r>
          </m:e>
          <m:sup>
            <m:r>
              <m:t>2</m:t>
            </m:r>
          </m:sup>
        </m:sSup>
      </m:oMath>
      <w:r>
        <w:t xml:space="preserve"> </w:t>
      </w:r>
      <w:r>
        <w:t xml:space="preserve">ranged from 0.85 to 0.95 for temperature models, 0.71 to 0.96 for salinity models).</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 including counts for temperature, salinity, and both relative to the thresholds.</w:t>
      </w:r>
    </w:p>
    <w:bookmarkEnd w:id="30"/>
    <w:bookmarkStart w:id="31" w:name="links-to-seagrass"/>
    <w:p>
      <w:pPr>
        <w:pStyle w:val="Heading3"/>
      </w:pPr>
      <w:r>
        <w:t xml:space="preserve">2.7 Links to seagrass</w:t>
      </w:r>
    </w:p>
    <w:p>
      <w:pPr>
        <w:pStyle w:val="FirstParagraph"/>
      </w:pPr>
      <w:r>
        <w:t xml:space="preserve">For comparison to seagrass, the annual metrics were also referenced to approximate periods of time between the annual seagrass transect surveys, as opposed to the calendar year as above. Transect surveys are typically done in the fall at the end of the growing season. The average date for each year across the subset of transects in each bay segment was estimated and the stressor metrics were referenced accordingly. For example, if the average transect date for a bay segment was September 15th in 2009 and Oct 1st in 2010, the 2010 stressor counts were based on all days between the two average dates. This was repeated for all years from 1998 to 2022 when transect data were available.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The stressor metrics were compared to frequency occurrence (all species) each year by bay segment. Generalized Linear regression Models (GLMs) were used to evaluate frequency occurrence in response to the independent variables, where the latter were the stressor metrics for temperature, salinity, both, bay segment, and time period (recovery pre-2016, decline post-2016). Two models were evaluated, one with the temperature and salinity metrics and another with the both metric given that the latter was a combined metric of the former. Interactions were included between temperature, salinity, and time period or the both metric and time period depending on the model. Bay segment was included as a main effect without interactions. The most parsimonious models were identified by forward and backward selection of the independent variables and comparison with AIC values</w:t>
      </w:r>
      <w:r>
        <w:t xml:space="preserve"> </w:t>
      </w:r>
      <w:r>
        <w:t xml:space="preserve">(Sakamoto, Ishiguro, and Kitagawa 1986; Venables and Ripley 2002)</w:t>
      </w:r>
      <w:r>
        <w:t xml:space="preserve">. All models excluded Lower Tampa Bay because of minimal seagrass change over time.</w:t>
      </w:r>
    </w:p>
    <w:p>
      <w:pPr>
        <w:pStyle w:val="BodyText"/>
      </w:pPr>
      <w:r>
        <w:t xml:space="preserve">Additional models were constructed for the FIM and PDEM datasets to evaluate seagrass change relative to temperature and salinity. These models used direct measurements of salinity and temperature as independent variables because the stressor metrics could not be calculated using the sampling designs from these monitoring programs.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(no bay segment interaction) and the seagrass response variable was presence/absence (i.e., a binomial distribution was used) to model the probability of observing seagrass. Input data for models for the FIM and PDEM datasets were further subset to include only months from July to November to describe seagrasses during the growing season and to reduce potential seasonal effects.</w:t>
      </w:r>
    </w:p>
    <w:bookmarkEnd w:id="31"/>
    <w:bookmarkEnd w:id="32"/>
    <w:bookmarkStart w:id="36" w:name="results"/>
    <w:p>
      <w:pPr>
        <w:pStyle w:val="Heading2"/>
      </w:pPr>
      <w:r>
        <w:t xml:space="preserve">3 Results</w:t>
      </w:r>
    </w:p>
    <w:bookmarkStart w:id="33" w:name="temperature-and-salinity-trends"/>
    <w:p>
      <w:pPr>
        <w:pStyle w:val="Heading3"/>
      </w:pPr>
      <w:r>
        <w:t xml:space="preserve">3.1 Temperature and salinity trends</w:t>
      </w:r>
    </w:p>
    <w:p>
      <w:pPr>
        <w:pStyle w:val="FirstParagraph"/>
      </w:pPr>
      <w:r>
        <w:t xml:space="preserve">Long-term meteorological data from Tampa International Airport showed significantly increasing trends for air temperature and precipitation</w:t>
      </w:r>
      <w:r>
        <w:t xml:space="preserve"> </w:t>
      </w:r>
      <w:hyperlink w:anchor="fig-meteowqraw">
        <w:r>
          <w:rPr>
            <w:rStyle w:val="Hyperlink"/>
          </w:rPr>
          <w:t xml:space="preserve">Figure 2</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 whereas current mean annual air temperature in 2022 was 24.1 (+/-0.17 st. err.), showing an overall increase in the period of record of 2</w:t>
      </w:r>
      <w:r>
        <w:t xml:space="preserve"> </w:t>
      </w:r>
      <m:oMath>
        <m:sSup>
          <m:e>
            <m:r>
              <m:t>​</m:t>
            </m:r>
          </m:e>
          <m:sup>
            <m:r>
              <m:rPr>
                <m:sty m:val="p"/>
              </m:rPr>
              <m:t>∘</m:t>
            </m:r>
          </m:sup>
        </m:sSup>
      </m:oMath>
      <w:r>
        <w:t xml:space="preserve">. Similarly, total precipitation has increased by 6.45 mm per year (p &lt; 0.05,</w:t>
      </w:r>
      <w:r>
        <w:t xml:space="preserve"> </w:t>
      </w:r>
      <m:oMath>
        <m:sSup>
          <m:e>
            <m:r>
              <m:t>R</m:t>
            </m:r>
          </m:e>
          <m:sup>
            <m:r>
              <m:t>2</m:t>
            </m:r>
          </m:sup>
        </m:sSup>
      </m:oMath>
      <w:r>
        <w:t xml:space="preserve"> </w:t>
      </w:r>
      <w:r>
        <w:t xml:space="preserve">0.11). Total precipitation in 1975 was 1072.4 (+/-67.68 st. err.), whereas current total precipitation in 2022 was 1375.7 (+/-67.68 st. err.), showing an overall increase in the period of record of 303.3 mm. Trends in total annual hydrologic load from 1985 to present followed total annual precipitation, although the linear model was not significant likely due to a shorter period of record. The SPI showed notable anomalies in precipitation, with pronounced rainy periods in 1980, the late 1990s, 2005, and the last ten years.</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2</w:t>
        </w:r>
      </w:hyperlink>
      <w:r>
        <w:t xml:space="preserve">,</w:t>
      </w:r>
      <w:r>
        <w:t xml:space="preserve"> </w:t>
      </w:r>
      <w:hyperlink w:anchor="tbl-temptrndtab">
        <w:r>
          <w:rPr>
            <w:rStyle w:val="Hyperlink"/>
          </w:rPr>
          <w:t xml:space="preserve">Table 1</w:t>
        </w:r>
      </w:hyperlink>
      <w:r>
        <w:t xml:space="preserve">,</w:t>
      </w:r>
      <w:r>
        <w:t xml:space="preserve"> </w:t>
      </w:r>
      <w:hyperlink w:anchor="tbl-saltrndtab">
        <w:r>
          <w:rPr>
            <w:rStyle w:val="Hyperlink"/>
          </w:rPr>
          <w:t xml:space="preserve">Table 2</w:t>
        </w:r>
      </w:hyperlink>
      <w:r>
        <w:t xml:space="preserve">, figures in supplement). Note that for tables</w:t>
      </w:r>
      <w:r>
        <w:t xml:space="preserve"> </w:t>
      </w:r>
      <w:hyperlink w:anchor="tbl-temptrndtab">
        <w:r>
          <w:rPr>
            <w:rStyle w:val="Hyperlink"/>
          </w:rPr>
          <w:t xml:space="preserve">1</w:t>
        </w:r>
      </w:hyperlink>
      <w:r>
        <w:t xml:space="preserve"> </w:t>
      </w:r>
      <w:r>
        <w:t xml:space="preserve">and</w:t>
      </w:r>
      <w:r>
        <w:t xml:space="preserve"> </w:t>
      </w:r>
      <w:hyperlink w:anchor="tbl-saltrndtab">
        <w:r>
          <w:rPr>
            <w:rStyle w:val="Hyperlink"/>
          </w:rPr>
          <w:t xml:space="preserve">2</w:t>
        </w:r>
      </w:hyperlink>
      <w:r>
        <w:t xml:space="preserve">, comparable time periods were evaluated between the datasets when possible given the different sample sizes, and therefore power, to detect trends. The strongest trends were observed for the EPC dataset, which had the longest record from 1975 to 2022. The top and bottom water temperature or salinity changes were similar across bay segments likely because of the relatively shallow water depths and minimal stratification in Tampa Bay (</w:t>
      </w:r>
      <w:hyperlink w:anchor="fig-meteowqraw">
        <w:r>
          <w:rPr>
            <w:rStyle w:val="Hyperlink"/>
          </w:rPr>
          <w:t xml:space="preserve">Figure 2</w:t>
        </w:r>
      </w:hyperlink>
      <w:r>
        <w:t xml:space="preserve">). Trends in water temperature were similar across bay segments with significant increases varying from 0.3 to 0.4</w:t>
      </w:r>
      <w:r>
        <w:t xml:space="preserve"> </w:t>
      </w:r>
      <m:oMath>
        <m:sSup>
          <m:e>
            <m:r>
              <m:t>​</m:t>
            </m:r>
          </m:e>
          <m:sup>
            <m:r>
              <m:rPr>
                <m:sty m:val="p"/>
              </m:rPr>
              <m:t>∘</m:t>
            </m:r>
          </m:sup>
        </m:sSup>
      </m:oMath>
      <w:r>
        <w:t xml:space="preserve">C per year, with a total increase of 1.4 (OTB) to 2.0 (HB)</w:t>
      </w:r>
      <w:r>
        <w:t xml:space="preserve"> </w:t>
      </w:r>
      <m:oMath>
        <m:sSup>
          <m:e>
            <m:r>
              <m:t>​</m:t>
            </m:r>
          </m:e>
          <m:sup>
            <m:r>
              <m:rPr>
                <m:sty m:val="p"/>
              </m:rPr>
              <m:t>∘</m:t>
            </m:r>
          </m:sup>
        </m:sSup>
      </m:oMath>
      <w:r>
        <w:t xml:space="preserve">C from 1975 to present (</w:t>
      </w:r>
      <w:hyperlink w:anchor="tbl-temptrndtab">
        <w:r>
          <w:rPr>
            <w:rStyle w:val="Hyperlink"/>
          </w:rPr>
          <w:t xml:space="preserve">Table 1</w:t>
        </w:r>
      </w:hyperlink>
      <w:r>
        <w:t xml:space="preserve">). Salinity trends were similar between bay segments, although overall salinity was of course higher for bay segments closer to the Gulf of Mexico. Only Old Tampa Bay and Lower Tampa Bay had significantly decreasing trends, with decreases of 0.06 (OTB) and 0.04 (LTB) ppt per year, with a total decrease of 2.7 (OTB) and 2.0 (LTB) ppt from 1975 to present. As expected, intra-annual variability of water temperature was much higher than salinity following the larger seasonal variation in temperature (</w:t>
      </w:r>
      <w:hyperlink w:anchor="fig-meteowqraw">
        <w:r>
          <w:rPr>
            <w:rStyle w:val="Hyperlink"/>
          </w:rPr>
          <w:t xml:space="preserve">Figure 2</w:t>
        </w:r>
      </w:hyperlink>
      <w:r>
        <w:t xml:space="preserve">). This variation may also be related to differences among the monitoring stations in each segment because the averages combine monthly and spatial variation. Significant increasing temperature trends were also observed for the FIM dataset from 1996 to present in OTB and from 2004 to present in OTB and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nor from 2004 to present (see figures in supplement).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4</w:t>
        </w:r>
      </w:hyperlink>
      <w:r>
        <w:t xml:space="preserve">). All stations had significantly increasing temperature and decreasing salinity from 1975 to present in both the top and bottom of the water column, excluding one station in HB that did not have significantly decreasing bottom salinity (Figure</w:t>
      </w:r>
      <w:r>
        <w:t xml:space="preserve"> </w:t>
      </w:r>
      <w:hyperlink w:anchor="fig-kendall">
        <w:r>
          <w:rPr>
            <w:rStyle w:val="Hyperlink"/>
          </w:rPr>
          <w:t xml:space="preserve">4</w:t>
        </w:r>
      </w:hyperlink>
      <w:r>
        <w:t xml:space="preserve">a). Seasonally, most stations had more significant trends in the summer, early fall period for both temperature and salinity (Figure</w:t>
      </w:r>
      <w:r>
        <w:t xml:space="preserve"> </w:t>
      </w:r>
      <w:hyperlink w:anchor="fig-kendall">
        <w:r>
          <w:rPr>
            <w:rStyle w:val="Hyperlink"/>
          </w:rPr>
          <w:t xml:space="preserve">4</w:t>
        </w:r>
      </w:hyperlink>
      <w:r>
        <w:t xml:space="preserve">b,</w:t>
      </w:r>
      <w:r>
        <w:t xml:space="preserve"> </w:t>
      </w:r>
      <w:hyperlink w:anchor="fig-kendall">
        <w:r>
          <w:rPr>
            <w:rStyle w:val="Hyperlink"/>
          </w:rPr>
          <w:t xml:space="preserve">4</w:t>
        </w:r>
      </w:hyperlink>
      <w:r>
        <w:t xml:space="preserve">c), although some variation was observed between bay segments. Temperature trends were more often observed in the summer, early fall for the upper bay segments (OTB, HB), whereas the lower bay segments (MTB, LTB) had more significant trends during the spring. Seasonal trends in salinity did not vary as much between segments, although OTB and LTB had more stations with significantly decreasing trends than the other bay segments. Again, differences between top or bottom trends did not differ seasonally.</w:t>
      </w:r>
    </w:p>
    <w:bookmarkEnd w:id="33"/>
    <w:bookmarkStart w:id="34" w:name="stressor-metrics"/>
    <w:p>
      <w:pPr>
        <w:pStyle w:val="Heading3"/>
      </w:pPr>
      <w:r>
        <w:t xml:space="preserve">3.2 Stressor metrics</w:t>
      </w:r>
    </w:p>
    <w:p>
      <w:pPr>
        <w:pStyle w:val="FirstParagraph"/>
      </w:pPr>
      <w:r>
        <w:t xml:space="preserve">Linear mixed-effects models showed varying trends in the potential stressor metrics for the number of days when temperature was above, salinity was below, or both occurred relative to different thresholds. All of the temperature models for each of the three thresholds showed significantly increasing trends for each bay segment, with the largest slope of 1.4 days per year in OTB when temperature was above 29</w:t>
      </w:r>
      <w:r>
        <w:t xml:space="preserve"> </w:t>
      </w:r>
      <m:oMath>
        <m:sSup>
          <m:e>
            <m:r>
              <m:t>​</m:t>
            </m:r>
          </m:e>
          <m:sup>
            <m:r>
              <m:rPr>
                <m:sty m:val="p"/>
              </m:rPr>
              <m:t>∘</m:t>
            </m:r>
          </m:sup>
        </m:sSup>
      </m:oMath>
      <w:r>
        <w:t xml:space="preserve">C (see supplement). The estimated slopes for the number of days when temperature was above 30</w:t>
      </w:r>
      <w:r>
        <w:t xml:space="preserve"> </w:t>
      </w:r>
      <m:oMath>
        <m:sSup>
          <m:e>
            <m:r>
              <m:t>​</m:t>
            </m:r>
          </m:e>
          <m:sup>
            <m:r>
              <m:rPr>
                <m:sty m:val="p"/>
              </m:rPr>
              <m:t>∘</m:t>
            </m:r>
          </m:sup>
        </m:sSup>
      </m:oMath>
      <w:r>
        <w:t xml:space="preserve">C were similar among bay segments, varying from 0.9 days per year in LTB to 1.1 days per year in MTB. Likewise, the average number of days when temperature was above 30</w:t>
      </w:r>
      <w:r>
        <w:t xml:space="preserve"> </w:t>
      </w:r>
      <m:oMath>
        <m:sSup>
          <m:e>
            <m:r>
              <m:t>​</m:t>
            </m:r>
          </m:e>
          <m:sup>
            <m:r>
              <m:rPr>
                <m:sty m:val="p"/>
              </m:rPr>
              <m:t>∘</m:t>
            </m:r>
          </m:sup>
        </m:sSup>
      </m:oMath>
      <w:r>
        <w:t xml:space="preserve">C at the beginning and end of the period of record varied from 8 (OTB, HB) to 21 (LTB) days in 1975 to 55 (HB) to 63 (LTB) days in 2022.</w:t>
      </w:r>
    </w:p>
    <w:p>
      <w:pPr>
        <w:pStyle w:val="BodyText"/>
      </w:pPr>
      <w:r>
        <w:t xml:space="preserve">The salinity models were less similar between bay segments compared to the temperature models, primarily because of the natural variation in salinity along the bay’s longitudinal axis (see supplement). None of the bay segments had significantly increasing number of days when salinity was below 15 ppt. For MTB, only the number of days when salinity was below 25 ppt was significantly increasing at a rate of 0.67 days per year. Both HB and OTB had significantly increasing number of days per year when salinity was below 20 and 25 ppt, although the slopes varied such that the rates in OTB were nearly double those in HB. The number of days per year when salinity was below 20 ppt in OTB increased by 1 day per year, whereas the number of days in HB increased by 0.5 days per year from 1975 to present. Likewise, the average number of days when salinity was 20 ppt at the beginning and end of the period of record varied from 11 (HB) to 23 (OTB) days in 1975 to 25 (HB) to 68 (LTB) days in 2022.</w:t>
      </w:r>
    </w:p>
    <w:p>
      <w:pPr>
        <w:pStyle w:val="BodyText"/>
      </w:pPr>
      <w:r>
        <w:t xml:space="preserve">Times when both temperature was above a threshold and salinity was below a threshold also varied by bay segment. None of the models were significant for LTB, four were significant for MTB, seven were significant for HB, and four were significant for OTB. The number of days when temperature was above 29</w:t>
      </w:r>
      <w:r>
        <w:t xml:space="preserve"> </w:t>
      </w:r>
      <m:oMath>
        <m:sSup>
          <m:e>
            <m:r>
              <m:t>​</m:t>
            </m:r>
          </m:e>
          <m:sup>
            <m:r>
              <m:rPr>
                <m:sty m:val="p"/>
              </m:rPr>
              <m:t>∘</m:t>
            </m:r>
          </m:sup>
        </m:sSup>
      </m:oMath>
      <w:r>
        <w:t xml:space="preserve">C and salinity was below 25 ppt had the largest slopes of 1.4, 1.2,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of record varied from 6, 12, and 1 day(s) in 1975 to 72, 68, and 24 days in 2022 for OTB, HB, and MTB, respectively.</w:t>
      </w:r>
    </w:p>
    <w:p>
      <w:pPr>
        <w:pStyle w:val="BodyText"/>
      </w:pPr>
      <w:hyperlink w:anchor="fig-mixeff">
        <w:r>
          <w:rPr>
            <w:rStyle w:val="Hyperlink"/>
          </w:rPr>
          <w:t xml:space="preserve">Figure 5</w:t>
        </w:r>
      </w:hyperlink>
      <w:r>
        <w:t xml:space="preserve"> </w:t>
      </w:r>
      <w:r>
        <w:t xml:space="preserve">provides visual examples of the mixed-effects models for the estimated number of days over time for each bay segment when temperature was above 30</w:t>
      </w:r>
      <m:oMath>
        <m:sSup>
          <m:e>
            <m:r>
              <m:t>​</m:t>
            </m:r>
          </m:e>
          <m:sup>
            <m:r>
              <m:rPr>
                <m:sty m:val="p"/>
              </m:rPr>
              <m:t>∘</m:t>
            </m:r>
          </m:sup>
        </m:sSup>
      </m:oMath>
      <w:r>
        <w:t xml:space="preserve">, salinity was below 25 ppt, and when both occurred. Temperature trends were similar among segments, whereas the number of days when salinity was below the threshold varied by proximity to the Gulf of Mexico (</w:t>
      </w:r>
      <w:hyperlink w:anchor="tbl-mixdaytab">
        <w:r>
          <w:rPr>
            <w:rStyle w:val="Hyperlink"/>
          </w:rPr>
          <w:t xml:space="preserve">Table 3</w:t>
        </w:r>
      </w:hyperlink>
      <w:r>
        <w:t xml:space="preserve">). The number of days when both temperature was above and salinity was below the threshold generally followed the trends for the number of days when salinity was below the threshold, although the slopes varied. These thresholds were used for comparison to seagrass changes described below, based primarily on the statistical strength of the trends and the variance of counts among bay segments. That is, more restrictive thresholds did not provide sufficient counts of days per year to develop models and the chosen thresholds were based primarily on statistical considerations. The thresholds likely have minimal ecological significance, but rather provide a useful metric for tracking physical changes in the water column that are likely correlated with seagrass change.</w:t>
      </w:r>
    </w:p>
    <w:bookmarkEnd w:id="34"/>
    <w:bookmarkStart w:id="35" w:name="seagrass-response"/>
    <w:p>
      <w:pPr>
        <w:pStyle w:val="Heading3"/>
      </w:pPr>
      <w:r>
        <w:t xml:space="preserve">3.3 Seagrass response</w:t>
      </w:r>
    </w:p>
    <w:p>
      <w:pPr>
        <w:pStyle w:val="FirstParagraph"/>
      </w:pPr>
      <w:r>
        <w:t xml:space="preserve">Linear models to assess the potential effects of temperature and salinity on seagrass changes provided modest evidence that seagrass loss after 2016 was driven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12.82, df = 9, 65, p &lt; 0.005). An interaction of the metrics with time period was also observed, with notable differences by predictor (Figure</w:t>
      </w:r>
      <w:r>
        <w:t xml:space="preserve"> </w:t>
      </w:r>
      <w:hyperlink w:anchor="fig-sgmod">
        <w:r>
          <w:rPr>
            <w:rStyle w:val="Hyperlink"/>
          </w:rPr>
          <w:t xml:space="preserve">6</w:t>
        </w:r>
      </w:hyperlink>
      <w:r>
        <w:t xml:space="preserve">a,</w:t>
      </w:r>
      <w:r>
        <w:t xml:space="preserve"> </w:t>
      </w:r>
      <w:hyperlink w:anchor="tbl-modtab">
        <w:r>
          <w:rPr>
            <w:rStyle w:val="Hyperlink"/>
          </w:rPr>
          <w:t xml:space="preserve">Table 4</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(p &lt; 0.01, Figure</w:t>
      </w:r>
      <w:r>
        <w:t xml:space="preserve"> </w:t>
      </w:r>
      <w:hyperlink w:anchor="fig-sgmod">
        <w:r>
          <w:rPr>
            <w:rStyle w:val="Hyperlink"/>
          </w:rPr>
          <w:t xml:space="preserve">6</w:t>
        </w:r>
      </w:hyperlink>
      <w:r>
        <w:t xml:space="preserve">a,</w:t>
      </w:r>
      <w:r>
        <w:t xml:space="preserve"> </w:t>
      </w:r>
      <w:hyperlink w:anchor="tbl-modtab">
        <w:r>
          <w:rPr>
            <w:rStyle w:val="Hyperlink"/>
          </w:rPr>
          <w:t xml:space="preserve">Table 4</w:t>
        </w:r>
      </w:hyperlink>
      <w:r>
        <w:t xml:space="preserve">). The interaction between the temperature and salinity metric was included in the most parsimonious model (marginally significant, p &lt; 0.1), although the shape of the relationship of temperature with time period or salinity with time period did not noticeably change using different conditional values for salinity or temperature, respectively.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29.17, df = 4, 70, p &lt; 0.005), although the interaction term with time period was not included in the most parsimonious model, suggesting no effect of this metric in describing seagrass change after 2016 (</w:t>
      </w:r>
      <w:hyperlink w:anchor="tbl-modtab">
        <w:r>
          <w:rPr>
            <w:rStyle w:val="Hyperlink"/>
          </w:rPr>
          <w:t xml:space="preserve">Table 4</w:t>
        </w:r>
      </w:hyperlink>
      <w:r>
        <w:t xml:space="preserve">).</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salinity with time period, respectively, Figure</w:t>
      </w:r>
      <w:r>
        <w:t xml:space="preserve"> </w:t>
      </w:r>
      <w:hyperlink w:anchor="fig-sgmod">
        <w:r>
          <w:rPr>
            <w:rStyle w:val="Hyperlink"/>
          </w:rPr>
          <w:t xml:space="preserve">6</w:t>
        </w:r>
      </w:hyperlink>
      <w:r>
        <w:t xml:space="preserve">b,</w:t>
      </w:r>
      <w:r>
        <w:t xml:space="preserve"> </w:t>
      </w:r>
      <w:hyperlink w:anchor="tbl-modtab">
        <w:r>
          <w:rPr>
            <w:rStyle w:val="Hyperlink"/>
          </w:rPr>
          <w:t xml:space="preserve">Table 4</w:t>
        </w:r>
      </w:hyperlink>
      <w:r>
        <w:t xml:space="preserve">). The interaction between salinity and temperature was not included as a significant term in the final model. Lastly, the most parsimonious model for the PDEM dataset only included time period as a marginally significant variable and the overall model fit was not significant (</w:t>
      </w:r>
      <w:hyperlink w:anchor="tbl-modtab">
        <w:r>
          <w:rPr>
            <w:rStyle w:val="Hyperlink"/>
          </w:rPr>
          <w:t xml:space="preserve">Table 4</w:t>
        </w:r>
      </w:hyperlink>
      <w:r>
        <w:t xml:space="preserve">).</w:t>
      </w:r>
    </w:p>
    <w:bookmarkEnd w:id="35"/>
    <w:bookmarkEnd w:id="36"/>
    <w:bookmarkStart w:id="38" w:name="discussion"/>
    <w:p>
      <w:pPr>
        <w:pStyle w:val="Heading2"/>
      </w:pPr>
      <w:r>
        <w:t xml:space="preserve">4 Discussion</w:t>
      </w:r>
    </w:p>
    <w:p>
      <w:pPr>
        <w:pStyle w:val="FirstParagraph"/>
      </w:pPr>
      <w:r>
        <w:t xml:space="preserve">Global increases in temperature and precipitation related to climate change have contributed to widespread alteration of the structure and functioning of natural environments. At a local scale, these changes have been demonstrated herein for Tampa Bay where the evaluation of long-term trends in water temperature and salinity showed clear changes mirrored by long-term changes in air temperature and precipitation. Over the previous fifty years, the Bay has demonstrated a consistent trend towards hotter and fresher conditions, where water temperature has approximately increased by 0.03 - 0.07</w:t>
      </w:r>
      <w:r>
        <w:t xml:space="preserve"> </w:t>
      </w:r>
      <m:oMath>
        <m:sSup>
          <m:e>
            <m:r>
              <m:t>​</m:t>
            </m:r>
          </m:e>
          <m:sup>
            <m:r>
              <m:rPr>
                <m:sty m:val="p"/>
              </m:rPr>
              <m:t>∘</m:t>
            </m:r>
          </m:sup>
        </m:sSup>
      </m:oMath>
      <w:r>
        <w:t xml:space="preserve">C per year and salinity has decreased by 0.04 - 0.2 ppt per year. These changes were demonstrated in three long-term datasets with different sampling methods and periods of record. Understandably, the trends were most consistently observed in the EPC dataset with the longest period of record covering nearly fifty years of monthly observations, with the most dramatic changes occurring during the summer rainy season at locations farther from the mouth of the Bay. These long-term changes manifested into consistent trends in the stressor metrics, where the continuous number of days each year when temperature was above, salinity was below, or both crossed thresholds showed consistent increases across the period of record. Notably, bottom and surface trends for water temperature and salinity in the EPC dataset were similar, suggesting that any potential stress on biotic resources related to these factors are likely occurring throughout the water column.</w:t>
      </w:r>
    </w:p>
    <w:p>
      <w:pPr>
        <w:pStyle w:val="BodyText"/>
      </w:pPr>
      <w:r>
        <w:t xml:space="preserve">Similar regional, long-term changes in coastal waters have been observed by others.</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for Tampa Bay (the EPC dataset was also used), although the authors note that the power of detecting the trends decreased for shorter time periods, as independently verified with the FIM and PDEM datasets herein.</w:t>
      </w:r>
      <w:r>
        <w:t xml:space="preserve"> </w:t>
      </w:r>
      <w:r>
        <w:t xml:space="preserve">Nickerson et al. (2023)</w:t>
      </w:r>
      <w:r>
        <w:t xml:space="preserve"> </w:t>
      </w:r>
      <w:r>
        <w:t xml:space="preserve">also noted that temperature increases in Tampa Bay were most pronounced in the winter, which somewhat conflicts with our results showing distinct increases in the summer, particularly for the OTB and HB segments. However, our assessment evaluated trends at individual EPC stations and bay segments, whereas</w:t>
      </w:r>
      <w:r>
        <w:t xml:space="preserve"> </w:t>
      </w:r>
      <w:r>
        <w:t xml:space="preserve">Nickerson et al. (2023)</w:t>
      </w:r>
      <w:r>
        <w:t xml:space="preserve"> </w:t>
      </w:r>
      <w:r>
        <w:t xml:space="preserve">evaluated the EPC data as an average for the entire bay for consistency of comparison to the larger spatial area. These differences are understandable given the analysis goals and methods for data synthesis. Our results showing increases in temperature and decreases in salinity for OTB and HB for the summer months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Regardless,</w:t>
      </w:r>
      <w:r>
        <w:t xml:space="preserve"> </w:t>
      </w:r>
      <w:r>
        <w:t xml:space="preserve">Nickerson et al. (2023)</w:t>
      </w:r>
      <w:r>
        <w:t xml:space="preserve"> </w:t>
      </w:r>
      <w:r>
        <w:t xml:space="preserve">state a Gulf-wide increase in water temperature of 0.1 - 0.5</w:t>
      </w:r>
      <w:r>
        <w:t xml:space="preserve"> </w:t>
      </w:r>
      <m:oMath>
        <m:sSup>
          <m:e>
            <m:r>
              <m:t>​</m:t>
            </m:r>
          </m:e>
          <m:sup>
            <m:r>
              <m:rPr>
                <m:sty m:val="p"/>
              </m:rPr>
              <m:t>∘</m:t>
            </m:r>
          </m:sup>
        </m:sSup>
      </m:oMath>
      <w:r>
        <w:t xml:space="preserve">C per decade, which is comparable to our estimates.</w:t>
      </w:r>
    </w:p>
    <w:p>
      <w:pPr>
        <w:pStyle w:val="BodyText"/>
      </w:pPr>
      <w:r>
        <w:t xml:space="preserve">Our relatively simple modeling approach provided some evidence that climate-related stressors can explain the recent loss in seagrass in Tampa Bay. The models did not provide a consistent, nor statistically powerful, explanation that increasing temperature and decreasing salinity were key drivers. However, a weight-of-evidence approach evaluating all models together does suggest a pattern that demonstrates the value of considering multiple datasets and models in explaining noisy ecological patterns. Model results for the EPC and FIM datasets both suggested that increasing temperature and decreasing salinity were associated with potential seagrass loss post-2016,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was observed post-2016 as compared to pre-2016 where frequency occurrence of seagrass declined with the increasing number of days when salinity was below 25 ppt. Likewise, the FIM models had a significant interaction term for the association of the temperature with time period and a marginally significant interaction term for the association of salinity with time period, such that percent cover of seagrasses showed a decline with increasing temperature and decreasing salinity post-2016. An important distinction between the EPC and FIM models is that the former evaluated the number of days above/below thresholds each year to quantify increases in annual stress associated with temperature and salinity,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programs. These differences highlight challenges describing noisy relationships in long-term ecological datasets, while also demonstrating the utility of our weight-of-evidence approach to describe these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as shown by the mixed-effects linear models for each bay segment. That is, sufficient change and variation in the independent variables for the models of seagrass change were needed to statistically describe potential relationships. These thresholds are not to be considered ecologically significant since most of the reported values in tropical and sub-tropical environments suggest that the limits of the ecological niche for seagrasses are higher for temperature and lower for salinity. Because we did not see a dramatic increase in the number of days each year when the thresholds were crossed at more stressful values (i.e., higher temperature, lower salinity), conditions in Tampa Bay in recent years are generally within the ecological niche for seagrasses. This does not suggest that these factors are unimportant, both currently and in the future. Our models suggested that temperature and salinity are potentially associated with seagrass loss and the consistent long-term trend in temperature and salinity suggest that conditions are very likely to become more stressful in the futre. Moreover, the GAMs used to model continuous temperature and salinity at each EPC monitoring station likely did not fully describe the current extent of stress given that extreme low or high values were often not captured by the daily predictions (see supplement). Regardless of the above limitations, the role of climate stressors on seagrass change is likely to continue in the future as suggested by our results.</w:t>
      </w:r>
    </w:p>
    <w:p>
      <w:pPr>
        <w:pStyle w:val="BodyText"/>
      </w:pPr>
      <w:r>
        <w:t xml:space="preserve">Additional limitations of our model may relate to an incomplete description of factors influencing seagrass growth. This relates to the inclusion of additional drivers as well as issues related to correlation/causation. For the former, the primary management paradigm in Tampa Bay for the past three decades has relied on the role of nutrients, nitrogen in particular, in affecting light environments for seagrass growth. As such, light attenuation or water clarity could have been included in our models to more completely describe factors influencing growth, i.e., the residual differences could additionally be explained by temperature or salinity. Our use of time period (pre-/post-2016) as a categorical variable partially addressed this issue. Modeling seagrass change as related to temperature or salinity for the whole record without time period as a predictor would have shown a spurious correlation of both with seagrass given the long-term recovery of Tampa Bay related to nutrient reduction, increased water clarity, and increased seagrass coverage. Thus, time period was necessary to control for these confounding relationships. Additionally, light attenuation has been relatively consistent since 2016 and within the limits estimated to be supportive of seagrass growth in Tampa Bay (OTB in particular where the most losses have been seen). This suggests that other factors are influencing seagrass growth and the inclusion of light attenuation in the models was likely not critical for describing the roles of temperature and salinity. A final consideration for our models relates to how seagrasses may influence their environment, particularly for the EPC and PDEM datasets where temperature and salinity were measured at the same locations as seagrass. For example, temperature may simply be higher in locations where seagrasses are present, i.e., seagrasses may be influencing their environment rather than the environment influencing seagrasses. This explanation cannot be ruled out with the existing datasets, although the trend analyses showing the consistent long-term changes and our weight-of-evidence modeling approach suggest that climate-related stressors driving seagrass loss is a more likely scenario.</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 These regional losses suggest that large-scale stressors are driving these changes, leading us to our initial hypothesis that climate-related stressors could explain the change in Tampa Bay. Based on our results, the losses elsewhere may potentially be explained by temperature and salinity and are worth exploring in other southwest Florida coastal regions and estuaries where long-term datasets exist. Additional factors that could explain these changes are also likely co-occurring with climate stress, some of which are unique to Tampa Bay and others that are likely more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residence times. The effect of warming temperature and decreasing salinity in OTB will further complicate the understanding of how these blooms manifest and persist each year</w:t>
      </w:r>
      <w:r>
        <w:t xml:space="preserve"> </w:t>
      </w:r>
      <w:r>
        <w:t xml:space="preserve">(Usup, Kulis, and Anderson 1994; Phlips et al. 2006; Lopez et al. 2021)</w:t>
      </w:r>
      <w:r>
        <w:t xml:space="preserve">.</w:t>
      </w:r>
    </w:p>
    <w:p>
      <w:pPr>
        <w:pStyle w:val="BodyText"/>
      </w:pPr>
      <w:r>
        <w:t xml:space="preserve">Additional biotic factors could be influencing regional patterns in seagrass growth. In Tampa Bay and elsewhere, the presence of macroalgal species and how these may influence seagrass growth and recovery has been a concern. Macroalgae abundance has increased over time and has been observed to colonize locations where seagrass was formerly present. Competitive differences between seagrasses and macroalgae are poorly understood in these systems, in addition to insufficient data to clearly describe growth patterns and nutrient cycling related to macroalgae. Discrete pollutant loading events in Tampa Bay have been documented to promote macroalgae growth [</w:t>
      </w:r>
      <w:r>
        <w:t xml:space="preserve">Marcus W. Beck et al. (2022a)</w:t>
      </w:r>
      <w:r>
        <w:t xml:space="preserve">;</w:t>
      </w:r>
      <w:r>
        <w:t xml:space="preserve"> </w:t>
      </w:r>
      <w:r>
        <w:t xml:space="preserve">Scolaro et al. (2023)</w:t>
      </w:r>
      <w:r>
        <w:t xml:space="preserve">;</w:t>
      </w:r>
      <w:r>
        <w:t xml:space="preserve"> </w:t>
      </w:r>
      <w:r>
        <w:t xml:space="preserve">Tomasko (2023)</w:t>
      </w:r>
      <w:r>
        <w:t xml:space="preserve">], whereas the role of chronic nutrient loading and changing climatic conditions in promoting growth and interactions with seagrasses is less understood, particularly in recent years. Finally, additional research has focused on how diseases and pathogens can influence seagrass growth patterns in Florida</w:t>
      </w:r>
      <w:r>
        <w:t xml:space="preserve"> </w:t>
      </w:r>
      <w:r>
        <w:t xml:space="preserve">(Robblee et al. 1991; Duffin et al. 2021; Van Bogaert et al. 2018)</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testudinium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w:t>
      </w:r>
    </w:p>
    <w:p>
      <w:pPr>
        <w:pStyle w:val="BodyText"/>
      </w:pPr>
      <w:r>
        <w:t xml:space="preserve">Lastly, our result showing that salinity has decreased in Tampa Bay is generally contrary to expectations for coastal systems consistent with sea-level rise projections</w:t>
      </w:r>
      <w:r>
        <w:t xml:space="preserve"> </w:t>
      </w:r>
      <w:r>
        <w:t xml:space="preserve">(Alarcon et al. 2024)</w:t>
      </w:r>
      <w:r>
        <w:t xml:space="preserve">. Salinity changes with sea-level rise have been documented to contribute to numerous alterations of subtidal and nearshore habitats. In southwest Florida, the most common ecological example is migration of tidal wetlands, primary mangroves, upland as porewater salinity and water levels have gradually changed over the past few decades. Alteration of salinity regimes for surface and groundwater resources are also well documented. In Florida Bay, for example, widespread decline of</w:t>
      </w:r>
      <w:r>
        <w:t xml:space="preserve"> </w:t>
      </w:r>
      <w:r>
        <w:rPr>
          <w:iCs/>
          <w:i/>
        </w:rPr>
        <w:t xml:space="preserve">Thalassia testudinium</w:t>
      </w:r>
      <w:r>
        <w:t xml:space="preserve"> </w:t>
      </w:r>
      <w:r>
        <w:t xml:space="preserve">has been partially attributed to elevated salinity levels beyond the optimal range for the species</w:t>
      </w:r>
      <w:r>
        <w:t xml:space="preserve"> </w:t>
      </w:r>
      <w:r>
        <w:t xml:space="preserve">(Hall et al. 2016)</w:t>
      </w:r>
      <w:r>
        <w:t xml:space="preserve">. Although drought has been implicated in the hypersaline conditions observed in Florida Bay, sea level rise is expected to further alter salinity dynamics in the region.</w:t>
      </w:r>
      <w:r>
        <w:t xml:space="preserve"> </w:t>
      </w:r>
      <w:r>
        <w:t xml:space="preserve">Dessu et al. (2018)</w:t>
      </w:r>
      <w:r>
        <w:t xml:space="preserve"> </w:t>
      </w:r>
      <w:r>
        <w:t xml:space="preserve">noted that sea level rise is expected to have the largest effect on salinity changes during periods of low freshwater outflow from the Greater Florida Everglades, emphasizing that measured salinity represents the relative contributions of oceanic and freshwater surface waters. In Tampa Bay, the long-term trends of decreasing salinity suggest that the hydrologic load into the system has had a greater influence on salinity regimes than the effects of sea-level rise. This hypothesis is supported by our assessment of precipitation patterns over time, where the long-term increase is inversely correlated with the decrease in salinity.</w:t>
      </w:r>
    </w:p>
    <w:bookmarkStart w:id="37"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are additively affecting seagrasses, rather than multiplicatively as evidenced by lack of significant interactions of these stressors. Future analyses may show more significant associations between physical habitat conditions and seagrass change as the trends are very likely to continue to push seagrass further outside of their tolerance ranges. These analyses should be supported by additional data, particularly high-resolution continuous monitoring data that provide a more precise assessment of stress at multiple time-scales.</w:t>
      </w:r>
    </w:p>
    <w:p>
      <w:pPr>
        <w:pStyle w:val="BodyText"/>
      </w:pPr>
      <w:r>
        <w:t xml:space="preserve">Area managers should consider how these climate-related stressors may alter the effectiveness of intervention activities aimed at supporting ecological resources in Tampa Bay. Management actions that have historically been effective may have degraded capacity to support ecosystem status due to changing resilience of ecological resources with climate change. For example, nitrogen load reductions have been effective at restoring Tampa Bay, primarily due to wastewater load allocations considered to be within the nutrient assimilative capacity of Tampa Bay. As Tampa Bay becomes hotter and fresher, similar load allocations may no longer be effectively assimilated. Strategies can be pursued to reduce allowable load inputs from regulated entities and to create additional resilience through more aggressive management strategies (e.g., additional stormwater controls, hydrological modification). These considerations are especially critical for upper parts of Tampa Bay where a majority of seagrass loss has occurred and where trends have been most pronounced. Reversal of recent trends may be more likely to occur if aggressive actions and controls are pursued sooner rather than later, given the challenges of restoring degraded systems due to hysteresis.</w:t>
      </w:r>
    </w:p>
    <w:bookmarkEnd w:id="37"/>
    <w:bookmarkEnd w:id="38"/>
    <w:bookmarkStart w:id="39" w:name="acknowledgments"/>
    <w:p>
      <w:pPr>
        <w:pStyle w:val="Heading2"/>
      </w:pPr>
      <w:r>
        <w:t xml:space="preserve">5 Acknowledgments</w:t>
      </w:r>
    </w:p>
    <w:bookmarkEnd w:id="39"/>
    <w:bookmarkStart w:id="64"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3" w:name="fig-seagrasschg"/>
          <w:p>
            <w:pPr>
              <w:jc w:val="center"/>
            </w:pPr>
            <w:r>
              <w:drawing>
                <wp:inline>
                  <wp:extent cx="5943600" cy="4457699"/>
                  <wp:effectExtent b="0" l="0" r="0" t="0"/>
                  <wp:docPr descr="" title="" id="41" name="Picture"/>
                  <a:graphic>
                    <a:graphicData uri="http://schemas.openxmlformats.org/drawingml/2006/picture">
                      <pic:pic>
                        <pic:nvPicPr>
                          <pic:cNvPr descr="figs/seagrasschg.png" id="42" name="Picture"/>
                          <pic:cNvPicPr>
                            <a:picLocks noChangeArrowheads="1" noChangeAspect="1"/>
                          </pic:cNvPicPr>
                        </pic:nvPicPr>
                        <pic:blipFill>
                          <a:blip r:embed="rId40"/>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4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7" w:name="fig-meteowqraw"/>
          <w:p>
            <w:pPr>
              <w:jc w:val="center"/>
            </w:pPr>
            <w:r>
              <w:drawing>
                <wp:inline>
                  <wp:extent cx="5943600" cy="6792685"/>
                  <wp:effectExtent b="0" l="0" r="0" t="0"/>
                  <wp:docPr descr="" title="" id="45" name="Picture"/>
                  <a:graphic>
                    <a:graphicData uri="http://schemas.openxmlformats.org/drawingml/2006/picture">
                      <pic:pic>
                        <pic:nvPicPr>
                          <pic:cNvPr descr="figs/meteowqraw.png" id="46" name="Picture"/>
                          <pic:cNvPicPr>
                            <a:picLocks noChangeArrowheads="1" noChangeAspect="1"/>
                          </pic:cNvPicPr>
                        </pic:nvPicPr>
                        <pic:blipFill>
                          <a:blip r:embed="rId44"/>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Long-term air temperature, precipitation, hydrologic load, Standard Precipitation Index (SPI), water temperature, and salinity trends from 1975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4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1" w:name="fig-concept"/>
          <w:p>
            <w:pPr>
              <w:jc w:val="center"/>
            </w:pPr>
            <w:r>
              <w:drawing>
                <wp:inline>
                  <wp:extent cx="4905519" cy="5002796"/>
                  <wp:effectExtent b="0" l="0" r="0" t="0"/>
                  <wp:docPr descr="" title="" id="49" name="Picture"/>
                  <a:graphic>
                    <a:graphicData uri="http://schemas.openxmlformats.org/drawingml/2006/picture">
                      <pic:pic>
                        <pic:nvPicPr>
                          <pic:cNvPr descr="figs/concept.png" id="50" name="Picture"/>
                          <pic:cNvPicPr>
                            <a:picLocks noChangeArrowheads="1" noChangeAspect="1"/>
                          </pic:cNvPicPr>
                        </pic:nvPicPr>
                        <pic:blipFill>
                          <a:blip r:embed="rId48"/>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 demonstrating a two-dimensional niche space for temperature and salinity.</w:t>
            </w:r>
          </w:p>
          <w:bookmarkEnd w:id="5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5" w:name="fig-kendall"/>
          <w:p>
            <w:pPr>
              <w:jc w:val="center"/>
            </w:pPr>
            <w:r>
              <w:drawing>
                <wp:inline>
                  <wp:extent cx="5943600" cy="4379494"/>
                  <wp:effectExtent b="0" l="0" r="0" t="0"/>
                  <wp:docPr descr="" title="" id="53" name="Picture"/>
                  <a:graphic>
                    <a:graphicData uri="http://schemas.openxmlformats.org/drawingml/2006/picture">
                      <pic:pic>
                        <pic:nvPicPr>
                          <pic:cNvPr descr="figs/kendall.png" id="54" name="Picture"/>
                          <pic:cNvPicPr>
                            <a:picLocks noChangeArrowheads="1" noChangeAspect="1"/>
                          </pic:cNvPicPr>
                        </pic:nvPicPr>
                        <pic:blipFill>
                          <a:blip r:embed="rId52"/>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1975 to 2022 for temperature and salinity measurements at long-term monitoring stations in Tampa Bay. Results for (a) seasonal Kendall tests by station and monitoring location (top or bottom of the water column) are shown in (a) with color and shape corresponding to the estimated annual slope as change per year (yr-1). Summarized seasonal trends by month are shown for (b) top and (c) bottom measurements as the percent of stations in each bay segment with significant increasing (temperature) or decreasing (salinity) trends. Bay segment outlines are shown in (a); OTB (northwest): Old Tampa Bay, HB (northeast): Hillsborough Bay, MTB: Middle Tampa Bay, LTB: Lower Tampa Bay.</w:t>
            </w:r>
          </w:p>
          <w:bookmarkEnd w:id="5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9" w:name="fig-mixeff"/>
          <w:p>
            <w:pPr>
              <w:jc w:val="center"/>
            </w:pPr>
            <w:r>
              <w:drawing>
                <wp:inline>
                  <wp:extent cx="5943600" cy="5094514"/>
                  <wp:effectExtent b="0" l="0" r="0" t="0"/>
                  <wp:docPr descr="" title="" id="57" name="Picture"/>
                  <a:graphic>
                    <a:graphicData uri="http://schemas.openxmlformats.org/drawingml/2006/picture">
                      <pic:pic>
                        <pic:nvPicPr>
                          <pic:cNvPr descr="figs/mixeff.png" id="58" name="Picture"/>
                          <pic:cNvPicPr>
                            <a:picLocks noChangeArrowheads="1" noChangeAspect="1"/>
                          </pic:cNvPicPr>
                        </pic:nvPicPr>
                        <pic:blipFill>
                          <a:blip r:embed="rId56"/>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mixed effects models for the estimated number of days by year that temperature (red) or salinity (blue) were above or below thresholds of 30 degrees C or 25 psu, respectively. The bottom row (black) shows the number of days when both temperature and salinity were above or below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5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3" w:name="fig-sgmod"/>
          <w:p>
            <w:pPr>
              <w:jc w:val="center"/>
            </w:pPr>
            <w:r>
              <w:drawing>
                <wp:inline>
                  <wp:extent cx="5943600" cy="5094514"/>
                  <wp:effectExtent b="0" l="0" r="0" t="0"/>
                  <wp:docPr descr="" title="" id="61" name="Picture"/>
                  <a:graphic>
                    <a:graphicData uri="http://schemas.openxmlformats.org/drawingml/2006/picture">
                      <pic:pic>
                        <pic:nvPicPr>
                          <pic:cNvPr descr="figs/sgmods.png" id="62" name="Picture"/>
                          <pic:cNvPicPr>
                            <a:picLocks noChangeArrowheads="1" noChangeAspect="1"/>
                          </pic:cNvPicPr>
                        </pic:nvPicPr>
                        <pic:blipFill>
                          <a:blip r:embed="rId60"/>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Predicted results from generalized linear models evaluating seagrass changes versus temperature or salinity predictors for the (a) EPC and (b) FIM datasets. The predictors for the (a) were the number of days when temperature was above the threshold and the number of days when temperature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3"/>
        </w:tc>
      </w:tr>
    </w:tbl>
    <w:p>
      <w:r>
        <w:br w:type="page"/>
      </w:r>
    </w:p>
    <w:bookmarkEnd w:id="64"/>
    <w:bookmarkStart w:id="69" w:name="tables"/>
    <w:p>
      <w:pPr>
        <w:pStyle w:val="Heading2"/>
      </w:pPr>
      <w:r>
        <w:t xml:space="preserve">Tables</w:t>
      </w:r>
    </w:p>
    <w:bookmarkStart w:id="65" w:name="tbl-temptrndtab"/>
    <w:p>
      <w:pPr>
        <w:pStyle w:val="Tabl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Caption w:val="Table 1: Bottom temperature trends (^\circ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24.7</w:t>
            </w:r>
          </w:p>
        </w:tc>
        <w:tc>
          <w:tcPr/>
          <w:p>
            <w:pPr>
              <w:pStyle w:val="Compact"/>
              <w:jc w:val="right"/>
            </w:pPr>
            <w:r>
              <w:t xml:space="preserve">1.4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23.3</w:t>
            </w:r>
          </w:p>
        </w:tc>
        <w:tc>
          <w:tcPr/>
          <w:p>
            <w:pPr>
              <w:pStyle w:val="Compact"/>
              <w:jc w:val="right"/>
            </w:pPr>
            <w:r>
              <w:t xml:space="preserve">24.9</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24.8</w:t>
            </w:r>
          </w:p>
        </w:tc>
        <w:tc>
          <w:tcPr/>
          <w:p>
            <w:pPr>
              <w:pStyle w:val="Compact"/>
              <w:jc w:val="right"/>
            </w:pPr>
            <w:r>
              <w:t xml:space="preserve">1.5</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23.6</w:t>
            </w:r>
          </w:p>
        </w:tc>
        <w:tc>
          <w:tcPr/>
          <w:p>
            <w:pPr>
              <w:pStyle w:val="Compact"/>
              <w:jc w:val="right"/>
            </w:pPr>
            <w:r>
              <w:t xml:space="preserve">24.8</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23.5</w:t>
            </w:r>
          </w:p>
        </w:tc>
        <w:tc>
          <w:tcPr/>
          <w:p>
            <w:pPr>
              <w:pStyle w:val="Compact"/>
              <w:jc w:val="right"/>
            </w:pPr>
            <w:r>
              <w:t xml:space="preserve">24.7</w:t>
            </w:r>
          </w:p>
        </w:tc>
        <w:tc>
          <w:tcPr/>
          <w:p>
            <w:pPr>
              <w:pStyle w:val="Compact"/>
              <w:jc w:val="right"/>
            </w:pPr>
            <w:r>
              <w:t xml:space="preserve">1.2</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25.3</w:t>
            </w:r>
          </w:p>
        </w:tc>
        <w:tc>
          <w:tcPr/>
          <w:p>
            <w:pPr>
              <w:pStyle w:val="Compact"/>
              <w:jc w:val="right"/>
            </w:pPr>
            <w:r>
              <w:t xml:space="preserve">1.5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0.04</w:t>
            </w:r>
          </w:p>
        </w:tc>
        <w:tc>
          <w:tcPr/>
          <w:p>
            <w:pPr>
              <w:pStyle w:val="Compact"/>
              <w:jc w:val="right"/>
            </w:pPr>
            <w:r>
              <w:t xml:space="preserve">24.1</w:t>
            </w:r>
          </w:p>
        </w:tc>
        <w:tc>
          <w:tcPr/>
          <w:p>
            <w:pPr>
              <w:pStyle w:val="Compact"/>
              <w:jc w:val="right"/>
            </w:pPr>
            <w:r>
              <w:t xml:space="preserve">25.0</w:t>
            </w:r>
          </w:p>
        </w:tc>
        <w:tc>
          <w:tcPr/>
          <w:p>
            <w:pPr>
              <w:pStyle w:val="Compact"/>
              <w:jc w:val="right"/>
            </w:pPr>
            <w:r>
              <w:t xml:space="preserve">0.9</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23.8</w:t>
            </w:r>
          </w:p>
        </w:tc>
        <w:tc>
          <w:tcPr/>
          <w:p>
            <w:pPr>
              <w:pStyle w:val="Compact"/>
              <w:jc w:val="right"/>
            </w:pPr>
            <w:r>
              <w:t xml:space="preserve">24.8</w:t>
            </w:r>
          </w:p>
        </w:tc>
        <w:tc>
          <w:tcPr/>
          <w:p>
            <w:pPr>
              <w:pStyle w:val="Compact"/>
              <w:jc w:val="right"/>
            </w:pPr>
            <w:r>
              <w:t xml:space="preserve">1.0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24.7</w:t>
            </w:r>
          </w:p>
        </w:tc>
        <w:tc>
          <w:tcPr/>
          <w:p>
            <w:pPr>
              <w:pStyle w:val="Compact"/>
              <w:jc w:val="right"/>
            </w:pPr>
            <w:r>
              <w:t xml:space="preserve">0.7</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24.6</w:t>
            </w:r>
          </w:p>
        </w:tc>
        <w:tc>
          <w:tcPr/>
          <w:p>
            <w:pPr>
              <w:pStyle w:val="Compact"/>
              <w:jc w:val="right"/>
            </w:pPr>
            <w:r>
              <w:t xml:space="preserve">0.6</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23.6</w:t>
            </w:r>
          </w:p>
        </w:tc>
        <w:tc>
          <w:tcPr/>
          <w:p>
            <w:pPr>
              <w:pStyle w:val="Compact"/>
              <w:jc w:val="right"/>
            </w:pPr>
            <w:r>
              <w:t xml:space="preserve">24.9</w:t>
            </w:r>
          </w:p>
        </w:tc>
        <w:tc>
          <w:tcPr/>
          <w:p>
            <w:pPr>
              <w:pStyle w:val="Compact"/>
              <w:jc w:val="right"/>
            </w:pPr>
            <w:r>
              <w:t xml:space="preserve">1.3</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0.05</w:t>
            </w:r>
          </w:p>
        </w:tc>
        <w:tc>
          <w:tcPr/>
          <w:p>
            <w:pPr>
              <w:pStyle w:val="Compact"/>
              <w:jc w:val="right"/>
            </w:pPr>
            <w:r>
              <w:t xml:space="preserve">24.4</w:t>
            </w:r>
          </w:p>
        </w:tc>
        <w:tc>
          <w:tcPr/>
          <w:p>
            <w:pPr>
              <w:pStyle w:val="Compact"/>
              <w:jc w:val="right"/>
            </w:pPr>
            <w:r>
              <w:t xml:space="preserve">25.2</w:t>
            </w:r>
          </w:p>
        </w:tc>
        <w:tc>
          <w:tcPr/>
          <w:p>
            <w:pPr>
              <w:pStyle w:val="Compact"/>
              <w:jc w:val="right"/>
            </w:pPr>
            <w:r>
              <w:t xml:space="preserve">0.8</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0.09**</w:t>
            </w:r>
          </w:p>
        </w:tc>
        <w:tc>
          <w:tcPr/>
          <w:p>
            <w:pPr>
              <w:pStyle w:val="Compact"/>
              <w:jc w:val="right"/>
            </w:pPr>
            <w:r>
              <w:t xml:space="preserve">23.9</w:t>
            </w:r>
          </w:p>
        </w:tc>
        <w:tc>
          <w:tcPr/>
          <w:p>
            <w:pPr>
              <w:pStyle w:val="Compact"/>
              <w:jc w:val="right"/>
            </w:pPr>
            <w:r>
              <w:t xml:space="preserve">25.5</w:t>
            </w:r>
          </w:p>
        </w:tc>
        <w:tc>
          <w:tcPr/>
          <w:p>
            <w:pPr>
              <w:pStyle w:val="Compact"/>
              <w:jc w:val="right"/>
            </w:pPr>
            <w:r>
              <w:t xml:space="preserve">1.6</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w:t>
            </w:r>
          </w:p>
        </w:tc>
        <w:tc>
          <w:tcPr/>
          <w:p>
            <w:pPr>
              <w:pStyle w:val="Compact"/>
              <w:jc w:val="right"/>
            </w:pPr>
            <w:r>
              <w:t xml:space="preserve">23.7</w:t>
            </w:r>
          </w:p>
        </w:tc>
        <w:tc>
          <w:tcPr/>
          <w:p>
            <w:pPr>
              <w:pStyle w:val="Compact"/>
              <w:jc w:val="right"/>
            </w:pPr>
            <w:r>
              <w:t xml:space="preserve">25.4</w:t>
            </w:r>
          </w:p>
        </w:tc>
        <w:tc>
          <w:tcPr/>
          <w:p>
            <w:pPr>
              <w:pStyle w:val="Compact"/>
              <w:jc w:val="right"/>
            </w:pPr>
            <w:r>
              <w:t xml:space="preserve">1.7</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bl>
    <w:bookmarkEnd w:id="65"/>
    <w:p>
      <w:r>
        <w:br w:type="page"/>
      </w:r>
    </w:p>
    <w:bookmarkStart w:id="66" w:name="tbl-saltrndtab"/>
    <w:p>
      <w:pPr>
        <w:pStyle w:val="TableCaption"/>
      </w:pPr>
      <w:r>
        <w:t xml:space="preserve">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Caption w:val="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25.8</w:t>
            </w:r>
          </w:p>
        </w:tc>
        <w:tc>
          <w:tcPr/>
          <w:p>
            <w:pPr>
              <w:pStyle w:val="Compact"/>
              <w:jc w:val="right"/>
            </w:pPr>
            <w:r>
              <w:t xml:space="preserve">23.1</w:t>
            </w:r>
          </w:p>
        </w:tc>
        <w:tc>
          <w:tcPr/>
          <w:p>
            <w:pPr>
              <w:pStyle w:val="Compact"/>
              <w:jc w:val="right"/>
            </w:pPr>
            <w:r>
              <w:t xml:space="preserve">-2.7</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-0.02</w:t>
            </w:r>
          </w:p>
        </w:tc>
        <w:tc>
          <w:tcPr/>
          <w:p>
            <w:pPr>
              <w:pStyle w:val="Compact"/>
              <w:jc w:val="right"/>
            </w:pPr>
            <w:r>
              <w:t xml:space="preserve">25.6</w:t>
            </w:r>
          </w:p>
        </w:tc>
        <w:tc>
          <w:tcPr/>
          <w:p>
            <w:pPr>
              <w:pStyle w:val="Compact"/>
              <w:jc w:val="right"/>
            </w:pPr>
            <w:r>
              <w:t xml:space="preserve">24.6</w:t>
            </w:r>
          </w:p>
        </w:tc>
        <w:tc>
          <w:tcPr/>
          <w:p>
            <w:pPr>
              <w:pStyle w:val="Compact"/>
              <w:jc w:val="right"/>
            </w:pPr>
            <w:r>
              <w:t xml:space="preserve">-1.0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28.2</w:t>
            </w:r>
          </w:p>
        </w:tc>
        <w:tc>
          <w:tcPr/>
          <w:p>
            <w:pPr>
              <w:pStyle w:val="Compact"/>
              <w:jc w:val="right"/>
            </w:pPr>
            <w:r>
              <w:t xml:space="preserve">26.6</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33.4</w:t>
            </w:r>
          </w:p>
        </w:tc>
        <w:tc>
          <w:tcPr/>
          <w:p>
            <w:pPr>
              <w:pStyle w:val="Compact"/>
              <w:jc w:val="right"/>
            </w:pPr>
            <w:r>
              <w:t xml:space="preserve">31.3</w:t>
            </w:r>
          </w:p>
        </w:tc>
        <w:tc>
          <w:tcPr/>
          <w:p>
            <w:pPr>
              <w:pStyle w:val="Compact"/>
              <w:jc w:val="right"/>
            </w:pPr>
            <w:r>
              <w:t xml:space="preserve">-2.1</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24.9</w:t>
            </w:r>
          </w:p>
        </w:tc>
        <w:tc>
          <w:tcPr/>
          <w:p>
            <w:pPr>
              <w:pStyle w:val="Compact"/>
              <w:jc w:val="right"/>
            </w:pPr>
            <w:r>
              <w:t xml:space="preserve">22.8</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-0.06</w:t>
            </w:r>
          </w:p>
        </w:tc>
        <w:tc>
          <w:tcPr/>
          <w:p>
            <w:pPr>
              <w:pStyle w:val="Compact"/>
              <w:jc w:val="right"/>
            </w:pPr>
            <w:r>
              <w:t xml:space="preserve">24.1</w:t>
            </w:r>
          </w:p>
        </w:tc>
        <w:tc>
          <w:tcPr/>
          <w:p>
            <w:pPr>
              <w:pStyle w:val="Compact"/>
              <w:jc w:val="right"/>
            </w:pPr>
            <w:r>
              <w:t xml:space="preserve">22.6</w:t>
            </w:r>
          </w:p>
        </w:tc>
        <w:tc>
          <w:tcPr/>
          <w:p>
            <w:pPr>
              <w:pStyle w:val="Compact"/>
              <w:jc w:val="right"/>
            </w:pPr>
            <w:r>
              <w:t xml:space="preserve">-1.5</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26.1</w:t>
            </w:r>
          </w:p>
        </w:tc>
        <w:tc>
          <w:tcPr/>
          <w:p>
            <w:pPr>
              <w:pStyle w:val="Compact"/>
              <w:jc w:val="right"/>
            </w:pPr>
            <w:r>
              <w:t xml:space="preserve">23.9</w:t>
            </w:r>
          </w:p>
        </w:tc>
        <w:tc>
          <w:tcPr/>
          <w:p>
            <w:pPr>
              <w:pStyle w:val="Compact"/>
              <w:jc w:val="right"/>
            </w:pPr>
            <w:r>
              <w:t xml:space="preserve">-2.2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w:t>
            </w:r>
          </w:p>
        </w:tc>
        <w:tc>
          <w:tcPr/>
          <w:p>
            <w:pPr>
              <w:pStyle w:val="Compact"/>
              <w:jc w:val="right"/>
            </w:pPr>
            <w:r>
              <w:t xml:space="preserve">24.0</w:t>
            </w:r>
          </w:p>
        </w:tc>
        <w:tc>
          <w:tcPr/>
          <w:p>
            <w:pPr>
              <w:pStyle w:val="Compact"/>
              <w:jc w:val="right"/>
            </w:pPr>
            <w:r>
              <w:t xml:space="preserve">24.0</w:t>
            </w:r>
          </w:p>
        </w:tc>
        <w:tc>
          <w:tcPr/>
          <w:p>
            <w:pPr>
              <w:pStyle w:val="Compact"/>
              <w:jc w:val="right"/>
            </w:pPr>
            <w:r>
              <w:t xml:space="preserve">0.0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28.0</w:t>
            </w:r>
          </w:p>
        </w:tc>
        <w:tc>
          <w:tcPr/>
          <w:p>
            <w:pPr>
              <w:pStyle w:val="Compact"/>
              <w:jc w:val="right"/>
            </w:pPr>
            <w:r>
              <w:t xml:space="preserve">26.3</w:t>
            </w:r>
          </w:p>
        </w:tc>
        <w:tc>
          <w:tcPr/>
          <w:p>
            <w:pPr>
              <w:pStyle w:val="Compact"/>
              <w:jc w:val="right"/>
            </w:pPr>
            <w:r>
              <w:t xml:space="preserve">-1.7</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-0.03</w:t>
            </w:r>
          </w:p>
        </w:tc>
        <w:tc>
          <w:tcPr/>
          <w:p>
            <w:pPr>
              <w:pStyle w:val="Compact"/>
              <w:jc w:val="right"/>
            </w:pPr>
            <w:r>
              <w:t xml:space="preserve">26.6</w:t>
            </w:r>
          </w:p>
        </w:tc>
        <w:tc>
          <w:tcPr/>
          <w:p>
            <w:pPr>
              <w:pStyle w:val="Compact"/>
              <w:jc w:val="right"/>
            </w:pPr>
            <w:r>
              <w:t xml:space="preserve">25.8</w:t>
            </w:r>
          </w:p>
        </w:tc>
        <w:tc>
          <w:tcPr/>
          <w:p>
            <w:pPr>
              <w:pStyle w:val="Compact"/>
              <w:jc w:val="right"/>
            </w:pPr>
            <w:r>
              <w:t xml:space="preserve">-0.8</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32.5</w:t>
            </w:r>
          </w:p>
        </w:tc>
        <w:tc>
          <w:tcPr/>
          <w:p>
            <w:pPr>
              <w:pStyle w:val="Compact"/>
              <w:jc w:val="right"/>
            </w:pPr>
            <w:r>
              <w:t xml:space="preserve">31.4</w:t>
            </w:r>
          </w:p>
        </w:tc>
        <w:tc>
          <w:tcPr/>
          <w:p>
            <w:pPr>
              <w:pStyle w:val="Compact"/>
              <w:jc w:val="right"/>
            </w:pPr>
            <w:r>
              <w:t xml:space="preserve">-1.1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0.01</w:t>
            </w:r>
          </w:p>
        </w:tc>
        <w:tc>
          <w:tcPr/>
          <w:p>
            <w:pPr>
              <w:pStyle w:val="Compact"/>
              <w:jc w:val="right"/>
            </w:pPr>
            <w:r>
              <w:t xml:space="preserve">31.6</w:t>
            </w:r>
          </w:p>
        </w:tc>
        <w:tc>
          <w:tcPr/>
          <w:p>
            <w:pPr>
              <w:pStyle w:val="Compact"/>
              <w:jc w:val="right"/>
            </w:pPr>
            <w:r>
              <w:t xml:space="preserve">32.0</w:t>
            </w:r>
          </w:p>
        </w:tc>
        <w:tc>
          <w:tcPr/>
          <w:p>
            <w:pPr>
              <w:pStyle w:val="Compact"/>
              <w:jc w:val="right"/>
            </w:pPr>
            <w:r>
              <w:t xml:space="preserve">0.4</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-0.2*</w:t>
            </w:r>
          </w:p>
        </w:tc>
        <w:tc>
          <w:tcPr/>
          <w:p>
            <w:pPr>
              <w:pStyle w:val="Compact"/>
              <w:jc w:val="right"/>
            </w:pPr>
            <w:r>
              <w:t xml:space="preserve">25.5</w:t>
            </w:r>
          </w:p>
        </w:tc>
        <w:tc>
          <w:tcPr/>
          <w:p>
            <w:pPr>
              <w:pStyle w:val="Compact"/>
              <w:jc w:val="right"/>
            </w:pPr>
            <w:r>
              <w:t xml:space="preserve">22.0</w:t>
            </w:r>
          </w:p>
        </w:tc>
        <w:tc>
          <w:tcPr/>
          <w:p>
            <w:pPr>
              <w:pStyle w:val="Compact"/>
              <w:jc w:val="right"/>
            </w:pPr>
            <w:r>
              <w:t xml:space="preserve">-3.5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-0.15</w:t>
            </w:r>
          </w:p>
        </w:tc>
        <w:tc>
          <w:tcPr/>
          <w:p>
            <w:pPr>
              <w:pStyle w:val="Compact"/>
              <w:jc w:val="right"/>
            </w:pPr>
            <w:r>
              <w:t xml:space="preserve">24.7</w:t>
            </w:r>
          </w:p>
        </w:tc>
        <w:tc>
          <w:tcPr/>
          <w:p>
            <w:pPr>
              <w:pStyle w:val="Compact"/>
              <w:jc w:val="right"/>
            </w:pPr>
            <w:r>
              <w:t xml:space="preserve">21.9</w:t>
            </w:r>
          </w:p>
        </w:tc>
        <w:tc>
          <w:tcPr/>
          <w:p>
            <w:pPr>
              <w:pStyle w:val="Compact"/>
              <w:jc w:val="right"/>
            </w:pPr>
            <w:r>
              <w:t xml:space="preserve">-2.8</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-0.19</w:t>
            </w:r>
          </w:p>
        </w:tc>
        <w:tc>
          <w:tcPr/>
          <w:p>
            <w:pPr>
              <w:pStyle w:val="Compact"/>
              <w:jc w:val="right"/>
            </w:pPr>
            <w:r>
              <w:t xml:space="preserve">24.3</w:t>
            </w:r>
          </w:p>
        </w:tc>
        <w:tc>
          <w:tcPr/>
          <w:p>
            <w:pPr>
              <w:pStyle w:val="Compact"/>
              <w:jc w:val="right"/>
            </w:pPr>
            <w:r>
              <w:t xml:space="preserve">20.9</w:t>
            </w:r>
          </w:p>
        </w:tc>
        <w:tc>
          <w:tcPr/>
          <w:p>
            <w:pPr>
              <w:pStyle w:val="Compact"/>
              <w:jc w:val="right"/>
            </w:pPr>
            <w:r>
              <w:t xml:space="preserve">-3.4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-0.19*</w:t>
            </w:r>
          </w:p>
        </w:tc>
        <w:tc>
          <w:tcPr/>
          <w:p>
            <w:pPr>
              <w:pStyle w:val="Compact"/>
              <w:jc w:val="right"/>
            </w:pPr>
            <w:r>
              <w:t xml:space="preserve">26.5</w:t>
            </w:r>
          </w:p>
        </w:tc>
        <w:tc>
          <w:tcPr/>
          <w:p>
            <w:pPr>
              <w:pStyle w:val="Compact"/>
              <w:jc w:val="right"/>
            </w:pPr>
            <w:r>
              <w:t xml:space="preserve">23.1</w:t>
            </w:r>
          </w:p>
        </w:tc>
        <w:tc>
          <w:tcPr/>
          <w:p>
            <w:pPr>
              <w:pStyle w:val="Compact"/>
              <w:jc w:val="right"/>
            </w:pPr>
            <w:r>
              <w:t xml:space="preserve">-3.4</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-0.08</w:t>
            </w:r>
          </w:p>
        </w:tc>
        <w:tc>
          <w:tcPr/>
          <w:p>
            <w:pPr>
              <w:pStyle w:val="Compact"/>
              <w:jc w:val="right"/>
            </w:pPr>
            <w:r>
              <w:t xml:space="preserve">24.8</w:t>
            </w:r>
          </w:p>
        </w:tc>
        <w:tc>
          <w:tcPr/>
          <w:p>
            <w:pPr>
              <w:pStyle w:val="Compact"/>
              <w:jc w:val="right"/>
            </w:pPr>
            <w:r>
              <w:t xml:space="preserve">23.4</w:t>
            </w:r>
          </w:p>
        </w:tc>
        <w:tc>
          <w:tcPr/>
          <w:p>
            <w:pPr>
              <w:pStyle w:val="Compact"/>
              <w:jc w:val="right"/>
            </w:pPr>
            <w:r>
              <w:t xml:space="preserve">-1.4</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-0.17*</w:t>
            </w:r>
          </w:p>
        </w:tc>
        <w:tc>
          <w:tcPr/>
          <w:p>
            <w:pPr>
              <w:pStyle w:val="Compact"/>
              <w:jc w:val="right"/>
            </w:pPr>
            <w:r>
              <w:t xml:space="preserve">28.6</w:t>
            </w:r>
          </w:p>
        </w:tc>
        <w:tc>
          <w:tcPr/>
          <w:p>
            <w:pPr>
              <w:pStyle w:val="Compact"/>
              <w:jc w:val="right"/>
            </w:pPr>
            <w:r>
              <w:t xml:space="preserve">25.6</w:t>
            </w:r>
          </w:p>
        </w:tc>
        <w:tc>
          <w:tcPr/>
          <w:p>
            <w:pPr>
              <w:pStyle w:val="Compact"/>
              <w:jc w:val="right"/>
            </w:pPr>
            <w:r>
              <w:t xml:space="preserve">-3.0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-0.11</w:t>
            </w:r>
          </w:p>
        </w:tc>
        <w:tc>
          <w:tcPr/>
          <w:p>
            <w:pPr>
              <w:pStyle w:val="Compact"/>
              <w:jc w:val="right"/>
            </w:pPr>
            <w:r>
              <w:t xml:space="preserve">27.2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-0.12*</w:t>
            </w:r>
          </w:p>
        </w:tc>
        <w:tc>
          <w:tcPr/>
          <w:p>
            <w:pPr>
              <w:pStyle w:val="Compact"/>
              <w:jc w:val="right"/>
            </w:pPr>
            <w:r>
              <w:t xml:space="preserve">33.0</w:t>
            </w:r>
          </w:p>
        </w:tc>
        <w:tc>
          <w:tcPr/>
          <w:p>
            <w:pPr>
              <w:pStyle w:val="Compact"/>
              <w:jc w:val="right"/>
            </w:pPr>
            <w:r>
              <w:t xml:space="preserve">30.9</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32.5</w:t>
            </w:r>
          </w:p>
        </w:tc>
        <w:tc>
          <w:tcPr/>
          <w:p>
            <w:pPr>
              <w:pStyle w:val="Compact"/>
              <w:jc w:val="right"/>
            </w:pPr>
            <w:r>
              <w:t xml:space="preserve">31.5</w:t>
            </w:r>
          </w:p>
        </w:tc>
        <w:tc>
          <w:tcPr/>
          <w:p>
            <w:pPr>
              <w:pStyle w:val="Compact"/>
              <w:jc w:val="right"/>
            </w:pPr>
            <w:r>
              <w:t xml:space="preserve">-1.0</w:t>
            </w:r>
          </w:p>
        </w:tc>
      </w:tr>
    </w:tbl>
    <w:bookmarkEnd w:id="66"/>
    <w:p>
      <w:r>
        <w:br w:type="page"/>
      </w:r>
    </w:p>
    <w:bookmarkStart w:id="67" w:name="tbl-mixdaytab"/>
    <w:p>
      <w:pPr>
        <w:pStyle w:val="TableCaption"/>
      </w:pPr>
      <w:r>
        <w:t xml:space="preserve">Table 3: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jc w:val="start"/>
        <w:tblCaption w:val="Table 3: Summary of mixed-effects models evaluating increases in the number of days each year from 1975 to 2022 when temperature was above 30 ^\circ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
      </w:tblPr>
      <w:tblGrid>
        <w:gridCol w:w="1584"/>
        <w:gridCol w:w="1584"/>
        <w:gridCol w:w="1584"/>
        <w:gridCol w:w="1584"/>
        <w:gridCol w:w="1584"/>
      </w:tblGrid>
      <w:tr>
        <w:trPr>
          <w:tblHeader w:val="true"/>
        </w:trPr>
        <w:tc>
          <w:tcPr/>
          <w:p>
            <w:pPr>
              <w:pStyle w:val="Compact"/>
              <w:jc w:val="left"/>
            </w:pPr>
            <w:r>
              <w:t xml:space="preserve">Bay Segment</w:t>
            </w:r>
          </w:p>
        </w:tc>
        <w:tc>
          <w:tcPr/>
          <w:p>
            <w:pPr>
              <w:pStyle w:val="Compact"/>
              <w:jc w:val="left"/>
            </w:pPr>
            <w:r>
              <w:t xml:space="preserve">Threshold</w:t>
            </w:r>
          </w:p>
        </w:tc>
        <w:tc>
          <w:tcPr/>
          <w:p>
            <w:pPr>
              <w:pStyle w:val="Compact"/>
              <w:jc w:val="left"/>
            </w:pPr>
            <w:r>
              <w:t xml:space="preserve">Slope</w:t>
            </w:r>
          </w:p>
        </w:tc>
        <w:tc>
          <w:tcPr/>
          <w:p>
            <w:pPr>
              <w:pStyle w:val="Compact"/>
              <w:jc w:val="left"/>
            </w:pPr>
            <w:r>
              <w:t xml:space="preserve">Start</w:t>
            </w:r>
          </w:p>
        </w:tc>
        <w:tc>
          <w:tcPr/>
          <w:p>
            <w:pPr>
              <w:pStyle w:val="Compact"/>
              <w:jc w:val="left"/>
            </w:pPr>
            <w:r>
              <w:t xml:space="preserve">End</w:t>
            </w:r>
          </w:p>
        </w:tc>
      </w:tr>
      <w:tr>
        <w:tc>
          <w:tcPr/>
          <w:p>
            <w:pPr>
              <w:pStyle w:val="Compact"/>
              <w:jc w:val="left"/>
            </w:pPr>
            <w:r>
              <w:t xml:space="preserve">OTB</w:t>
            </w:r>
          </w:p>
        </w:tc>
        <w:tc>
          <w:tcPr/>
          <w:p>
            <w:pPr>
              <w:pStyle w:val="Compact"/>
              <w:jc w:val="left"/>
            </w:pPr>
            <w:r>
              <w:t xml:space="preserve">Temperature &gt; 30</w:t>
            </w:r>
          </w:p>
        </w:tc>
        <w:tc>
          <w:tcPr/>
          <w:p>
            <w:pPr>
              <w:pStyle w:val="Compact"/>
              <w:jc w:val="left"/>
            </w:pPr>
            <w:r>
              <w:t xml:space="preserve">1.04**</w:t>
            </w:r>
          </w:p>
        </w:tc>
        <w:tc>
          <w:tcPr/>
          <w:p>
            <w:pPr>
              <w:pStyle w:val="Compact"/>
              <w:jc w:val="left"/>
            </w:pPr>
            <w:r>
              <w:t xml:space="preserve">8 (3.3)</w:t>
            </w:r>
          </w:p>
        </w:tc>
        <w:tc>
          <w:tcPr/>
          <w:p>
            <w:pPr>
              <w:pStyle w:val="Compact"/>
              <w:jc w:val="left"/>
            </w:pPr>
            <w:r>
              <w:t xml:space="preserve">56 (3.3)</w:t>
            </w:r>
          </w:p>
        </w:tc>
      </w:tr>
      <w:tr>
        <w:tc>
          <w:tcPr/>
          <w:p>
            <w:pPr>
              <w:pStyle w:val="Compact"/>
            </w:pPr>
          </w:p>
        </w:tc>
        <w:tc>
          <w:tcPr/>
          <w:p>
            <w:pPr>
              <w:pStyle w:val="Compact"/>
              <w:jc w:val="left"/>
            </w:pPr>
            <w:r>
              <w:t xml:space="preserve">Salinity &lt; 25</w:t>
            </w:r>
          </w:p>
        </w:tc>
        <w:tc>
          <w:tcPr/>
          <w:p>
            <w:pPr>
              <w:pStyle w:val="Compact"/>
              <w:jc w:val="left"/>
            </w:pPr>
            <w:r>
              <w:t xml:space="preserve">1.96**</w:t>
            </w:r>
          </w:p>
        </w:tc>
        <w:tc>
          <w:tcPr/>
          <w:p>
            <w:pPr>
              <w:pStyle w:val="Compact"/>
              <w:jc w:val="left"/>
            </w:pPr>
            <w:r>
              <w:t xml:space="preserve">128 (13.2)</w:t>
            </w:r>
          </w:p>
        </w:tc>
        <w:tc>
          <w:tcPr/>
          <w:p>
            <w:pPr>
              <w:pStyle w:val="Compact"/>
              <w:jc w:val="left"/>
            </w:pPr>
            <w:r>
              <w:t xml:space="preserve">219 (13.2)</w:t>
            </w:r>
          </w:p>
        </w:tc>
      </w:tr>
      <w:tr>
        <w:tc>
          <w:tcPr/>
          <w:p>
            <w:pPr>
              <w:pStyle w:val="Compact"/>
            </w:pPr>
          </w:p>
        </w:tc>
        <w:tc>
          <w:tcPr/>
          <w:p>
            <w:pPr>
              <w:pStyle w:val="Compact"/>
              <w:jc w:val="left"/>
            </w:pPr>
            <w:r>
              <w:t xml:space="preserve">Both</w:t>
            </w:r>
          </w:p>
        </w:tc>
        <w:tc>
          <w:tcPr/>
          <w:p>
            <w:pPr>
              <w:pStyle w:val="Compact"/>
              <w:jc w:val="left"/>
            </w:pPr>
            <w:r>
              <w:t xml:space="preserve">0.81**</w:t>
            </w:r>
          </w:p>
        </w:tc>
        <w:tc>
          <w:tcPr/>
          <w:p>
            <w:pPr>
              <w:pStyle w:val="Compact"/>
              <w:jc w:val="left"/>
            </w:pPr>
            <w:r>
              <w:t xml:space="preserve">0 (2.8)</w:t>
            </w:r>
          </w:p>
        </w:tc>
        <w:tc>
          <w:tcPr/>
          <w:p>
            <w:pPr>
              <w:pStyle w:val="Compact"/>
              <w:jc w:val="left"/>
            </w:pPr>
            <w:r>
              <w:t xml:space="preserve">37 (2.7)</w:t>
            </w:r>
          </w:p>
        </w:tc>
      </w:tr>
      <w:tr>
        <w:tc>
          <w:tcPr/>
          <w:p>
            <w:pPr>
              <w:pStyle w:val="Compact"/>
              <w:jc w:val="left"/>
            </w:pPr>
            <w:r>
              <w:t xml:space="preserve">HB</w:t>
            </w:r>
          </w:p>
        </w:tc>
        <w:tc>
          <w:tcPr/>
          <w:p>
            <w:pPr>
              <w:pStyle w:val="Compact"/>
              <w:jc w:val="left"/>
            </w:pPr>
            <w:r>
              <w:t xml:space="preserve">Temperature &gt; 30</w:t>
            </w:r>
          </w:p>
        </w:tc>
        <w:tc>
          <w:tcPr/>
          <w:p>
            <w:pPr>
              <w:pStyle w:val="Compact"/>
              <w:jc w:val="left"/>
            </w:pPr>
            <w:r>
              <w:t xml:space="preserve">1.01**</w:t>
            </w:r>
          </w:p>
        </w:tc>
        <w:tc>
          <w:tcPr/>
          <w:p>
            <w:pPr>
              <w:pStyle w:val="Compact"/>
              <w:jc w:val="left"/>
            </w:pPr>
            <w:r>
              <w:t xml:space="preserve">8 (4.9)</w:t>
            </w:r>
          </w:p>
        </w:tc>
        <w:tc>
          <w:tcPr/>
          <w:p>
            <w:pPr>
              <w:pStyle w:val="Compact"/>
              <w:jc w:val="left"/>
            </w:pPr>
            <w:r>
              <w:t xml:space="preserve">55 (4.8)</w:t>
            </w:r>
          </w:p>
        </w:tc>
      </w:tr>
      <w:tr>
        <w:tc>
          <w:tcPr/>
          <w:p>
            <w:pPr>
              <w:pStyle w:val="Compact"/>
            </w:pPr>
          </w:p>
        </w:tc>
        <w:tc>
          <w:tcPr/>
          <w:p>
            <w:pPr>
              <w:pStyle w:val="Compact"/>
              <w:jc w:val="left"/>
            </w:pPr>
            <w:r>
              <w:t xml:space="preserve">Salinity &lt; 25</w:t>
            </w:r>
          </w:p>
        </w:tc>
        <w:tc>
          <w:tcPr/>
          <w:p>
            <w:pPr>
              <w:pStyle w:val="Compact"/>
              <w:jc w:val="left"/>
            </w:pPr>
            <w:r>
              <w:t xml:space="preserve">0.86*</w:t>
            </w:r>
          </w:p>
        </w:tc>
        <w:tc>
          <w:tcPr/>
          <w:p>
            <w:pPr>
              <w:pStyle w:val="Compact"/>
              <w:jc w:val="left"/>
            </w:pPr>
            <w:r>
              <w:t xml:space="preserve">131 (12.5)</w:t>
            </w:r>
          </w:p>
        </w:tc>
        <w:tc>
          <w:tcPr/>
          <w:p>
            <w:pPr>
              <w:pStyle w:val="Compact"/>
              <w:jc w:val="left"/>
            </w:pPr>
            <w:r>
              <w:t xml:space="preserve">171 (11.8)</w:t>
            </w:r>
          </w:p>
        </w:tc>
      </w:tr>
      <w:tr>
        <w:tc>
          <w:tcPr/>
          <w:p>
            <w:pPr>
              <w:pStyle w:val="Compact"/>
            </w:pPr>
          </w:p>
        </w:tc>
        <w:tc>
          <w:tcPr/>
          <w:p>
            <w:pPr>
              <w:pStyle w:val="Compact"/>
              <w:jc w:val="left"/>
            </w:pPr>
            <w:r>
              <w:t xml:space="preserve">Both</w:t>
            </w:r>
          </w:p>
        </w:tc>
        <w:tc>
          <w:tcPr/>
          <w:p>
            <w:pPr>
              <w:pStyle w:val="Compact"/>
              <w:jc w:val="left"/>
            </w:pPr>
            <w:r>
              <w:t xml:space="preserve">0.8**</w:t>
            </w:r>
          </w:p>
        </w:tc>
        <w:tc>
          <w:tcPr/>
          <w:p>
            <w:pPr>
              <w:pStyle w:val="Compact"/>
              <w:jc w:val="left"/>
            </w:pPr>
            <w:r>
              <w:t xml:space="preserve">-2 (2.8)</w:t>
            </w:r>
          </w:p>
        </w:tc>
        <w:tc>
          <w:tcPr/>
          <w:p>
            <w:pPr>
              <w:pStyle w:val="Compact"/>
              <w:jc w:val="left"/>
            </w:pPr>
            <w:r>
              <w:t xml:space="preserve">35 (2.7)</w:t>
            </w:r>
          </w:p>
        </w:tc>
      </w:tr>
      <w:tr>
        <w:tc>
          <w:tcPr/>
          <w:p>
            <w:pPr>
              <w:pStyle w:val="Compact"/>
              <w:jc w:val="left"/>
            </w:pPr>
            <w:r>
              <w:t xml:space="preserve">MTB</w:t>
            </w:r>
          </w:p>
        </w:tc>
        <w:tc>
          <w:tcPr/>
          <w:p>
            <w:pPr>
              <w:pStyle w:val="Compact"/>
              <w:jc w:val="left"/>
            </w:pPr>
            <w:r>
              <w:t xml:space="preserve">Temperature &gt; 30</w:t>
            </w:r>
          </w:p>
        </w:tc>
        <w:tc>
          <w:tcPr/>
          <w:p>
            <w:pPr>
              <w:pStyle w:val="Compact"/>
              <w:jc w:val="left"/>
            </w:pPr>
            <w:r>
              <w:t xml:space="preserve">1.06**</w:t>
            </w:r>
          </w:p>
        </w:tc>
        <w:tc>
          <w:tcPr/>
          <w:p>
            <w:pPr>
              <w:pStyle w:val="Compact"/>
              <w:jc w:val="left"/>
            </w:pPr>
            <w:r>
              <w:t xml:space="preserve">9 (3.1)</w:t>
            </w:r>
          </w:p>
        </w:tc>
        <w:tc>
          <w:tcPr/>
          <w:p>
            <w:pPr>
              <w:pStyle w:val="Compact"/>
              <w:jc w:val="left"/>
            </w:pPr>
            <w:r>
              <w:t xml:space="preserve">57 (3.1)</w:t>
            </w:r>
          </w:p>
        </w:tc>
      </w:tr>
      <w:tr>
        <w:tc>
          <w:tcPr/>
          <w:p>
            <w:pPr>
              <w:pStyle w:val="Compact"/>
            </w:pPr>
          </w:p>
        </w:tc>
        <w:tc>
          <w:tcPr/>
          <w:p>
            <w:pPr>
              <w:pStyle w:val="Compact"/>
              <w:jc w:val="left"/>
            </w:pPr>
            <w:r>
              <w:t xml:space="preserve">Salinity &lt; 25</w:t>
            </w:r>
          </w:p>
        </w:tc>
        <w:tc>
          <w:tcPr/>
          <w:p>
            <w:pPr>
              <w:pStyle w:val="Compact"/>
              <w:jc w:val="left"/>
            </w:pPr>
            <w:r>
              <w:t xml:space="preserve">0.67**</w:t>
            </w:r>
          </w:p>
        </w:tc>
        <w:tc>
          <w:tcPr/>
          <w:p>
            <w:pPr>
              <w:pStyle w:val="Compact"/>
              <w:jc w:val="left"/>
            </w:pPr>
            <w:r>
              <w:t xml:space="preserve">51 (11)</w:t>
            </w:r>
          </w:p>
        </w:tc>
        <w:tc>
          <w:tcPr/>
          <w:p>
            <w:pPr>
              <w:pStyle w:val="Compact"/>
              <w:jc w:val="left"/>
            </w:pPr>
            <w:r>
              <w:t xml:space="preserve">82 (11)</w:t>
            </w:r>
          </w:p>
        </w:tc>
      </w:tr>
      <w:tr>
        <w:tc>
          <w:tcPr/>
          <w:p>
            <w:pPr>
              <w:pStyle w:val="Compact"/>
            </w:pPr>
          </w:p>
        </w:tc>
        <w:tc>
          <w:tcPr/>
          <w:p>
            <w:pPr>
              <w:pStyle w:val="Compact"/>
              <w:jc w:val="left"/>
            </w:pPr>
            <w:r>
              <w:t xml:space="preserve">Both</w:t>
            </w:r>
          </w:p>
        </w:tc>
        <w:tc>
          <w:tcPr/>
          <w:p>
            <w:pPr>
              <w:pStyle w:val="Compact"/>
              <w:jc w:val="left"/>
            </w:pPr>
            <w:r>
              <w:t xml:space="preserve">0.37**</w:t>
            </w:r>
          </w:p>
        </w:tc>
        <w:tc>
          <w:tcPr/>
          <w:p>
            <w:pPr>
              <w:pStyle w:val="Compact"/>
              <w:jc w:val="left"/>
            </w:pPr>
            <w:r>
              <w:t xml:space="preserve">-1 (1.7)</w:t>
            </w:r>
          </w:p>
        </w:tc>
        <w:tc>
          <w:tcPr/>
          <w:p>
            <w:pPr>
              <w:pStyle w:val="Compact"/>
              <w:jc w:val="left"/>
            </w:pPr>
            <w:r>
              <w:t xml:space="preserve">16 (1.7)</w:t>
            </w:r>
          </w:p>
        </w:tc>
      </w:tr>
      <w:tr>
        <w:tc>
          <w:tcPr/>
          <w:p>
            <w:pPr>
              <w:pStyle w:val="Compact"/>
              <w:jc w:val="left"/>
            </w:pPr>
            <w:r>
              <w:t xml:space="preserve">LTB</w:t>
            </w:r>
          </w:p>
        </w:tc>
        <w:tc>
          <w:tcPr/>
          <w:p>
            <w:pPr>
              <w:pStyle w:val="Compact"/>
              <w:jc w:val="left"/>
            </w:pPr>
            <w:r>
              <w:t xml:space="preserve">Temperature &gt; 30</w:t>
            </w:r>
          </w:p>
        </w:tc>
        <w:tc>
          <w:tcPr/>
          <w:p>
            <w:pPr>
              <w:pStyle w:val="Compact"/>
              <w:jc w:val="left"/>
            </w:pPr>
            <w:r>
              <w:t xml:space="preserve">0.92**</w:t>
            </w:r>
          </w:p>
        </w:tc>
        <w:tc>
          <w:tcPr/>
          <w:p>
            <w:pPr>
              <w:pStyle w:val="Compact"/>
              <w:jc w:val="left"/>
            </w:pPr>
            <w:r>
              <w:t xml:space="preserve">21 (3.5)</w:t>
            </w:r>
          </w:p>
        </w:tc>
        <w:tc>
          <w:tcPr/>
          <w:p>
            <w:pPr>
              <w:pStyle w:val="Compact"/>
              <w:jc w:val="left"/>
            </w:pPr>
            <w:r>
              <w:t xml:space="preserve">63 (3.5)</w:t>
            </w:r>
          </w:p>
        </w:tc>
      </w:tr>
      <w:tr>
        <w:tc>
          <w:tcPr/>
          <w:p>
            <w:pPr>
              <w:pStyle w:val="Compact"/>
            </w:pPr>
          </w:p>
        </w:tc>
        <w:tc>
          <w:tcPr/>
          <w:p>
            <w:pPr>
              <w:pStyle w:val="Compact"/>
              <w:jc w:val="left"/>
            </w:pPr>
            <w:r>
              <w:t xml:space="preserve">Salinity &lt; 25</w:t>
            </w:r>
          </w:p>
        </w:tc>
        <w:tc>
          <w:tcPr/>
          <w:p>
            <w:pPr>
              <w:pStyle w:val="Compact"/>
              <w:jc w:val="left"/>
            </w:pPr>
            <w:r>
              <w:t xml:space="preserve">-0.06</w:t>
            </w:r>
          </w:p>
        </w:tc>
        <w:tc>
          <w:tcPr/>
          <w:p>
            <w:pPr>
              <w:pStyle w:val="Compact"/>
              <w:jc w:val="left"/>
            </w:pPr>
            <w:r>
              <w:t xml:space="preserve">4 (1.3)</w:t>
            </w:r>
          </w:p>
        </w:tc>
        <w:tc>
          <w:tcPr/>
          <w:p>
            <w:pPr>
              <w:pStyle w:val="Compact"/>
              <w:jc w:val="left"/>
            </w:pPr>
            <w:r>
              <w:t xml:space="preserve">1 (1.3)</w:t>
            </w:r>
          </w:p>
        </w:tc>
      </w:tr>
      <w:tr>
        <w:tc>
          <w:tcPr/>
          <w:p>
            <w:pPr>
              <w:pStyle w:val="Compact"/>
            </w:pPr>
          </w:p>
        </w:tc>
        <w:tc>
          <w:tcPr/>
          <w:p>
            <w:pPr>
              <w:pStyle w:val="Compact"/>
              <w:jc w:val="left"/>
            </w:pPr>
            <w:r>
              <w:t xml:space="preserve">Both</w:t>
            </w:r>
          </w:p>
        </w:tc>
        <w:tc>
          <w:tcPr/>
          <w:p>
            <w:pPr>
              <w:pStyle w:val="Compact"/>
              <w:jc w:val="left"/>
            </w:pPr>
            <w:r>
              <w:t xml:space="preserve">0</w:t>
            </w:r>
          </w:p>
        </w:tc>
        <w:tc>
          <w:tcPr/>
          <w:p>
            <w:pPr>
              <w:pStyle w:val="Compact"/>
              <w:jc w:val="left"/>
            </w:pPr>
            <w:r>
              <w:t xml:space="preserve">0 (0)</w:t>
            </w:r>
          </w:p>
        </w:tc>
        <w:tc>
          <w:tcPr/>
          <w:p>
            <w:pPr>
              <w:pStyle w:val="Compact"/>
              <w:jc w:val="left"/>
            </w:pPr>
            <w:r>
              <w:t xml:space="preserve">0 (0)</w:t>
            </w:r>
          </w:p>
        </w:tc>
      </w:tr>
    </w:tbl>
    <w:bookmarkEnd w:id="67"/>
    <w:p>
      <w:r>
        <w:br w:type="page"/>
      </w:r>
    </w:p>
    <w:bookmarkStart w:id="68" w:name="tbl-modtab"/>
    <w:p>
      <w:pPr>
        <w:pStyle w:val="TableCaption"/>
      </w:pPr>
      <w:r>
        <w:t xml:space="preserve">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jc w:val="start"/>
        <w:tblCaption w:val="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 “Temp” and “Sal” terms for the EPC models describe metrics that measure the number of days when temperature was above or salinity was below a threshold value, whereas the terms in all other models describe observed temperature or salinity (see text for description). ** p &lt; 0.005, * p &lt; 0.05, ^. p &lt; 0.1. EPC: Environmental Protection Commission, FIM: Fisheries Independent Monitoring, PDEM: Pinellas County Department of Environmental Management. OTB: Old Tampa Bay, HB: Hillsborough Bay, MTB: Middle Tampa Bay."/>
      </w:tblPr>
      <w:tblGrid>
        <w:gridCol w:w="1980"/>
        <w:gridCol w:w="1980"/>
        <w:gridCol w:w="1980"/>
        <w:gridCol w:w="1980"/>
      </w:tblGrid>
      <w:tr>
        <w:trPr>
          <w:tblHeader w:val="true"/>
        </w:trPr>
        <w:tc>
          <w:tcPr/>
          <w:p>
            <w:pPr>
              <w:pStyle w:val="Compact"/>
              <w:jc w:val="left"/>
            </w:pPr>
            <w:r>
              <w:t xml:space="preserve">Model</w:t>
            </w:r>
          </w:p>
        </w:tc>
        <w:tc>
          <w:tcPr/>
          <w:p>
            <w:pPr>
              <w:pStyle w:val="Compact"/>
              <w:jc w:val="left"/>
            </w:pPr>
            <w:r>
              <w:t xml:space="preserve">Term</w:t>
            </w:r>
          </w:p>
        </w:tc>
        <w:tc>
          <w:tcPr/>
          <w:p>
            <w:pPr>
              <w:pStyle w:val="Compact"/>
              <w:jc w:val="left"/>
            </w:pPr>
            <w:r>
              <w:t xml:space="preserve">Estimate</w:t>
            </w:r>
          </w:p>
        </w:tc>
        <w:tc>
          <w:tcPr/>
          <w:p>
            <w:pPr>
              <w:pStyle w:val="Compact"/>
              <w:jc w:val="left"/>
            </w:pPr>
            <w:r>
              <w:t xml:space="preserve">t-statistic</w:t>
            </w:r>
          </w:p>
        </w:tc>
      </w:tr>
      <w:tr>
        <w:tc>
          <w:tcPr/>
          <w:p>
            <w:pPr>
              <w:pStyle w:val="Compact"/>
              <w:jc w:val="left"/>
            </w:pPr>
            <w:r>
              <w:t xml:space="preserve">EPC 1</w:t>
            </w:r>
          </w:p>
        </w:tc>
        <w:tc>
          <w:tcPr/>
          <w:p>
            <w:pPr>
              <w:pStyle w:val="Compact"/>
              <w:jc w:val="left"/>
            </w:pPr>
            <w:r>
              <w:t xml:space="preserve">Sal</w:t>
            </w:r>
          </w:p>
        </w:tc>
        <w:tc>
          <w:tcPr/>
          <w:p>
            <w:pPr>
              <w:pStyle w:val="Compact"/>
              <w:jc w:val="left"/>
            </w:pPr>
            <w:r>
              <w:t xml:space="preserve">0.00069 (0.00037)</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w:t>
            </w:r>
          </w:p>
        </w:tc>
        <w:tc>
          <w:tcPr/>
          <w:p>
            <w:pPr>
              <w:pStyle w:val="Compact"/>
              <w:jc w:val="left"/>
            </w:pPr>
            <w:r>
              <w:t xml:space="preserve">0.0035 (0.0013)</w:t>
            </w:r>
          </w:p>
        </w:tc>
        <w:tc>
          <w:tcPr/>
          <w:p>
            <w:pPr>
              <w:pStyle w:val="Compact"/>
              <w:jc w:val="left"/>
            </w:pPr>
            <w:r>
              <w:t xml:space="preserve">2.6*</w:t>
            </w:r>
          </w:p>
        </w:tc>
      </w:tr>
      <w:tr>
        <w:tc>
          <w:tcPr/>
          <w:p>
            <w:pPr>
              <w:pStyle w:val="Compact"/>
            </w:pPr>
          </w:p>
        </w:tc>
        <w:tc>
          <w:tcPr/>
          <w:p>
            <w:pPr>
              <w:pStyle w:val="Compact"/>
              <w:jc w:val="left"/>
            </w:pPr>
            <w:r>
              <w:t xml:space="preserve">Time_post</w:t>
            </w:r>
          </w:p>
        </w:tc>
        <w:tc>
          <w:tcPr/>
          <w:p>
            <w:pPr>
              <w:pStyle w:val="Compact"/>
              <w:jc w:val="left"/>
            </w:pPr>
            <w:r>
              <w:t xml:space="preserve">0.48 (0.28)</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Baysegment_HB</w:t>
            </w:r>
          </w:p>
        </w:tc>
        <w:tc>
          <w:tcPr/>
          <w:p>
            <w:pPr>
              <w:pStyle w:val="Compact"/>
              <w:jc w:val="left"/>
            </w:pPr>
            <w:r>
              <w:t xml:space="preserve">-0.39 (0.042)</w:t>
            </w:r>
          </w:p>
        </w:tc>
        <w:tc>
          <w:tcPr/>
          <w:p>
            <w:pPr>
              <w:pStyle w:val="Compact"/>
              <w:jc w:val="left"/>
            </w:pPr>
            <w:r>
              <w:t xml:space="preserve">-9.3**</w:t>
            </w:r>
          </w:p>
        </w:tc>
      </w:tr>
      <w:tr>
        <w:tc>
          <w:tcPr/>
          <w:p>
            <w:pPr>
              <w:pStyle w:val="Compact"/>
            </w:pPr>
          </w:p>
        </w:tc>
        <w:tc>
          <w:tcPr/>
          <w:p>
            <w:pPr>
              <w:pStyle w:val="Compact"/>
              <w:jc w:val="left"/>
            </w:pPr>
            <w:r>
              <w:t xml:space="preserve">Baysegment_MTB</w:t>
            </w:r>
          </w:p>
        </w:tc>
        <w:tc>
          <w:tcPr/>
          <w:p>
            <w:pPr>
              <w:pStyle w:val="Compact"/>
              <w:jc w:val="left"/>
            </w:pPr>
            <w:r>
              <w:t xml:space="preserve">-0.12 (0.047)</w:t>
            </w:r>
          </w:p>
        </w:tc>
        <w:tc>
          <w:tcPr/>
          <w:p>
            <w:pPr>
              <w:pStyle w:val="Compact"/>
              <w:jc w:val="left"/>
            </w:pPr>
            <w:r>
              <w:t xml:space="preserve">-2.6*</w:t>
            </w:r>
          </w:p>
        </w:tc>
      </w:tr>
      <w:tr>
        <w:tc>
          <w:tcPr/>
          <w:p>
            <w:pPr>
              <w:pStyle w:val="Compact"/>
            </w:pPr>
          </w:p>
        </w:tc>
        <w:tc>
          <w:tcPr/>
          <w:p>
            <w:pPr>
              <w:pStyle w:val="Compact"/>
              <w:jc w:val="left"/>
            </w:pPr>
            <w:r>
              <w:t xml:space="preserve">Sal:Temp</w:t>
            </w:r>
          </w:p>
        </w:tc>
        <w:tc>
          <w:tcPr/>
          <w:p>
            <w:pPr>
              <w:pStyle w:val="Compact"/>
              <w:jc w:val="left"/>
            </w:pPr>
            <w:r>
              <w:t xml:space="preserve">-1.3e-05 (7.5e-06)</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Sal:Time_post</w:t>
            </w:r>
          </w:p>
        </w:tc>
        <w:tc>
          <w:tcPr/>
          <w:p>
            <w:pPr>
              <w:pStyle w:val="Compact"/>
              <w:jc w:val="left"/>
            </w:pPr>
            <w:r>
              <w:t xml:space="preserve">-0.0027 (0.0015)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-0.0056 (0.0052)</w:t>
            </w:r>
          </w:p>
        </w:tc>
        <w:tc>
          <w:tcPr/>
          <w:p>
            <w:pPr>
              <w:pStyle w:val="Compact"/>
              <w:jc w:val="left"/>
            </w:pPr>
            <w:r>
              <w:t xml:space="preserve">-1.1</w:t>
            </w:r>
          </w:p>
        </w:tc>
      </w:tr>
      <w:tr>
        <w:tc>
          <w:tcPr/>
          <w:p>
            <w:pPr>
              <w:pStyle w:val="Compact"/>
            </w:pPr>
          </w:p>
        </w:tc>
        <w:tc>
          <w:tcPr/>
          <w:p>
            <w:pPr>
              <w:pStyle w:val="Compact"/>
              <w:jc w:val="left"/>
            </w:pPr>
            <w:r>
              <w:t xml:space="preserve">Sal:Temp:Time_post</w:t>
            </w:r>
          </w:p>
        </w:tc>
        <w:tc>
          <w:tcPr/>
          <w:p>
            <w:pPr>
              <w:pStyle w:val="Compact"/>
              <w:jc w:val="left"/>
            </w:pPr>
            <w:r>
              <w:t xml:space="preserve">3.6e-05 (2.6e-05)</w:t>
            </w:r>
          </w:p>
        </w:tc>
        <w:tc>
          <w:tcPr/>
          <w:p>
            <w:pPr>
              <w:pStyle w:val="Compact"/>
              <w:jc w:val="left"/>
            </w:pPr>
            <w:r>
              <w:t xml:space="preserve">1.4</w:t>
            </w:r>
          </w:p>
        </w:tc>
      </w:tr>
      <w:tr>
        <w:tc>
          <w:tcPr/>
          <w:p>
            <w:pPr>
              <w:pStyle w:val="Compact"/>
              <w:jc w:val="left"/>
            </w:pPr>
            <w:r>
              <w:t xml:space="preserve">EPC 2</w:t>
            </w:r>
          </w:p>
        </w:tc>
        <w:tc>
          <w:tcPr/>
          <w:p>
            <w:pPr>
              <w:pStyle w:val="Compact"/>
              <w:jc w:val="left"/>
            </w:pPr>
            <w:r>
              <w:t xml:space="preserve">Both</w:t>
            </w:r>
          </w:p>
        </w:tc>
        <w:tc>
          <w:tcPr/>
          <w:p>
            <w:pPr>
              <w:pStyle w:val="Compact"/>
              <w:jc w:val="left"/>
            </w:pPr>
            <w:r>
              <w:t xml:space="preserve">0.0028 (0.00082)</w:t>
            </w:r>
          </w:p>
        </w:tc>
        <w:tc>
          <w:tcPr/>
          <w:p>
            <w:pPr>
              <w:pStyle w:val="Compact"/>
              <w:jc w:val="left"/>
            </w:pPr>
            <w:r>
              <w:t xml:space="preserve">3.4**</w:t>
            </w:r>
          </w:p>
        </w:tc>
      </w:tr>
      <w:tr>
        <w:tc>
          <w:tcPr/>
          <w:p>
            <w:pPr>
              <w:pStyle w:val="Compact"/>
            </w:pPr>
          </w:p>
        </w:tc>
        <w:tc>
          <w:tcPr/>
          <w:p>
            <w:pPr>
              <w:pStyle w:val="Compact"/>
              <w:jc w:val="left"/>
            </w:pPr>
            <w:r>
              <w:t xml:space="preserve">Time_post</w:t>
            </w:r>
          </w:p>
        </w:tc>
        <w:tc>
          <w:tcPr/>
          <w:p>
            <w:pPr>
              <w:pStyle w:val="Compact"/>
              <w:jc w:val="left"/>
            </w:pPr>
            <w:r>
              <w:t xml:space="preserve">0.059 (0.039)</w:t>
            </w:r>
          </w:p>
        </w:tc>
        <w:tc>
          <w:tcPr/>
          <w:p>
            <w:pPr>
              <w:pStyle w:val="Compact"/>
              <w:jc w:val="left"/>
            </w:pPr>
            <w:r>
              <w:t xml:space="preserve">1.5</w:t>
            </w:r>
          </w:p>
        </w:tc>
      </w:tr>
      <w:tr>
        <w:tc>
          <w:tcPr/>
          <w:p>
            <w:pPr>
              <w:pStyle w:val="Compact"/>
            </w:pPr>
          </w:p>
        </w:tc>
        <w:tc>
          <w:tcPr/>
          <w:p>
            <w:pPr>
              <w:pStyle w:val="Compact"/>
              <w:jc w:val="left"/>
            </w:pPr>
            <w:r>
              <w:t xml:space="preserve">Baysegment_HB</w:t>
            </w:r>
          </w:p>
        </w:tc>
        <w:tc>
          <w:tcPr/>
          <w:p>
            <w:pPr>
              <w:pStyle w:val="Compact"/>
              <w:jc w:val="left"/>
            </w:pPr>
            <w:r>
              <w:t xml:space="preserve">-0.38 (0.04)</w:t>
            </w:r>
          </w:p>
        </w:tc>
        <w:tc>
          <w:tcPr/>
          <w:p>
            <w:pPr>
              <w:pStyle w:val="Compact"/>
              <w:jc w:val="left"/>
            </w:pPr>
            <w:r>
              <w:t xml:space="preserve">-9.4**</w:t>
            </w:r>
          </w:p>
        </w:tc>
      </w:tr>
      <w:tr>
        <w:tc>
          <w:tcPr/>
          <w:p>
            <w:pPr>
              <w:pStyle w:val="Compact"/>
            </w:pPr>
          </w:p>
        </w:tc>
        <w:tc>
          <w:tcPr/>
          <w:p>
            <w:pPr>
              <w:pStyle w:val="Compact"/>
              <w:jc w:val="left"/>
            </w:pPr>
            <w:r>
              <w:t xml:space="preserve">Baysegment_MTB</w:t>
            </w:r>
          </w:p>
        </w:tc>
        <w:tc>
          <w:tcPr/>
          <w:p>
            <w:pPr>
              <w:pStyle w:val="Compact"/>
              <w:jc w:val="left"/>
            </w:pPr>
            <w:r>
              <w:t xml:space="preserve">-0.062 (0.042)</w:t>
            </w:r>
          </w:p>
        </w:tc>
        <w:tc>
          <w:tcPr/>
          <w:p>
            <w:pPr>
              <w:pStyle w:val="Compact"/>
              <w:jc w:val="left"/>
            </w:pPr>
            <w:r>
              <w:t xml:space="preserve">-1.5</w:t>
            </w:r>
          </w:p>
        </w:tc>
      </w:tr>
      <w:tr>
        <w:tc>
          <w:tcPr/>
          <w:p>
            <w:pPr>
              <w:pStyle w:val="Compact"/>
              <w:jc w:val="left"/>
            </w:pPr>
            <w:r>
              <w:t xml:space="preserve">FIM</w:t>
            </w:r>
          </w:p>
        </w:tc>
        <w:tc>
          <w:tcPr/>
          <w:p>
            <w:pPr>
              <w:pStyle w:val="Compact"/>
              <w:jc w:val="left"/>
            </w:pPr>
            <w:r>
              <w:t xml:space="preserve">Sal</w:t>
            </w:r>
          </w:p>
        </w:tc>
        <w:tc>
          <w:tcPr/>
          <w:p>
            <w:pPr>
              <w:pStyle w:val="Compact"/>
              <w:jc w:val="left"/>
            </w:pPr>
            <w:r>
              <w:t xml:space="preserve">0.043 (0.22)</w:t>
            </w:r>
          </w:p>
        </w:tc>
        <w:tc>
          <w:tcPr/>
          <w:p>
            <w:pPr>
              <w:pStyle w:val="Compact"/>
              <w:jc w:val="left"/>
            </w:pPr>
            <w:r>
              <w:t xml:space="preserve">0.2</w:t>
            </w:r>
          </w:p>
        </w:tc>
      </w:tr>
      <w:tr>
        <w:tc>
          <w:tcPr/>
          <w:p>
            <w:pPr>
              <w:pStyle w:val="Compact"/>
            </w:pPr>
          </w:p>
        </w:tc>
        <w:tc>
          <w:tcPr/>
          <w:p>
            <w:pPr>
              <w:pStyle w:val="Compact"/>
              <w:jc w:val="left"/>
            </w:pPr>
            <w:r>
              <w:t xml:space="preserve">Temp</w:t>
            </w:r>
          </w:p>
        </w:tc>
        <w:tc>
          <w:tcPr/>
          <w:p>
            <w:pPr>
              <w:pStyle w:val="Compact"/>
              <w:jc w:val="left"/>
            </w:pPr>
            <w:r>
              <w:t xml:space="preserve">0.052 (0.42)</w:t>
            </w:r>
          </w:p>
        </w:tc>
        <w:tc>
          <w:tcPr/>
          <w:p>
            <w:pPr>
              <w:pStyle w:val="Compact"/>
              <w:jc w:val="left"/>
            </w:pPr>
            <w:r>
              <w:t xml:space="preserve">0.12</w:t>
            </w:r>
          </w:p>
        </w:tc>
      </w:tr>
      <w:tr>
        <w:tc>
          <w:tcPr/>
          <w:p>
            <w:pPr>
              <w:pStyle w:val="Compact"/>
            </w:pPr>
          </w:p>
        </w:tc>
        <w:tc>
          <w:tcPr/>
          <w:p>
            <w:pPr>
              <w:pStyle w:val="Compact"/>
              <w:jc w:val="left"/>
            </w:pPr>
            <w:r>
              <w:t xml:space="preserve">Time_post</w:t>
            </w:r>
          </w:p>
        </w:tc>
        <w:tc>
          <w:tcPr/>
          <w:p>
            <w:pPr>
              <w:pStyle w:val="Compact"/>
              <w:jc w:val="left"/>
            </w:pPr>
            <w:r>
              <w:t xml:space="preserve">52 ( 32)</w:t>
            </w:r>
          </w:p>
        </w:tc>
        <w:tc>
          <w:tcPr/>
          <w:p>
            <w:pPr>
              <w:pStyle w:val="Compact"/>
              <w:jc w:val="left"/>
            </w:pPr>
            <w:r>
              <w:t xml:space="preserve">1.6</w:t>
            </w:r>
          </w:p>
        </w:tc>
      </w:tr>
      <w:tr>
        <w:tc>
          <w:tcPr/>
          <w:p>
            <w:pPr>
              <w:pStyle w:val="Compact"/>
            </w:pPr>
          </w:p>
        </w:tc>
        <w:tc>
          <w:tcPr/>
          <w:p>
            <w:pPr>
              <w:pStyle w:val="Compact"/>
              <w:jc w:val="left"/>
            </w:pPr>
            <w:r>
              <w:t xml:space="preserve">Baysegment_MTB</w:t>
            </w:r>
          </w:p>
        </w:tc>
        <w:tc>
          <w:tcPr/>
          <w:p>
            <w:pPr>
              <w:pStyle w:val="Compact"/>
              <w:jc w:val="left"/>
            </w:pPr>
            <w:r>
              <w:t xml:space="preserve">33 (2.5)</w:t>
            </w:r>
          </w:p>
        </w:tc>
        <w:tc>
          <w:tcPr/>
          <w:p>
            <w:pPr>
              <w:pStyle w:val="Compact"/>
              <w:jc w:val="left"/>
            </w:pPr>
            <w:r>
              <w:t xml:space="preserve">13**</w:t>
            </w:r>
          </w:p>
        </w:tc>
      </w:tr>
      <w:tr>
        <w:tc>
          <w:tcPr/>
          <w:p>
            <w:pPr>
              <w:pStyle w:val="Compact"/>
            </w:pPr>
          </w:p>
        </w:tc>
        <w:tc>
          <w:tcPr/>
          <w:p>
            <w:pPr>
              <w:pStyle w:val="Compact"/>
              <w:jc w:val="left"/>
            </w:pPr>
            <w:r>
              <w:t xml:space="preserve">Baysegment_OTB</w:t>
            </w:r>
          </w:p>
        </w:tc>
        <w:tc>
          <w:tcPr/>
          <w:p>
            <w:pPr>
              <w:pStyle w:val="Compact"/>
              <w:jc w:val="left"/>
            </w:pPr>
            <w:r>
              <w:t xml:space="preserve">28 (2.2)</w:t>
            </w:r>
          </w:p>
        </w:tc>
        <w:tc>
          <w:tcPr/>
          <w:p>
            <w:pPr>
              <w:pStyle w:val="Compact"/>
              <w:jc w:val="left"/>
            </w:pPr>
            <w:r>
              <w:t xml:space="preserve">13**</w:t>
            </w:r>
          </w:p>
        </w:tc>
      </w:tr>
      <w:tr>
        <w:tc>
          <w:tcPr/>
          <w:p>
            <w:pPr>
              <w:pStyle w:val="Compact"/>
            </w:pPr>
          </w:p>
        </w:tc>
        <w:tc>
          <w:tcPr/>
          <w:p>
            <w:pPr>
              <w:pStyle w:val="Compact"/>
              <w:jc w:val="left"/>
            </w:pPr>
            <w:r>
              <w:t xml:space="preserve">Sal:Time_post</w:t>
            </w:r>
          </w:p>
        </w:tc>
        <w:tc>
          <w:tcPr/>
          <w:p>
            <w:pPr>
              <w:pStyle w:val="Compact"/>
              <w:jc w:val="left"/>
            </w:pPr>
            <w:r>
              <w:t xml:space="preserve">0.93 (0.5)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-2.4 (1.1)</w:t>
            </w:r>
          </w:p>
        </w:tc>
        <w:tc>
          <w:tcPr/>
          <w:p>
            <w:pPr>
              <w:pStyle w:val="Compact"/>
              <w:jc w:val="left"/>
            </w:pPr>
            <w:r>
              <w:t xml:space="preserve">-2.2*</w:t>
            </w:r>
          </w:p>
        </w:tc>
      </w:tr>
      <w:tr>
        <w:tc>
          <w:tcPr/>
          <w:p>
            <w:pPr>
              <w:pStyle w:val="Compact"/>
              <w:jc w:val="left"/>
            </w:pPr>
            <w:r>
              <w:t xml:space="preserve">PDEM</w:t>
            </w:r>
          </w:p>
        </w:tc>
        <w:tc>
          <w:tcPr/>
          <w:p>
            <w:pPr>
              <w:pStyle w:val="Compact"/>
              <w:jc w:val="left"/>
            </w:pPr>
            <w:r>
              <w:t xml:space="preserve">Time_post</w:t>
            </w:r>
          </w:p>
        </w:tc>
        <w:tc>
          <w:tcPr/>
          <w:p>
            <w:pPr>
              <w:pStyle w:val="Compact"/>
              <w:jc w:val="left"/>
            </w:pPr>
            <w:r>
              <w:t xml:space="preserve">-0.45 (0.24)</w:t>
            </w:r>
          </w:p>
        </w:tc>
        <w:tc>
          <w:tcPr/>
          <w:p>
            <w:pPr>
              <w:pStyle w:val="Compact"/>
              <w:jc w:val="left"/>
            </w:pPr>
            <w:r>
              <w:t xml:space="preserve">-1.8</w:t>
            </w:r>
            <m:oMath>
              <m:sSup>
                <m:e>
                  <m:r>
                    <m:t>​</m:t>
                  </m:r>
                </m:e>
                <m:sup>
                  <m:r>
                    <m:rPr>
                      <m:sty m:val="p"/>
                    </m:rPr>
                    <m:t>.</m:t>
                  </m:r>
                </m:sup>
              </m:sSup>
            </m:oMath>
          </w:p>
        </w:tc>
      </w:tr>
    </w:tbl>
    <w:bookmarkEnd w:id="68"/>
    <w:p>
      <w:r>
        <w:br w:type="page"/>
      </w:r>
    </w:p>
    <w:bookmarkEnd w:id="69"/>
    <w:bookmarkStart w:id="164" w:name="references"/>
    <w:p>
      <w:pPr>
        <w:pStyle w:val="Heading2"/>
      </w:pPr>
      <w:r>
        <w:t xml:space="preserve">References</w:t>
      </w:r>
    </w:p>
    <w:bookmarkStart w:id="163" w:name="refs"/>
    <w:bookmarkStart w:id="71" w:name="ref-alarcon2024"/>
    <w:p>
      <w:pPr>
        <w:pStyle w:val="Bibliography"/>
      </w:pPr>
      <w:r>
        <w:t xml:space="preserve">Alarcon, Vladimir J, Anna C Linhoss, Christopher R Kelble, Paul F Mickle, Alexandra Fine, and Enrique Montes. 2024.</w:t>
      </w:r>
      <w:r>
        <w:t xml:space="preserve"> </w:t>
      </w:r>
      <w:r>
        <w:t xml:space="preserve">“Potential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70">
        <w:r>
          <w:rPr>
            <w:rStyle w:val="Hyperlink"/>
          </w:rPr>
          <w:t xml:space="preserve">https://doi.org/10.1016/j.ocecoaman.2023.106929</w:t>
        </w:r>
      </w:hyperlink>
      <w:r>
        <w:t xml:space="preserve">.</w:t>
      </w:r>
    </w:p>
    <w:bookmarkEnd w:id="71"/>
    <w:bookmarkStart w:id="73" w:name="ref-bates15"/>
    <w:p>
      <w:pPr>
        <w:pStyle w:val="Bibliography"/>
      </w:pPr>
      <w:r>
        <w:t xml:space="preserve">Bates, Douglas, Martin Mächler, Ben Bolker, and Steve Walker. 2015.</w:t>
      </w:r>
      <w:r>
        <w:t xml:space="preserve"> </w:t>
      </w:r>
      <w:r>
        <w:t xml:space="preserve">“Fitting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 1–48.</w:t>
      </w:r>
      <w:r>
        <w:t xml:space="preserve"> </w:t>
      </w:r>
      <w:hyperlink r:id="rId72">
        <w:r>
          <w:rPr>
            <w:rStyle w:val="Hyperlink"/>
          </w:rPr>
          <w:t xml:space="preserve">https://doi.org/10.18637/jss.v067.i01</w:t>
        </w:r>
      </w:hyperlink>
      <w:r>
        <w:t xml:space="preserve">.</w:t>
      </w:r>
    </w:p>
    <w:bookmarkEnd w:id="73"/>
    <w:bookmarkStart w:id="75" w:name="ref-beck2022"/>
    <w:p>
      <w:pPr>
        <w:pStyle w:val="Bibliography"/>
      </w:pPr>
      <w:r>
        <w:t xml:space="preserve">Beck, Marcus W, Andrew Altieri, Christine Angelini, Maya C Burke, Jing Chen, Diana W Chin, Jayne Gardiner, et al. 2022a.</w:t>
      </w:r>
      <w:r>
        <w:t xml:space="preserve"> </w:t>
      </w:r>
      <w:r>
        <w:t xml:space="preserve">“Initial Estuarine Response to Inorganic Nutrient Inputs from a Legacy Mining Facility Adjacent to Tampa Bay, Florida.”</w:t>
      </w:r>
      <w:r>
        <w:t xml:space="preserve"> </w:t>
      </w:r>
      <w:r>
        <w:rPr>
          <w:iCs/>
          <w:i/>
        </w:rPr>
        <w:t xml:space="preserve">Marine Pollution Bulletin</w:t>
      </w:r>
      <w:r>
        <w:t xml:space="preserve"> </w:t>
      </w:r>
      <w:r>
        <w:t xml:space="preserve">178 (May): 113598.</w:t>
      </w:r>
      <w:r>
        <w:t xml:space="preserve"> </w:t>
      </w:r>
      <w:hyperlink r:id="rId74">
        <w:r>
          <w:rPr>
            <w:rStyle w:val="Hyperlink"/>
          </w:rPr>
          <w:t xml:space="preserve">https://doi.org/10.1016/j.marpolbul.2022.113598</w:t>
        </w:r>
      </w:hyperlink>
      <w:r>
        <w:t xml:space="preserve">.</w:t>
      </w:r>
    </w:p>
    <w:bookmarkEnd w:id="75"/>
    <w:bookmarkStart w:id="77" w:name="ref-beck2023"/>
    <w:p>
      <w:pPr>
        <w:pStyle w:val="Bibliography"/>
      </w:pPr>
      <w:r>
        <w:t xml:space="preserve">Beck, Marcus W, Douglas E Robison, Gary E Raulerson, Maya C Burke, Justin Saarinen, Christine Sciarrino, Edward T Sherwood, and David A Tomasko. 2023.</w:t>
      </w:r>
      <w:r>
        <w:t xml:space="preserve"> </w:t>
      </w:r>
      <w:r>
        <w:t xml:space="preserve">“Addressing Climate Change and Development Pressures in an Urban Estuary Through Habitat Restoration Planning.”</w:t>
      </w:r>
      <w:r>
        <w:t xml:space="preserve"> </w:t>
      </w:r>
      <w:r>
        <w:rPr>
          <w:iCs/>
          <w:i/>
        </w:rPr>
        <w:t xml:space="preserve">Frontiers in Ecology and Evolution</w:t>
      </w:r>
      <w:r>
        <w:t xml:space="preserve"> </w:t>
      </w:r>
      <w:r>
        <w:t xml:space="preserve">11 (January).</w:t>
      </w:r>
      <w:r>
        <w:t xml:space="preserve"> </w:t>
      </w:r>
      <w:hyperlink r:id="rId76">
        <w:r>
          <w:rPr>
            <w:rStyle w:val="Hyperlink"/>
          </w:rPr>
          <w:t xml:space="preserve">https://doi.org/10.3389/fevo.2023.1070266</w:t>
        </w:r>
      </w:hyperlink>
      <w:r>
        <w:t xml:space="preserve">.</w:t>
      </w:r>
    </w:p>
    <w:bookmarkEnd w:id="77"/>
    <w:bookmarkStart w:id="79" w:name="ref-beck2019"/>
    <w:p>
      <w:pPr>
        <w:pStyle w:val="Bibliography"/>
      </w:pPr>
      <w:r>
        <w:t xml:space="preserve">Beck, Marcus W., Edward T. Sherwood, Jessica Renee Henkel, Kirsten Dorans, Kathryn Ireland, and Patricia Varela. 2019.</w:t>
      </w:r>
      <w:r>
        <w:t xml:space="preserve"> </w:t>
      </w:r>
      <w:r>
        <w:t xml:space="preserve">“Assessment of the Cumulative Effects of Restoration Activities on Water Quality in Tampa Bay, Florida.”</w:t>
      </w:r>
      <w:r>
        <w:t xml:space="preserve"> </w:t>
      </w:r>
      <w:r>
        <w:rPr>
          <w:iCs/>
          <w:i/>
        </w:rPr>
        <w:t xml:space="preserve">Estuaries and Coasts</w:t>
      </w:r>
      <w:r>
        <w:t xml:space="preserve"> </w:t>
      </w:r>
      <w:r>
        <w:t xml:space="preserve">42 (7): 1774–91.</w:t>
      </w:r>
      <w:r>
        <w:t xml:space="preserve"> </w:t>
      </w:r>
      <w:hyperlink r:id="rId78">
        <w:r>
          <w:rPr>
            <w:rStyle w:val="Hyperlink"/>
          </w:rPr>
          <w:t xml:space="preserve">https://doi.org/10.1007/s12237-019-00619-w</w:t>
        </w:r>
      </w:hyperlink>
      <w:r>
        <w:t xml:space="preserve">.</w:t>
      </w:r>
    </w:p>
    <w:bookmarkEnd w:id="79"/>
    <w:bookmarkStart w:id="81" w:name="ref-beck2022a"/>
    <w:p>
      <w:pPr>
        <w:pStyle w:val="Bibliography"/>
      </w:pPr>
      <w:r>
        <w:t xml:space="preserve">Beck, Marcus W., Perry de Valpine, Rebecca Murphy, Ian Wren, Ariella Chelsky, Melissa Foley, and David B. Senn. 2022b.</w:t>
      </w:r>
      <w:r>
        <w:t xml:space="preserve"> </w:t>
      </w:r>
      <w:r>
        <w:t xml:space="preserve">“Multi-Scale Trend Analysis of Water Quality Using Error Propagation of Generalized Additive Models.”</w:t>
      </w:r>
      <w:r>
        <w:t xml:space="preserve"> </w:t>
      </w:r>
      <w:r>
        <w:rPr>
          <w:iCs/>
          <w:i/>
        </w:rPr>
        <w:t xml:space="preserve">Science of The Total Environment</w:t>
      </w:r>
      <w:r>
        <w:t xml:space="preserve"> </w:t>
      </w:r>
      <w:r>
        <w:t xml:space="preserve">802 (January): 149927.</w:t>
      </w:r>
      <w:r>
        <w:t xml:space="preserve"> </w:t>
      </w:r>
      <w:hyperlink r:id="rId80">
        <w:r>
          <w:rPr>
            <w:rStyle w:val="Hyperlink"/>
          </w:rPr>
          <w:t xml:space="preserve">https://doi.org/10.1016/j.scitotenv.2021.149927</w:t>
        </w:r>
      </w:hyperlink>
      <w:r>
        <w:t xml:space="preserve">.</w:t>
      </w:r>
    </w:p>
    <w:bookmarkEnd w:id="81"/>
    <w:bookmarkStart w:id="83" w:name="ref-beck2021"/>
    <w:p>
      <w:pPr>
        <w:pStyle w:val="Bibliography"/>
      </w:pPr>
      <w:r>
        <w:t xml:space="preserve">Beck, Marcus, Meagan Schrandt, Michael Wessel, Edward Sherwood, Gary Raulerson, Adhokshaja Prasad, and Benjamin Best. 2021.</w:t>
      </w:r>
      <w:r>
        <w:t xml:space="preserve"> </w:t>
      </w:r>
      <w:r>
        <w:t xml:space="preserve">“Tbeptools: An r Package for Synthesizing Estuarine Data for Environmental Research.”</w:t>
      </w:r>
      <w:r>
        <w:t xml:space="preserve"> </w:t>
      </w:r>
      <w:r>
        <w:rPr>
          <w:iCs/>
          <w:i/>
        </w:rPr>
        <w:t xml:space="preserve">Journal of Open Source Software</w:t>
      </w:r>
      <w:r>
        <w:t xml:space="preserve"> </w:t>
      </w:r>
      <w:r>
        <w:t xml:space="preserve">6 (65): 3485.</w:t>
      </w:r>
      <w:r>
        <w:t xml:space="preserve"> </w:t>
      </w:r>
      <w:hyperlink r:id="rId82">
        <w:r>
          <w:rPr>
            <w:rStyle w:val="Hyperlink"/>
          </w:rPr>
          <w:t xml:space="preserve">https://doi.org/10.21105/joss.03485</w:t>
        </w:r>
      </w:hyperlink>
      <w:r>
        <w:t xml:space="preserve">.</w:t>
      </w:r>
    </w:p>
    <w:bookmarkEnd w:id="83"/>
    <w:bookmarkStart w:id="85" w:name="ref-begueria23"/>
    <w:p>
      <w:pPr>
        <w:pStyle w:val="Bibliography"/>
      </w:pPr>
      <w:r>
        <w:t xml:space="preserve">Beguería, Santiago, and Sergio M. Vicente-Serrano. 2023.</w:t>
      </w:r>
      <w:r>
        <w:t xml:space="preserve"> </w:t>
      </w:r>
      <w:r>
        <w:rPr>
          <w:iCs/>
          <w:i/>
        </w:rPr>
        <w:t xml:space="preserve">SPEI</w:t>
      </w:r>
      <w:r>
        <w:rPr>
          <w:iCs/>
          <w:i/>
        </w:rPr>
        <w:t xml:space="preserve">: Calculation of the</w:t>
      </w:r>
      <w:r>
        <w:rPr>
          <w:iCs/>
          <w:i/>
        </w:rPr>
        <w:t xml:space="preserve"> </w:t>
      </w:r>
      <w:r>
        <w:rPr>
          <w:iCs/>
          <w:i/>
        </w:rPr>
        <w:t xml:space="preserve">S</w:t>
      </w:r>
      <w:r>
        <w:rPr>
          <w:iCs/>
          <w:i/>
        </w:rPr>
        <w:t xml:space="preserve">tandardized</w:t>
      </w:r>
      <w:r>
        <w:rPr>
          <w:iCs/>
          <w:i/>
        </w:rPr>
        <w:t xml:space="preserve"> </w:t>
      </w:r>
      <w:r>
        <w:rPr>
          <w:iCs/>
          <w:i/>
        </w:rPr>
        <w:t xml:space="preserve">P</w:t>
      </w:r>
      <w:r>
        <w:rPr>
          <w:iCs/>
          <w:i/>
        </w:rPr>
        <w:t xml:space="preserve">recipitation-</w:t>
      </w:r>
      <w:r>
        <w:rPr>
          <w:iCs/>
          <w:i/>
        </w:rPr>
        <w:t xml:space="preserve">E</w:t>
      </w:r>
      <w:r>
        <w:rPr>
          <w:iCs/>
          <w:i/>
        </w:rPr>
        <w:t xml:space="preserve">vapotranspiration</w:t>
      </w:r>
      <w:r>
        <w:rPr>
          <w:iCs/>
          <w:i/>
        </w:rPr>
        <w:t xml:space="preserve"> </w:t>
      </w:r>
      <w:r>
        <w:rPr>
          <w:iCs/>
          <w:i/>
        </w:rPr>
        <w:t xml:space="preserve">I</w:t>
      </w:r>
      <w:r>
        <w:rPr>
          <w:iCs/>
          <w:i/>
        </w:rPr>
        <w:t xml:space="preserve">ndex</w:t>
      </w:r>
      <w:r>
        <w:t xml:space="preserve">.</w:t>
      </w:r>
      <w:r>
        <w:t xml:space="preserve"> </w:t>
      </w:r>
      <w:hyperlink r:id="rId84">
        <w:r>
          <w:rPr>
            <w:rStyle w:val="Hyperlink"/>
          </w:rPr>
          <w:t xml:space="preserve">https://CRAN.R-project.org/package=SPEI</w:t>
        </w:r>
      </w:hyperlink>
      <w:r>
        <w:t xml:space="preserve">.</w:t>
      </w:r>
    </w:p>
    <w:bookmarkEnd w:id="85"/>
    <w:bookmarkStart w:id="87" w:name="ref-begueria2013"/>
    <w:p>
      <w:pPr>
        <w:pStyle w:val="Bibliography"/>
      </w:pPr>
      <w:r>
        <w:t xml:space="preserve">Beguería, Santiago, Sergio M. Vicente-Serrano, Fergus Reig, and Borja Latorre. 2013.</w:t>
      </w:r>
      <w:r>
        <w:t xml:space="preserve"> </w:t>
      </w:r>
      <w:r>
        <w:t xml:space="preserve">“Standardized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(10): 3001–23.</w:t>
      </w:r>
      <w:r>
        <w:t xml:space="preserve"> </w:t>
      </w:r>
      <w:hyperlink r:id="rId86">
        <w:r>
          <w:rPr>
            <w:rStyle w:val="Hyperlink"/>
          </w:rPr>
          <w:t xml:space="preserve">https://doi.org/10.1002/joc.3887</w:t>
        </w:r>
      </w:hyperlink>
      <w:r>
        <w:t xml:space="preserve">.</w:t>
      </w:r>
    </w:p>
    <w:bookmarkEnd w:id="87"/>
    <w:bookmarkStart w:id="89" w:name="ref-blakesley2001"/>
    <w:p>
      <w:pPr>
        <w:pStyle w:val="Bibliography"/>
      </w:pPr>
      <w:r>
        <w:t xml:space="preserve">Blakesley, Barbara, Penny Hall, Donna Berns, Jitka Hyniova, Manuel Merello, and Rebecca Conroy. 2001.</w:t>
      </w:r>
      <w:r>
        <w:t xml:space="preserve"> </w:t>
      </w:r>
      <w:r>
        <w:t xml:space="preserve">“Survey of the Distribution of the Marine Slime Mold</w:t>
      </w:r>
      <w:r>
        <w:t xml:space="preserve"> </w:t>
      </w:r>
      <w:r>
        <w:rPr>
          <w:iCs/>
          <w:i/>
        </w:rPr>
        <w:t xml:space="preserve">L</w:t>
      </w:r>
      <w:r>
        <w:rPr>
          <w:iCs/>
          <w:i/>
        </w:rPr>
        <w:t xml:space="preserve">abyrinthula</w:t>
      </w:r>
      <w:r>
        <w:t xml:space="preserve"> </w:t>
      </w:r>
      <w:r>
        <w:t xml:space="preserve">Sp. In the Seagrass</w:t>
      </w:r>
      <w:r>
        <w:t xml:space="preserve"> </w:t>
      </w:r>
      <w:r>
        <w:rPr>
          <w:iCs/>
          <w:i/>
        </w:rPr>
        <w:t xml:space="preserve">T</w:t>
      </w:r>
      <w:r>
        <w:rPr>
          <w:iCs/>
          <w:i/>
        </w:rPr>
        <w:t xml:space="preserve">halassia Testudinum</w:t>
      </w:r>
      <w:r>
        <w:t xml:space="preserve"> </w:t>
      </w:r>
      <w:r>
        <w:t xml:space="preserve">in the</w:t>
      </w:r>
      <w:r>
        <w:t xml:space="preserve"> </w:t>
      </w:r>
      <w:r>
        <w:t xml:space="preserve">T</w:t>
      </w:r>
      <w:r>
        <w:t xml:space="preserve">ampa</w:t>
      </w:r>
      <w:r>
        <w:t xml:space="preserve"> </w:t>
      </w:r>
      <w:r>
        <w:t xml:space="preserve">B</w:t>
      </w:r>
      <w:r>
        <w:t xml:space="preserve">ay Area, Fall 1999-Fall 2000.”</w:t>
      </w:r>
      <w:r>
        <w:t xml:space="preserve"> </w:t>
      </w:r>
      <w:r>
        <w:t xml:space="preserve">01-01. St. Petersburg, Florida: Tampa Bay Estuary Program.</w:t>
      </w:r>
      <w:r>
        <w:t xml:space="preserve"> </w:t>
      </w:r>
      <w:hyperlink r:id="rId88">
        <w:r>
          <w:rPr>
            <w:rStyle w:val="Hyperlink"/>
          </w:rPr>
          <w:t xml:space="preserve">https://drive.google.com/file/d/1tUkGW7TRAJ_skWj-UemDVIJnUAsy0ITf/view?usp=drivesdk</w:t>
        </w:r>
      </w:hyperlink>
      <w:r>
        <w:t xml:space="preserve">.</w:t>
      </w:r>
    </w:p>
    <w:bookmarkEnd w:id="89"/>
    <w:bookmarkStart w:id="91" w:name="ref-chamberlain23"/>
    <w:p>
      <w:pPr>
        <w:pStyle w:val="Bibliography"/>
      </w:pPr>
      <w:r>
        <w:t xml:space="preserve">Chamberlain, Scott, and Daniel Hocking. 2023.</w:t>
      </w:r>
      <w:r>
        <w:t xml:space="preserve"> </w:t>
      </w:r>
      <w:r>
        <w:rPr>
          <w:iCs/>
          <w:i/>
        </w:rPr>
        <w:t xml:space="preserve">rnoaa</w:t>
      </w:r>
      <w:r>
        <w:rPr>
          <w:iCs/>
          <w:i/>
        </w:rPr>
        <w:t xml:space="preserve">:</w:t>
      </w:r>
      <w:r>
        <w:rPr>
          <w:iCs/>
          <w:i/>
        </w:rPr>
        <w:t xml:space="preserve"> </w:t>
      </w:r>
      <w:r>
        <w:rPr>
          <w:iCs/>
          <w:i/>
        </w:rPr>
        <w:t xml:space="preserve">’NOAA’</w:t>
      </w:r>
      <w:r>
        <w:rPr>
          <w:iCs/>
          <w:i/>
        </w:rPr>
        <w:t xml:space="preserve"> </w:t>
      </w:r>
      <w:r>
        <w:rPr>
          <w:iCs/>
          <w:i/>
        </w:rPr>
        <w:t xml:space="preserve">Weather Data from</w:t>
      </w:r>
      <w:r>
        <w:rPr>
          <w:iCs/>
          <w:i/>
        </w:rPr>
        <w:t xml:space="preserve"> </w:t>
      </w:r>
      <w:r>
        <w:rPr>
          <w:iCs/>
          <w:i/>
        </w:rPr>
        <w:t xml:space="preserve">R</w:t>
      </w:r>
      <w:r>
        <w:t xml:space="preserve">.</w:t>
      </w:r>
      <w:r>
        <w:t xml:space="preserve"> </w:t>
      </w:r>
      <w:hyperlink r:id="rId90">
        <w:r>
          <w:rPr>
            <w:rStyle w:val="Hyperlink"/>
          </w:rPr>
          <w:t xml:space="preserve">https://CRAN.R-project.org/package=rnoaa</w:t>
        </w:r>
      </w:hyperlink>
      <w:r>
        <w:t xml:space="preserve">.</w:t>
      </w:r>
    </w:p>
    <w:bookmarkEnd w:id="91"/>
    <w:bookmarkStart w:id="93" w:name="ref-dessu2018"/>
    <w:p>
      <w:pPr>
        <w:pStyle w:val="Bibliography"/>
      </w:pPr>
      <w:r>
        <w:t xml:space="preserve">Dessu, Shimelis B, René M Price, Tiffany G Troxler, and John S Kominoski. 2018.</w:t>
      </w:r>
      <w:r>
        <w:t xml:space="preserve"> </w:t>
      </w:r>
      <w:r>
        <w:t xml:space="preserve">“Effects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164–76.</w:t>
      </w:r>
      <w:r>
        <w:t xml:space="preserve"> </w:t>
      </w:r>
      <w:hyperlink r:id="rId92">
        <w:r>
          <w:rPr>
            <w:rStyle w:val="Hyperlink"/>
          </w:rPr>
          <w:t xml:space="preserve">https://doi.org/10.1016/j.jenvman.2018.01.025</w:t>
        </w:r>
      </w:hyperlink>
      <w:r>
        <w:t xml:space="preserve">.</w:t>
      </w:r>
    </w:p>
    <w:bookmarkEnd w:id="93"/>
    <w:bookmarkStart w:id="95" w:name="ref-duffin2021"/>
    <w:p>
      <w:pPr>
        <w:pStyle w:val="Bibliography"/>
      </w:pPr>
      <w:r>
        <w:t xml:space="preserve">Duffin, Paige, Daniel L Martin, Bradley T Furman, and Cliff Ross. 2021.</w:t>
      </w:r>
      <w:r>
        <w:t xml:space="preserve"> </w:t>
      </w:r>
      <w:r>
        <w:t xml:space="preserve">“Spatial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 Load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94">
        <w:r>
          <w:rPr>
            <w:rStyle w:val="Hyperlink"/>
          </w:rPr>
          <w:t xml:space="preserve">https://doi.org/10.3389/fpls.2021.612947</w:t>
        </w:r>
      </w:hyperlink>
      <w:r>
        <w:t xml:space="preserve">.</w:t>
      </w:r>
    </w:p>
    <w:bookmarkEnd w:id="95"/>
    <w:bookmarkStart w:id="97" w:name="ref-garrett2011"/>
    <w:p>
      <w:pPr>
        <w:pStyle w:val="Bibliography"/>
      </w:pPr>
      <w:r>
        <w:t xml:space="preserve">Garrett, Matthew, Jennifer Wolny, Earnest Truby, Cynthia Heil, and Charles Kovach. 2011.</w:t>
      </w:r>
      <w:r>
        <w:t xml:space="preserve"> </w:t>
      </w:r>
      <w:r>
        <w:t xml:space="preserve">“Harmful Algal Bloom Species and Phosphate-Processing Effluent: Field and Laboratory Studies.”</w:t>
      </w:r>
      <w:r>
        <w:t xml:space="preserve"> </w:t>
      </w:r>
      <w:r>
        <w:rPr>
          <w:iCs/>
          <w:i/>
        </w:rPr>
        <w:t xml:space="preserve">Marine Pollution Bulletin</w:t>
      </w:r>
      <w:r>
        <w:t xml:space="preserve"> </w:t>
      </w:r>
      <w:r>
        <w:t xml:space="preserve">62 (3): 596–601.</w:t>
      </w:r>
      <w:r>
        <w:t xml:space="preserve"> </w:t>
      </w:r>
      <w:hyperlink r:id="rId96">
        <w:r>
          <w:rPr>
            <w:rStyle w:val="Hyperlink"/>
          </w:rPr>
          <w:t xml:space="preserve">https://doi.org/10.1016/j.marpolbul.2010.11.017</w:t>
        </w:r>
      </w:hyperlink>
      <w:r>
        <w:t xml:space="preserve">.</w:t>
      </w:r>
    </w:p>
    <w:bookmarkEnd w:id="97"/>
    <w:bookmarkStart w:id="99" w:name="ref-greening2014"/>
    <w:p>
      <w:pPr>
        <w:pStyle w:val="Bibliography"/>
      </w:pPr>
      <w:r>
        <w:t xml:space="preserve">Greening, H., A. Janicki, E. T. Sherwood, R. Pribble, and J. O. R. Johansson. 2014.</w:t>
      </w:r>
      <w:r>
        <w:t xml:space="preserve"> </w:t>
      </w:r>
      <w:r>
        <w:t xml:space="preserve">“Ecosystem Responses to Long-Term Nutrient Management in an Urban Estuary: Tampa Bay, Florida, USA.”</w:t>
      </w:r>
      <w:r>
        <w:t xml:space="preserve"> </w:t>
      </w:r>
      <w:r>
        <w:rPr>
          <w:iCs/>
          <w:i/>
        </w:rPr>
        <w:t xml:space="preserve">Estuarine, Coastal and Shelf Science</w:t>
      </w:r>
      <w:r>
        <w:t xml:space="preserve"> </w:t>
      </w:r>
      <w:r>
        <w:t xml:space="preserve">151 (December): A1–16.</w:t>
      </w:r>
      <w:r>
        <w:t xml:space="preserve"> </w:t>
      </w:r>
      <w:hyperlink r:id="rId98">
        <w:r>
          <w:rPr>
            <w:rStyle w:val="Hyperlink"/>
          </w:rPr>
          <w:t xml:space="preserve">https://doi.org/10.1016/j.ecss.2014.10.003</w:t>
        </w:r>
      </w:hyperlink>
      <w:r>
        <w:t xml:space="preserve">.</w:t>
      </w:r>
    </w:p>
    <w:bookmarkEnd w:id="99"/>
    <w:bookmarkStart w:id="101" w:name="ref-greening2006"/>
    <w:p>
      <w:pPr>
        <w:pStyle w:val="Bibliography"/>
      </w:pPr>
      <w:r>
        <w:t xml:space="preserve">Greening, Holly, and Anthony Janicki. 2006.</w:t>
      </w:r>
      <w:r>
        <w:t xml:space="preserve"> </w:t>
      </w:r>
      <w:r>
        <w:t xml:space="preserve">“Toward Reversal of Eutrophic Conditions in a Subtropical Estuary: Water Quality and Seagrass Response to Nitrogen Loading Reductions in Tampa Bay, Florida, USA.”</w:t>
      </w:r>
      <w:r>
        <w:t xml:space="preserve"> </w:t>
      </w:r>
      <w:r>
        <w:rPr>
          <w:iCs/>
          <w:i/>
        </w:rPr>
        <w:t xml:space="preserve">Environmental Management</w:t>
      </w:r>
      <w:r>
        <w:t xml:space="preserve"> </w:t>
      </w:r>
      <w:r>
        <w:t xml:space="preserve">38 (2): 163–78.</w:t>
      </w:r>
      <w:r>
        <w:t xml:space="preserve"> </w:t>
      </w:r>
      <w:hyperlink r:id="rId100">
        <w:r>
          <w:rPr>
            <w:rStyle w:val="Hyperlink"/>
          </w:rPr>
          <w:t xml:space="preserve">https://doi.org/10.1007/s00267-005-0079-4</w:t>
        </w:r>
      </w:hyperlink>
      <w:r>
        <w:t xml:space="preserve">.</w:t>
      </w:r>
    </w:p>
    <w:bookmarkEnd w:id="101"/>
    <w:bookmarkStart w:id="103" w:name="ref-hall2016"/>
    <w:p>
      <w:pPr>
        <w:pStyle w:val="Bibliography"/>
      </w:pPr>
      <w:r>
        <w:t xml:space="preserve">Hall, Margaret O, Bradley T Furman, Manuel Merello, and Michael J Durako. 2016.</w:t>
      </w:r>
      <w:r>
        <w:t xml:space="preserve"> </w:t>
      </w:r>
      <w:r>
        <w:t xml:space="preserve">“Recurrence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243–49.</w:t>
      </w:r>
      <w:r>
        <w:t xml:space="preserve"> </w:t>
      </w:r>
      <w:hyperlink r:id="rId102">
        <w:r>
          <w:rPr>
            <w:rStyle w:val="Hyperlink"/>
          </w:rPr>
          <w:t xml:space="preserve">https://doi.org/10.3354/meps11923</w:t>
        </w:r>
      </w:hyperlink>
      <w:r>
        <w:t xml:space="preserve">.</w:t>
      </w:r>
    </w:p>
    <w:bookmarkEnd w:id="103"/>
    <w:bookmarkStart w:id="105" w:name="ref-hensel2023"/>
    <w:p>
      <w:pPr>
        <w:pStyle w:val="Bibliography"/>
      </w:pPr>
      <w:r>
        <w:t xml:space="preserve">Hensel, Marc J. S., Christopher J. Patrick, Robert J. Orth, David J. Wilcox, William C. Dennison, Cassie Gurbisz, Michael P. Hannam, et al. 2023.</w:t>
      </w:r>
      <w:r>
        <w:t xml:space="preserve"> </w:t>
      </w:r>
      <w:r>
        <w:t xml:space="preserve">“Rise of</w:t>
      </w:r>
      <w:r>
        <w:t xml:space="preserve"> </w:t>
      </w:r>
      <w:r>
        <w:rPr>
          <w:iCs/>
          <w:i/>
        </w:rPr>
        <w:t xml:space="preserve">Ruppia</w:t>
      </w:r>
      <w:r>
        <w:t xml:space="preserve"> </w:t>
      </w:r>
      <w:r>
        <w:t xml:space="preserve">in Chesapeake Bay: Climate Change</w:t>
      </w:r>
      <w:r>
        <w:t xml:space="preserve">driven Turnover of Foundation Species Creates New Threats and Management Opportunities.”</w:t>
      </w:r>
      <w:r>
        <w:t xml:space="preserve"> </w:t>
      </w:r>
      <w:r>
        <w:rPr>
          <w:iCs/>
          <w:i/>
        </w:rPr>
        <w:t xml:space="preserve">Proceedings of the National Academy of Sciences</w:t>
      </w:r>
      <w:r>
        <w:t xml:space="preserve"> </w:t>
      </w:r>
      <w:r>
        <w:t xml:space="preserve">120 (23).</w:t>
      </w:r>
      <w:r>
        <w:t xml:space="preserve"> </w:t>
      </w:r>
      <w:hyperlink r:id="rId104">
        <w:r>
          <w:rPr>
            <w:rStyle w:val="Hyperlink"/>
          </w:rPr>
          <w:t xml:space="preserve">https://doi.org/10.1073/pnas.2220678120</w:t>
        </w:r>
      </w:hyperlink>
      <w:r>
        <w:t xml:space="preserve">.</w:t>
      </w:r>
    </w:p>
    <w:bookmarkEnd w:id="105"/>
    <w:bookmarkStart w:id="107" w:name="ref-hirsch1982"/>
    <w:p>
      <w:pPr>
        <w:pStyle w:val="Bibliography"/>
      </w:pPr>
      <w:r>
        <w:t xml:space="preserve">Hirsch, Robert M., James R. Slack, and Richard A. Smith. 1982.</w:t>
      </w:r>
      <w:r>
        <w:t xml:space="preserve"> </w:t>
      </w:r>
      <w:r>
        <w:t xml:space="preserve">“Techniques of Trend Analysis for Monthly Water Quality Data.”</w:t>
      </w:r>
      <w:r>
        <w:t xml:space="preserve"> </w:t>
      </w:r>
      <w:r>
        <w:rPr>
          <w:iCs/>
          <w:i/>
        </w:rPr>
        <w:t xml:space="preserve">Water Resources Research</w:t>
      </w:r>
      <w:r>
        <w:t xml:space="preserve"> </w:t>
      </w:r>
      <w:r>
        <w:t xml:space="preserve">18 (1): 107–21.</w:t>
      </w:r>
      <w:r>
        <w:t xml:space="preserve"> </w:t>
      </w:r>
      <w:hyperlink r:id="rId106">
        <w:r>
          <w:rPr>
            <w:rStyle w:val="Hyperlink"/>
          </w:rPr>
          <w:t xml:space="preserve">https://doi.org/10.1029/wr018i001p00107</w:t>
        </w:r>
      </w:hyperlink>
      <w:r>
        <w:t xml:space="preserve">.</w:t>
      </w:r>
    </w:p>
    <w:bookmarkEnd w:id="107"/>
    <w:bookmarkStart w:id="109" w:name="ref-hutchinson1957"/>
    <w:p>
      <w:pPr>
        <w:pStyle w:val="Bibliography"/>
      </w:pPr>
      <w:r>
        <w:t xml:space="preserve">Hutchinson, G. E. 1957.</w:t>
      </w:r>
      <w:r>
        <w:t xml:space="preserve"> </w:t>
      </w:r>
      <w:r>
        <w:t xml:space="preserve">“Concluding Remarks.”</w:t>
      </w:r>
      <w:r>
        <w:t xml:space="preserve"> </w:t>
      </w:r>
      <w:r>
        <w:rPr>
          <w:iCs/>
          <w:i/>
        </w:rPr>
        <w:t xml:space="preserve">Cold Spring Harbor Symposia on Quantitative Biology</w:t>
      </w:r>
      <w:r>
        <w:t xml:space="preserve"> </w:t>
      </w:r>
      <w:r>
        <w:t xml:space="preserve">22 (0): 415–27.</w:t>
      </w:r>
      <w:r>
        <w:t xml:space="preserve"> </w:t>
      </w:r>
      <w:hyperlink r:id="rId108">
        <w:r>
          <w:rPr>
            <w:rStyle w:val="Hyperlink"/>
          </w:rPr>
          <w:t xml:space="preserve">https://doi.org/10.1101/sqb.1957.022.01.039</w:t>
        </w:r>
      </w:hyperlink>
      <w:r>
        <w:t xml:space="preserve">.</w:t>
      </w:r>
    </w:p>
    <w:bookmarkEnd w:id="109"/>
    <w:bookmarkStart w:id="111" w:name="ref-tbep0623"/>
    <w:p>
      <w:pPr>
        <w:pStyle w:val="Bibliography"/>
      </w:pPr>
      <w:r>
        <w:t xml:space="preserve">Janicki Environmental, Inc. 2023.</w:t>
      </w:r>
      <w:r>
        <w:t xml:space="preserve"> </w:t>
      </w:r>
      <w:r>
        <w:t xml:space="preserve">“Estimates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2017-2021.”</w:t>
      </w:r>
      <w:r>
        <w:t xml:space="preserve"> </w:t>
      </w:r>
      <w:r>
        <w:t xml:space="preserve">06-23. St. Petersburg, Florida: Tampa Bay Estuary Program.</w:t>
      </w:r>
      <w:r>
        <w:t xml:space="preserve"> </w:t>
      </w:r>
      <w:hyperlink r:id="rId110">
        <w:r>
          <w:rPr>
            <w:rStyle w:val="Hyperlink"/>
          </w:rPr>
          <w:t xml:space="preserve">https://drive.google.com/file/d/1KARuSC5fGx05MuT1wiOQFWNXysBokkQl/view?usp=share_link</w:t>
        </w:r>
      </w:hyperlink>
      <w:r>
        <w:t xml:space="preserve">.</w:t>
      </w:r>
    </w:p>
    <w:bookmarkEnd w:id="111"/>
    <w:bookmarkStart w:id="112" w:name="ref-tbep0816"/>
    <w:p>
      <w:pPr>
        <w:pStyle w:val="Bibliography"/>
      </w:pPr>
      <w:r>
        <w:t xml:space="preserve">Johansson, R. 2016.</w:t>
      </w:r>
      <w:r>
        <w:t xml:space="preserve"> </w:t>
      </w:r>
      <w:r>
        <w:t xml:space="preserve">“Seagrass Transect Monitoring in</w:t>
      </w:r>
      <w:r>
        <w:t xml:space="preserve"> </w:t>
      </w:r>
      <w:r>
        <w:t xml:space="preserve">T</w:t>
      </w:r>
      <w:r>
        <w:t xml:space="preserve">ampa</w:t>
      </w:r>
      <w:r>
        <w:t xml:space="preserve"> </w:t>
      </w:r>
      <w:r>
        <w:t xml:space="preserve">B</w:t>
      </w:r>
      <w:r>
        <w:t xml:space="preserve">ay: A Summary of Findings from 1997 Through 2015.”</w:t>
      </w:r>
    </w:p>
    <w:bookmarkEnd w:id="112"/>
    <w:bookmarkStart w:id="113" w:name="ref-johansson15"/>
    <w:p>
      <w:pPr>
        <w:pStyle w:val="Bibliography"/>
      </w:pPr>
      <w:r>
        <w:t xml:space="preserve">Johansson, R., and Janicki Environmental, Inc. 2015.</w:t>
      </w:r>
      <w:r>
        <w:t xml:space="preserve"> </w:t>
      </w:r>
      <w:r>
        <w:t xml:space="preserve">“Long-Term Underwater Light Climate Variation and Submerged Seagrass Trends in</w:t>
      </w:r>
      <w:r>
        <w:t xml:space="preserve"> </w:t>
      </w:r>
      <w:r>
        <w:t xml:space="preserve">T</w:t>
      </w:r>
      <w:r>
        <w:t xml:space="preserve">ampa</w:t>
      </w:r>
      <w:r>
        <w:t xml:space="preserve"> </w:t>
      </w:r>
      <w:r>
        <w:t xml:space="preserve">B</w:t>
      </w:r>
      <w:r>
        <w:t xml:space="preserve">ay,</w:t>
      </w:r>
      <w:r>
        <w:t xml:space="preserve"> </w:t>
      </w:r>
      <w:r>
        <w:t xml:space="preserve">F</w:t>
      </w:r>
      <w:r>
        <w:t xml:space="preserve">lorida: With a Discussion of Phytoplankton and</w:t>
      </w:r>
      <w:r>
        <w:t xml:space="preserve"> </w:t>
      </w:r>
      <w:r>
        <w:t xml:space="preserve">CDOM</w:t>
      </w:r>
      <w:r>
        <w:t xml:space="preserve"> </w:t>
      </w:r>
      <w:r>
        <w:t xml:space="preserve">Interactions.”</w:t>
      </w:r>
    </w:p>
    <w:bookmarkEnd w:id="113"/>
    <w:bookmarkStart w:id="115" w:name="ref-lewis1985"/>
    <w:p>
      <w:pPr>
        <w:pStyle w:val="Bibliography"/>
      </w:pPr>
      <w:r>
        <w:t xml:space="preserve">Lewis III, Roy R, MJ Durako, MD Moffler, and RC Phillips. 1985.</w:t>
      </w:r>
      <w:r>
        <w:t xml:space="preserve"> </w:t>
      </w:r>
      <w:r>
        <w:t xml:space="preserve">“Seagrass Meadows of</w:t>
      </w:r>
      <w:r>
        <w:t xml:space="preserve"> </w:t>
      </w:r>
      <w:r>
        <w:t xml:space="preserve">T</w:t>
      </w:r>
      <w:r>
        <w:t xml:space="preserve">ampa</w:t>
      </w:r>
      <w:r>
        <w:t xml:space="preserve"> </w:t>
      </w:r>
      <w:r>
        <w:t xml:space="preserve">B</w:t>
      </w:r>
      <w:r>
        <w:t xml:space="preserve">ay - a Review.”</w:t>
      </w:r>
      <w:r>
        <w:t xml:space="preserve"> </w:t>
      </w:r>
      <w:r>
        <w:t xml:space="preserve">In</w:t>
      </w:r>
      <w:r>
        <w:t xml:space="preserve"> </w:t>
      </w:r>
      <w:r>
        <w:rPr>
          <w:iCs/>
          <w:i/>
        </w:rPr>
        <w:t xml:space="preserve">Proceedings, Tampa Bay Area Scientific Information Symposium, May 1982</w:t>
      </w:r>
      <w:r>
        <w:t xml:space="preserve">, edited by S. F. Treat, J. L. Simon, R. R. Lewis III, and R. L. Whitman Jr., 210–46. Tampa, Florida: Bellweather Press.</w:t>
      </w:r>
      <w:r>
        <w:t xml:space="preserve"> </w:t>
      </w:r>
      <w:hyperlink r:id="rId114">
        <w:r>
          <w:rPr>
            <w:rStyle w:val="Hyperlink"/>
          </w:rPr>
          <w:t xml:space="preserve">https://drive.google.com/file/d/1sNp3FpjdeOjATZ9nDRRAiXEOqQen9W_p/view?usp=sharing</w:t>
        </w:r>
      </w:hyperlink>
      <w:r>
        <w:t xml:space="preserve">.</w:t>
      </w:r>
    </w:p>
    <w:bookmarkEnd w:id="115"/>
    <w:bookmarkStart w:id="117" w:name="ref-lirman2003"/>
    <w:p>
      <w:pPr>
        <w:pStyle w:val="Bibliography"/>
      </w:pPr>
      <w:r>
        <w:t xml:space="preserve">Lirman, Diego, and Wendell P. Cropper. 2003.</w:t>
      </w:r>
      <w:r>
        <w:t xml:space="preserve"> </w:t>
      </w:r>
      <w:r>
        <w:t xml:space="preserve">“The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 131–41.</w:t>
      </w:r>
      <w:r>
        <w:t xml:space="preserve"> </w:t>
      </w:r>
      <w:hyperlink r:id="rId116">
        <w:r>
          <w:rPr>
            <w:rStyle w:val="Hyperlink"/>
          </w:rPr>
          <w:t xml:space="preserve">https://doi.org/10.1007/bf02691700</w:t>
        </w:r>
      </w:hyperlink>
      <w:r>
        <w:t xml:space="preserve">.</w:t>
      </w:r>
    </w:p>
    <w:bookmarkEnd w:id="117"/>
    <w:bookmarkStart w:id="119" w:name="ref-lizcano-sandoval2022"/>
    <w:p>
      <w:pPr>
        <w:pStyle w:val="Bibliography"/>
      </w:pPr>
      <w:r>
        <w:t xml:space="preserve">Lizcano-Sandoval, Luis, Christopher Anastasiou, Enrique Montes, Gary Raulerson, Edward Sherwood, and Frank E. Muller-Karger. 2022.</w:t>
      </w:r>
      <w:r>
        <w:t xml:space="preserve"> </w:t>
      </w:r>
      <w:r>
        <w:t xml:space="preserve">“Seagrass Distribution, Areal Cover, and Changes (1990</w:t>
      </w:r>
      <w:r>
        <w:t xml:space="preserve">2021) in Coastal Waters Off West-Central Florida, USA.”</w:t>
      </w:r>
      <w:r>
        <w:t xml:space="preserve"> </w:t>
      </w:r>
      <w:r>
        <w:rPr>
          <w:iCs/>
          <w:i/>
        </w:rPr>
        <w:t xml:space="preserve">Estuarine, Coastal and Shelf Science</w:t>
      </w:r>
      <w:r>
        <w:t xml:space="preserve"> </w:t>
      </w:r>
      <w:r>
        <w:t xml:space="preserve">279 (December): 108134.</w:t>
      </w:r>
      <w:r>
        <w:t xml:space="preserve"> </w:t>
      </w:r>
      <w:hyperlink r:id="rId118">
        <w:r>
          <w:rPr>
            <w:rStyle w:val="Hyperlink"/>
          </w:rPr>
          <w:t xml:space="preserve">https://doi.org/10.1016/j.ecss.2022.108134</w:t>
        </w:r>
      </w:hyperlink>
      <w:r>
        <w:t xml:space="preserve">.</w:t>
      </w:r>
    </w:p>
    <w:bookmarkEnd w:id="119"/>
    <w:bookmarkStart w:id="120" w:name="ref-lopez2023"/>
    <w:p>
      <w:pPr>
        <w:pStyle w:val="Bibliography"/>
      </w:pPr>
      <w:r>
        <w:t xml:space="preserve">Lopez, Cary B, Sugandha Shankar, Sara G Kaminski, and Katherine A Hubbard. 2023.</w:t>
      </w:r>
      <w:r>
        <w:t xml:space="preserve"> </w:t>
      </w:r>
      <w:r>
        <w:t xml:space="preserve">“</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20"/>
    <w:bookmarkStart w:id="122" w:name="ref-lopez2021"/>
    <w:p>
      <w:pPr>
        <w:pStyle w:val="Bibliography"/>
      </w:pPr>
      <w:r>
        <w:t xml:space="preserve">Lopez, Cary B, Charles L Tilney, Eric Muhlbach, Josée N Bouchard, Maria Célia Villac, Karen L Henschen, Laura R Markley, et al. 2021.</w:t>
      </w:r>
      <w:r>
        <w:t xml:space="preserve"> </w:t>
      </w:r>
      <w:r>
        <w:t xml:space="preserve">“High-Resolution Spatiotemporal Dynamics of Harmful Algae in the Indian River Lagoon (Florida)</w:t>
      </w:r>
      <w:r>
        <w:t xml:space="preserve">a Case Study of Aureoumbra Lagunensis, Pyrodinium Bahamense, and Pseudo-Nitzschia.”</w:t>
      </w:r>
      <w:r>
        <w:t xml:space="preserve"> </w:t>
      </w:r>
      <w:r>
        <w:rPr>
          <w:iCs/>
          <w:i/>
        </w:rPr>
        <w:t xml:space="preserve">Frontiers in Marine Science</w:t>
      </w:r>
      <w:r>
        <w:t xml:space="preserve"> </w:t>
      </w:r>
      <w:r>
        <w:t xml:space="preserve">8 (November).</w:t>
      </w:r>
      <w:r>
        <w:t xml:space="preserve"> </w:t>
      </w:r>
      <w:hyperlink r:id="rId121">
        <w:r>
          <w:rPr>
            <w:rStyle w:val="Hyperlink"/>
          </w:rPr>
          <w:t xml:space="preserve">https://doi.org/10.3389/fmars.2021.769877</w:t>
        </w:r>
      </w:hyperlink>
      <w:r>
        <w:t xml:space="preserve">.</w:t>
      </w:r>
    </w:p>
    <w:bookmarkEnd w:id="122"/>
    <w:bookmarkStart w:id="124" w:name="ref-mcmillan1967"/>
    <w:p>
      <w:pPr>
        <w:pStyle w:val="Bibliography"/>
      </w:pPr>
      <w:r>
        <w:t xml:space="preserve">McMillan, Calvin, and Frank N. Moseley. 1967.</w:t>
      </w:r>
      <w:r>
        <w:t xml:space="preserve"> </w:t>
      </w:r>
      <w:r>
        <w:t xml:space="preserve">“Salinity Tolerances of Five Marine Spermatophytes of Redfish Bay, Texas.”</w:t>
      </w:r>
      <w:r>
        <w:t xml:space="preserve"> </w:t>
      </w:r>
      <w:r>
        <w:rPr>
          <w:iCs/>
          <w:i/>
        </w:rPr>
        <w:t xml:space="preserve">Ecology</w:t>
      </w:r>
      <w:r>
        <w:t xml:space="preserve"> </w:t>
      </w:r>
      <w:r>
        <w:t xml:space="preserve">48 (3): 503–6.</w:t>
      </w:r>
      <w:r>
        <w:t xml:space="preserve"> </w:t>
      </w:r>
      <w:hyperlink r:id="rId123">
        <w:r>
          <w:rPr>
            <w:rStyle w:val="Hyperlink"/>
          </w:rPr>
          <w:t xml:space="preserve">https://doi.org/10.2307/1932688</w:t>
        </w:r>
      </w:hyperlink>
      <w:r>
        <w:t xml:space="preserve">.</w:t>
      </w:r>
    </w:p>
    <w:bookmarkEnd w:id="124"/>
    <w:bookmarkStart w:id="126" w:name="ref-luther2022"/>
    <w:p>
      <w:pPr>
        <w:pStyle w:val="Bibliography"/>
      </w:pPr>
      <w:r>
        <w:t xml:space="preserve">M.E. Luther, S.D. Meyers. 2022.</w:t>
      </w:r>
      <w:r>
        <w:t xml:space="preserve"> </w:t>
      </w:r>
      <w:r>
        <w:t xml:space="preserve">“</w:t>
      </w:r>
      <w:r>
        <w:t xml:space="preserve">Designing a Genetic Algorithm for the Selection of Causeway Cut-Throughs in Old Tampa Bay: Planning and Prototyping</w:t>
      </w:r>
      <w:r>
        <w:t xml:space="preserve">.”</w:t>
      </w:r>
      <w:r>
        <w:t xml:space="preserve"> </w:t>
      </w:r>
      <w:r>
        <w:t xml:space="preserve">08-22. St. Petersburg, Florida: Tampa Bay Estuary Program.</w:t>
      </w:r>
      <w:r>
        <w:t xml:space="preserve"> </w:t>
      </w:r>
      <w:hyperlink r:id="rId125">
        <w:r>
          <w:rPr>
            <w:rStyle w:val="Hyperlink"/>
          </w:rPr>
          <w:t xml:space="preserve">https://drive.google.com/file/d/1-1Jq9vly5EvVwEp698brlBucXjSMDbNn/view?usp=sharing</w:t>
        </w:r>
      </w:hyperlink>
      <w:r>
        <w:t xml:space="preserve">.</w:t>
      </w:r>
    </w:p>
    <w:bookmarkEnd w:id="126"/>
    <w:bookmarkStart w:id="128" w:name="ref-millard13"/>
    <w:p>
      <w:pPr>
        <w:pStyle w:val="Bibliography"/>
      </w:pPr>
      <w:r>
        <w:t xml:space="preserve">Millard, Steven P. 2013.</w:t>
      </w:r>
      <w:r>
        <w:t xml:space="preserve"> </w:t>
      </w:r>
      <w:r>
        <w:rPr>
          <w:iCs/>
          <w:i/>
        </w:rPr>
        <w:t xml:space="preserve">EnvStats: An r Package for Environmental Statistics</w:t>
      </w:r>
      <w:r>
        <w:t xml:space="preserve">. New York: Springer.</w:t>
      </w:r>
      <w:r>
        <w:t xml:space="preserve"> </w:t>
      </w:r>
      <w:hyperlink r:id="rId127">
        <w:r>
          <w:rPr>
            <w:rStyle w:val="Hyperlink"/>
          </w:rPr>
          <w:t xml:space="preserve">https://www.springer.com</w:t>
        </w:r>
      </w:hyperlink>
      <w:r>
        <w:t xml:space="preserve">.</w:t>
      </w:r>
    </w:p>
    <w:bookmarkEnd w:id="128"/>
    <w:bookmarkStart w:id="130" w:name="ref-nickerson2023"/>
    <w:p>
      <w:pPr>
        <w:pStyle w:val="Bibliography"/>
      </w:pPr>
      <w:r>
        <w:t xml:space="preserve">Nickerson, Alexander K., Robert H. Weisberg, Lianyuan Zheng, and Yonggang Liu. 2023.</w:t>
      </w:r>
      <w:r>
        <w:t xml:space="preserve"> </w:t>
      </w:r>
      <w:r>
        <w:t xml:space="preserve">“Sea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(October): 105321.</w:t>
      </w:r>
      <w:r>
        <w:t xml:space="preserve"> </w:t>
      </w:r>
      <w:hyperlink r:id="rId129">
        <w:r>
          <w:rPr>
            <w:rStyle w:val="Hyperlink"/>
          </w:rPr>
          <w:t xml:space="preserve">https://doi.org/10.1016/j.dsr2.2023.105321</w:t>
        </w:r>
      </w:hyperlink>
      <w:r>
        <w:t xml:space="preserve">.</w:t>
      </w:r>
    </w:p>
    <w:bookmarkEnd w:id="130"/>
    <w:bookmarkStart w:id="131" w:name="ref-phillips1960"/>
    <w:p>
      <w:pPr>
        <w:pStyle w:val="Bibliography"/>
      </w:pPr>
      <w:r>
        <w:t xml:space="preserve">Phillips, Ronald C. 1960.</w:t>
      </w:r>
      <w:r>
        <w:t xml:space="preserve"> </w:t>
      </w:r>
      <w:r>
        <w:rPr>
          <w:iCs/>
          <w:i/>
        </w:rPr>
        <w:t xml:space="preserve">Observations on the Ecology and Distribution of the Florida Seagrasses</w:t>
      </w:r>
      <w:r>
        <w:t xml:space="preserve">. 44. Florida State Board of Conservation, Marine Laboratory.</w:t>
      </w:r>
    </w:p>
    <w:bookmarkEnd w:id="131"/>
    <w:bookmarkStart w:id="133" w:name="ref-phlips2006"/>
    <w:p>
      <w:pPr>
        <w:pStyle w:val="Bibliography"/>
      </w:pPr>
      <w:r>
        <w:t xml:space="preserve">Phlips, JE, S Badylak, E Bledsoe, and M Cichra. 2006.</w:t>
      </w:r>
      <w:r>
        <w:t xml:space="preserve"> </w:t>
      </w:r>
      <w:r>
        <w:t xml:space="preserve">“Factors Affecting the Distribution of Pyrodinium Bahamense Var. Bahamense in Coastal Waters of Florida.”</w:t>
      </w:r>
      <w:r>
        <w:t xml:space="preserve"> </w:t>
      </w:r>
      <w:r>
        <w:rPr>
          <w:iCs/>
          <w:i/>
        </w:rPr>
        <w:t xml:space="preserve">Marine Ecology Progress Series</w:t>
      </w:r>
      <w:r>
        <w:t xml:space="preserve"> </w:t>
      </w:r>
      <w:r>
        <w:t xml:space="preserve">322 (September): 99–115.</w:t>
      </w:r>
      <w:r>
        <w:t xml:space="preserve"> </w:t>
      </w:r>
      <w:hyperlink r:id="rId132">
        <w:r>
          <w:rPr>
            <w:rStyle w:val="Hyperlink"/>
          </w:rPr>
          <w:t xml:space="preserve">https://doi.org/10.3354/meps322099</w:t>
        </w:r>
      </w:hyperlink>
      <w:r>
        <w:t xml:space="preserve">.</w:t>
      </w:r>
    </w:p>
    <w:bookmarkEnd w:id="133"/>
    <w:bookmarkStart w:id="134" w:name="ref-robblee1991"/>
    <w:p>
      <w:pPr>
        <w:pStyle w:val="Bibliography"/>
      </w:pPr>
      <w:r>
        <w:t xml:space="preserve">Robblee, Michael B, TR Barber, PR Carlson Jr, MJ Durako, James W Fourqurean, LK Muehlstein, D Porter, LA Yarbro, RT Zieman, and Joseph C Zieman. 1991.</w:t>
      </w:r>
      <w:r>
        <w:t xml:space="preserve"> </w:t>
      </w:r>
      <w:r>
        <w:t xml:space="preserve">“Mass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297–99.</w:t>
      </w:r>
    </w:p>
    <w:bookmarkEnd w:id="134"/>
    <w:bookmarkStart w:id="136" w:name="ref-Robison20"/>
    <w:p>
      <w:pPr>
        <w:pStyle w:val="Bibliography"/>
      </w:pPr>
      <w:r>
        <w:t xml:space="preserve">Robison, D., T. Ries, J. Saarinen, D. Tomasko, and C. Sciarrino. 2020.</w:t>
      </w:r>
      <w:r>
        <w:t xml:space="preserve"> </w:t>
      </w:r>
      <w:r>
        <w:t xml:space="preserve">“</w:t>
      </w:r>
      <w:r>
        <w:t xml:space="preserve">Tampa Bay Estuary Program: 2020 Habitat Master Plan Update</w:t>
      </w:r>
      <w:r>
        <w:t xml:space="preserve">.”</w:t>
      </w:r>
      <w:r>
        <w:t xml:space="preserve"> </w:t>
      </w:r>
      <w:r>
        <w:t xml:space="preserve">Technical report. Tampa Bay Estuary Program, St. Petersburg, Florida.</w:t>
      </w:r>
      <w:r>
        <w:t xml:space="preserve"> </w:t>
      </w:r>
      <w:hyperlink r:id="rId135">
        <w:r>
          <w:rPr>
            <w:rStyle w:val="Hyperlink"/>
          </w:rPr>
          <w:t xml:space="preserve">https://drive.google.com/file/d/1Hp0l_qtbxp1JxKJoGatdyuANSzQrpL0I/view?usp=drivesdk</w:t>
        </w:r>
      </w:hyperlink>
      <w:r>
        <w:t xml:space="preserve">.</w:t>
      </w:r>
    </w:p>
    <w:bookmarkEnd w:id="136"/>
    <w:bookmarkStart w:id="137" w:name="ref-sakamoto1986"/>
    <w:p>
      <w:pPr>
        <w:pStyle w:val="Bibliography"/>
      </w:pPr>
      <w:r>
        <w:t xml:space="preserve">Sakamoto, Yosiyuki, Makio Ishiguro, and Genshiro Kitagawa. 1986.</w:t>
      </w:r>
      <w:r>
        <w:t xml:space="preserve"> </w:t>
      </w:r>
      <w:r>
        <w:rPr>
          <w:iCs/>
          <w:i/>
        </w:rPr>
        <w:t xml:space="preserve">Akaike Information Criterion Statistics</w:t>
      </w:r>
      <w:r>
        <w:t xml:space="preserve">. Dordrecht, The Netherlands: D. Reidel: Taylor &amp; Francis.</w:t>
      </w:r>
    </w:p>
    <w:bookmarkEnd w:id="137"/>
    <w:bookmarkStart w:id="139" w:name="ref-schrandt2021"/>
    <w:p>
      <w:pPr>
        <w:pStyle w:val="Bibliography"/>
      </w:pPr>
      <w:r>
        <w:t xml:space="preserve">Schrandt, Meagan N., Timothy C. MacDonald, Edward T. Sherwood, and Marcus W. Beck. 2021.</w:t>
      </w:r>
      <w:r>
        <w:t xml:space="preserve"> </w:t>
      </w:r>
      <w:r>
        <w:t xml:space="preserve">“A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(April): 107310.</w:t>
      </w:r>
      <w:r>
        <w:t xml:space="preserve"> </w:t>
      </w:r>
      <w:hyperlink r:id="rId138">
        <w:r>
          <w:rPr>
            <w:rStyle w:val="Hyperlink"/>
          </w:rPr>
          <w:t xml:space="preserve">https://doi.org/10.1016/j.ecolind.2020.107310</w:t>
        </w:r>
      </w:hyperlink>
      <w:r>
        <w:t xml:space="preserve">.</w:t>
      </w:r>
    </w:p>
    <w:bookmarkEnd w:id="139"/>
    <w:bookmarkStart w:id="140" w:name="ref-scolaro2023"/>
    <w:p>
      <w:pPr>
        <w:pStyle w:val="Bibliography"/>
      </w:pPr>
      <w:r>
        <w:t xml:space="preserve">Scolaro, Sheila, Marcus W Beck, Maya C Burke, Gary E Raulerson, and Edward T Sherwood. 2023.</w:t>
      </w:r>
      <w:r>
        <w:t xml:space="preserve"> </w:t>
      </w:r>
      <w:r>
        <w:t xml:space="preserve">“Piney Point, Seagrass, and Macroalgae: Impact Assessment and a Case for Enhanced Macroalgae Monitoring.”</w:t>
      </w:r>
      <w:r>
        <w:t xml:space="preserve"> </w:t>
      </w:r>
      <w:r>
        <w:rPr>
          <w:iCs/>
          <w:i/>
        </w:rPr>
        <w:t xml:space="preserve">Florida Scientist</w:t>
      </w:r>
      <w:r>
        <w:t xml:space="preserve"> </w:t>
      </w:r>
      <w:r>
        <w:t xml:space="preserve">86 (2): 339–45.</w:t>
      </w:r>
    </w:p>
    <w:bookmarkEnd w:id="140"/>
    <w:bookmarkStart w:id="142" w:name="ref-sherwood2017"/>
    <w:p>
      <w:pPr>
        <w:pStyle w:val="Bibliography"/>
      </w:pPr>
      <w:r>
        <w:t xml:space="preserve">Sherwood, Edward T., Holly S. Greening, J. O. Roger Johansson, Kristen Kaufman, and Gary E. Raulerson. 2017.</w:t>
      </w:r>
      <w:r>
        <w:t xml:space="preserve"> </w:t>
      </w:r>
      <w:r>
        <w:t xml:space="preserve">“Tampa Bay (Florida, USA):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(3): 294–319.</w:t>
      </w:r>
      <w:r>
        <w:t xml:space="preserve"> </w:t>
      </w:r>
      <w:hyperlink r:id="rId141">
        <w:r>
          <w:rPr>
            <w:rStyle w:val="Hyperlink"/>
          </w:rPr>
          <w:t xml:space="preserve">https://doi.org/10.1353/sgo.2017.0026</w:t>
        </w:r>
      </w:hyperlink>
      <w:r>
        <w:t xml:space="preserve">.</w:t>
      </w:r>
    </w:p>
    <w:bookmarkEnd w:id="142"/>
    <w:bookmarkStart w:id="144" w:name="ref-sherwood2015"/>
    <w:p>
      <w:pPr>
        <w:pStyle w:val="Bibliography"/>
      </w:pPr>
      <w:r>
        <w:t xml:space="preserve">Sherwood, E., H. Greening, L. Garcia, K. Kaufman, T. Janicki, R. Pribble, B. Cunningham, et al. 2015.</w:t>
      </w:r>
      <w:r>
        <w:t xml:space="preserve"> </w:t>
      </w:r>
      <w:r>
        <w:t xml:space="preserve">“Development of an Integrated Ecosystem Model to Determine Effectiveness of Potential Watershed Management Projects on Improving</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10-15. St. Petersburg, Florida: Tampa Bay Estuary Program.</w:t>
      </w:r>
      <w:r>
        <w:t xml:space="preserve"> </w:t>
      </w:r>
      <w:hyperlink r:id="rId143">
        <w:r>
          <w:rPr>
            <w:rStyle w:val="Hyperlink"/>
          </w:rPr>
          <w:t xml:space="preserve">https://drive.google.com/file/d/1BCviGfLykVX-p1tA3b0306deP3pKMagr/view?usp=drivesdk</w:t>
        </w:r>
      </w:hyperlink>
      <w:r>
        <w:t xml:space="preserve">.</w:t>
      </w:r>
    </w:p>
    <w:bookmarkEnd w:id="144"/>
    <w:bookmarkStart w:id="146" w:name="ref-SWFWMD23"/>
    <w:p>
      <w:pPr>
        <w:pStyle w:val="Bibliography"/>
      </w:pPr>
      <w:r>
        <w:t xml:space="preserve">Southwest Florida Water Management District. 2023.</w:t>
      </w:r>
      <w:r>
        <w:t xml:space="preserve"> </w:t>
      </w:r>
      <w:r>
        <w:t xml:space="preserve">“Seagrass in 2022.”</w:t>
      </w:r>
      <w:r>
        <w:t xml:space="preserve"> </w:t>
      </w:r>
      <w:hyperlink r:id="rId145">
        <w:r>
          <w:rPr>
            <w:rStyle w:val="Hyperlink"/>
          </w:rPr>
          <w:t xml:space="preserve">https://data-swfwmd.opendata.arcgis.com/datasets/seagrass-in-2022</w:t>
        </w:r>
      </w:hyperlink>
      <w:r>
        <w:t xml:space="preserve">.</w:t>
      </w:r>
    </w:p>
    <w:bookmarkEnd w:id="146"/>
    <w:bookmarkStart w:id="147" w:name="ref-tomasko2023"/>
    <w:p>
      <w:pPr>
        <w:pStyle w:val="Bibliography"/>
      </w:pPr>
      <w:r>
        <w:t xml:space="preserve">Tomasko, David. 2023.</w:t>
      </w:r>
      <w:r>
        <w:t xml:space="preserve"> </w:t>
      </w:r>
      <w:r>
        <w:t xml:space="preserve">“Ecological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(2): 301–13.</w:t>
      </w:r>
    </w:p>
    <w:bookmarkEnd w:id="147"/>
    <w:bookmarkStart w:id="149" w:name="ref-usup1994"/>
    <w:p>
      <w:pPr>
        <w:pStyle w:val="Bibliography"/>
      </w:pPr>
      <w:r>
        <w:t xml:space="preserve">Usup, Gires, David M Kulis, and Donald M Anderson. 1994.</w:t>
      </w:r>
      <w:r>
        <w:t xml:space="preserve"> </w:t>
      </w:r>
      <w:r>
        <w:t xml:space="preserve">“Growth and Toxin Production of the Toxic dinoflagellatePyrodinium Bahamense Var.compressum in Laboratory Cultures.”</w:t>
      </w:r>
      <w:r>
        <w:t xml:space="preserve"> </w:t>
      </w:r>
      <w:r>
        <w:rPr>
          <w:iCs/>
          <w:i/>
        </w:rPr>
        <w:t xml:space="preserve">Natural Toxins</w:t>
      </w:r>
      <w:r>
        <w:t xml:space="preserve"> </w:t>
      </w:r>
      <w:r>
        <w:t xml:space="preserve">2 (5): 254–62.</w:t>
      </w:r>
      <w:r>
        <w:t xml:space="preserve"> </w:t>
      </w:r>
      <w:hyperlink r:id="rId148">
        <w:r>
          <w:rPr>
            <w:rStyle w:val="Hyperlink"/>
          </w:rPr>
          <w:t xml:space="preserve">https://doi.org/10.1002/nt.2620020503</w:t>
        </w:r>
      </w:hyperlink>
      <w:r>
        <w:t xml:space="preserve">.</w:t>
      </w:r>
    </w:p>
    <w:bookmarkEnd w:id="149"/>
    <w:bookmarkStart w:id="151" w:name="ref-vanbogaert2018"/>
    <w:p>
      <w:pPr>
        <w:pStyle w:val="Bibliography"/>
      </w:pPr>
      <w:r>
        <w:t xml:space="preserve">Van Bogaert, Noémi, Karyna Rosario, Bradley T. Furman, Margaret O. Hall, Anthony M. Greco, and Mya Breitbart. 2018.</w:t>
      </w:r>
      <w:r>
        <w:t xml:space="preserve"> </w:t>
      </w:r>
      <w:r>
        <w:t xml:space="preserve">“Discovery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 1–8.</w:t>
      </w:r>
      <w:r>
        <w:t xml:space="preserve"> </w:t>
      </w:r>
      <w:hyperlink r:id="rId150">
        <w:r>
          <w:rPr>
            <w:rStyle w:val="Hyperlink"/>
          </w:rPr>
          <w:t xml:space="preserve">https://doi.org/10.1002/lol2.10098</w:t>
        </w:r>
      </w:hyperlink>
      <w:r>
        <w:t xml:space="preserve">.</w:t>
      </w:r>
    </w:p>
    <w:bookmarkEnd w:id="151"/>
    <w:bookmarkStart w:id="153" w:name="ref-vandermeer1972"/>
    <w:p>
      <w:pPr>
        <w:pStyle w:val="Bibliography"/>
      </w:pPr>
      <w:r>
        <w:t xml:space="preserve">Vandermeer, John H. 1972.</w:t>
      </w:r>
      <w:r>
        <w:t xml:space="preserve"> </w:t>
      </w:r>
      <w:r>
        <w:t xml:space="preserve">“Niche Theory.”</w:t>
      </w:r>
      <w:r>
        <w:t xml:space="preserve"> </w:t>
      </w:r>
      <w:r>
        <w:rPr>
          <w:iCs/>
          <w:i/>
        </w:rPr>
        <w:t xml:space="preserve">Annual Review of Ecology and Systematics</w:t>
      </w:r>
      <w:r>
        <w:t xml:space="preserve"> </w:t>
      </w:r>
      <w:r>
        <w:t xml:space="preserve">3 (1): 107–32.</w:t>
      </w:r>
      <w:r>
        <w:t xml:space="preserve"> </w:t>
      </w:r>
      <w:hyperlink r:id="rId152">
        <w:r>
          <w:rPr>
            <w:rStyle w:val="Hyperlink"/>
          </w:rPr>
          <w:t xml:space="preserve">https://doi.org/10.1146/annurev.es.03.110172.000543</w:t>
        </w:r>
      </w:hyperlink>
      <w:r>
        <w:t xml:space="preserve">.</w:t>
      </w:r>
    </w:p>
    <w:bookmarkEnd w:id="153"/>
    <w:bookmarkStart w:id="155" w:name="ref-venables2002b"/>
    <w:p>
      <w:pPr>
        <w:pStyle w:val="Bibliography"/>
      </w:pPr>
      <w:r>
        <w:t xml:space="preserve">Venables, W. N., and B. D. Ripley. 2002.</w:t>
      </w:r>
      <w:r>
        <w:t xml:space="preserve"> </w:t>
      </w:r>
      <w:r>
        <w:rPr>
          <w:iCs/>
          <w:i/>
        </w:rPr>
        <w:t xml:space="preserve">Modern Applied Statistics with s</w:t>
      </w:r>
      <w:r>
        <w:t xml:space="preserve">. Springer New York.</w:t>
      </w:r>
      <w:r>
        <w:t xml:space="preserve"> </w:t>
      </w:r>
      <w:hyperlink r:id="rId154">
        <w:r>
          <w:rPr>
            <w:rStyle w:val="Hyperlink"/>
          </w:rPr>
          <w:t xml:space="preserve">https://doi.org/10.1007/978-0-387-21706-2</w:t>
        </w:r>
      </w:hyperlink>
      <w:r>
        <w:t xml:space="preserve">.</w:t>
      </w:r>
    </w:p>
    <w:bookmarkEnd w:id="155"/>
    <w:bookmarkStart w:id="156" w:name="ref-wood17"/>
    <w:p>
      <w:pPr>
        <w:pStyle w:val="Bibliography"/>
      </w:pPr>
      <w:r>
        <w:t xml:space="preserve">Wood, S. N. 2017.</w:t>
      </w:r>
      <w:r>
        <w:t xml:space="preserve"> </w:t>
      </w:r>
      <w:r>
        <w:rPr>
          <w:iCs/>
          <w:i/>
        </w:rPr>
        <w:t xml:space="preserve">Generalized Additive Models: An Introduction with r</w:t>
      </w:r>
      <w:r>
        <w:t xml:space="preserve">. 2nd ed. Chapman; Hall/CRC.</w:t>
      </w:r>
    </w:p>
    <w:bookmarkEnd w:id="156"/>
    <w:bookmarkStart w:id="158" w:name="ref-zhang2023"/>
    <w:p>
      <w:pPr>
        <w:pStyle w:val="Bibliography"/>
      </w:pPr>
      <w:r>
        <w:t xml:space="preserve">Zhang, Mengjie, Hu Li, Litao Zhang, and Jianguo Liu. 2023.</w:t>
      </w:r>
      <w:r>
        <w:t xml:space="preserve"> </w:t>
      </w:r>
      <w:r>
        <w:t xml:space="preserve">“Heat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(July): 115043.</w:t>
      </w:r>
      <w:r>
        <w:t xml:space="preserve"> </w:t>
      </w:r>
      <w:hyperlink r:id="rId157">
        <w:r>
          <w:rPr>
            <w:rStyle w:val="Hyperlink"/>
          </w:rPr>
          <w:t xml:space="preserve">https://doi.org/10.1016/j.marpolbul.2023.115043</w:t>
        </w:r>
      </w:hyperlink>
      <w:r>
        <w:t xml:space="preserve">.</w:t>
      </w:r>
    </w:p>
    <w:bookmarkEnd w:id="158"/>
    <w:bookmarkStart w:id="160" w:name="ref-zieman1975"/>
    <w:p>
      <w:pPr>
        <w:pStyle w:val="Bibliography"/>
      </w:pPr>
      <w:r>
        <w:t xml:space="preserve">Zieman, Joseph C. 1975.</w:t>
      </w:r>
      <w:r>
        <w:t xml:space="preserve"> </w:t>
      </w:r>
      <w:r>
        <w:t xml:space="preserve">“Seasonal Variation of Turtle Grass, Thalassia Testudinum König, with Reference to Temperature and Salinity Effects.”</w:t>
      </w:r>
      <w:r>
        <w:t xml:space="preserve"> </w:t>
      </w:r>
      <w:r>
        <w:rPr>
          <w:iCs/>
          <w:i/>
        </w:rPr>
        <w:t xml:space="preserve">Aquatic Botany</w:t>
      </w:r>
      <w:r>
        <w:t xml:space="preserve"> </w:t>
      </w:r>
      <w:r>
        <w:t xml:space="preserve">1 (January): 107–23.</w:t>
      </w:r>
      <w:r>
        <w:t xml:space="preserve"> </w:t>
      </w:r>
      <w:hyperlink r:id="rId159">
        <w:r>
          <w:rPr>
            <w:rStyle w:val="Hyperlink"/>
          </w:rPr>
          <w:t xml:space="preserve">https://doi.org/10.1016/0304-3770(75)90016-9</w:t>
        </w:r>
      </w:hyperlink>
      <w:r>
        <w:t xml:space="preserve">.</w:t>
      </w:r>
    </w:p>
    <w:bookmarkEnd w:id="160"/>
    <w:bookmarkStart w:id="162" w:name="ref-zuur2009a"/>
    <w:p>
      <w:pPr>
        <w:pStyle w:val="Bibliography"/>
      </w:pPr>
      <w:r>
        <w:t xml:space="preserve">Zuur, Alain F., Elena N. Ieno, Neil Walker, Anatoly A. Saveliev, and Graham M. Smith. 2009.</w:t>
      </w:r>
      <w:r>
        <w:t xml:space="preserve"> </w:t>
      </w:r>
      <w:r>
        <w:rPr>
          <w:iCs/>
          <w:i/>
        </w:rPr>
        <w:t xml:space="preserve">Mixed Effects Models and Extensions in Ecology with r</w:t>
      </w:r>
      <w:r>
        <w:t xml:space="preserve">. Springer New York.</w:t>
      </w:r>
      <w:r>
        <w:t xml:space="preserve"> </w:t>
      </w:r>
      <w:hyperlink r:id="rId161">
        <w:r>
          <w:rPr>
            <w:rStyle w:val="Hyperlink"/>
          </w:rPr>
          <w:t xml:space="preserve">https://doi.org/10.1007/978-0-387-87458-6</w:t>
        </w:r>
      </w:hyperlink>
      <w:r>
        <w:t xml:space="preserve">.</w:t>
      </w:r>
    </w:p>
    <w:bookmarkEnd w:id="162"/>
    <w:bookmarkEnd w:id="163"/>
    <w:bookmarkEnd w:id="164"/>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image" Id="rId56" Target="media/rId56.png" /><Relationship Type="http://schemas.openxmlformats.org/officeDocument/2006/relationships/image" Id="rId40" Target="media/rId40.png" /><Relationship Type="http://schemas.openxmlformats.org/officeDocument/2006/relationships/image" Id="rId60" Target="media/rId60.png" /><Relationship Type="http://schemas.openxmlformats.org/officeDocument/2006/relationships/hyperlink" Id="rId84" Target="https://CRAN.R-project.org/package=SPEI" TargetMode="External" /><Relationship Type="http://schemas.openxmlformats.org/officeDocument/2006/relationships/hyperlink" Id="rId90" Target="https://CRAN.R-project.org/package=rnoaa" TargetMode="External" /><Relationship Type="http://schemas.openxmlformats.org/officeDocument/2006/relationships/hyperlink" Id="rId145" Target="https://data-swfwmd.opendata.arcgis.com/datasets/seagrass-in-2022" TargetMode="External" /><Relationship Type="http://schemas.openxmlformats.org/officeDocument/2006/relationships/hyperlink" Id="rId86" Target="https://doi.org/10.1002/joc.3887" TargetMode="External" /><Relationship Type="http://schemas.openxmlformats.org/officeDocument/2006/relationships/hyperlink" Id="rId150" Target="https://doi.org/10.1002/lol2.10098" TargetMode="External" /><Relationship Type="http://schemas.openxmlformats.org/officeDocument/2006/relationships/hyperlink" Id="rId148" Target="https://doi.org/10.1002/nt.2620020503" TargetMode="External" /><Relationship Type="http://schemas.openxmlformats.org/officeDocument/2006/relationships/hyperlink" Id="rId154" Target="https://doi.org/10.1007/978-0-387-21706-2" TargetMode="External" /><Relationship Type="http://schemas.openxmlformats.org/officeDocument/2006/relationships/hyperlink" Id="rId161" Target="https://doi.org/10.1007/978-0-387-87458-6" TargetMode="External" /><Relationship Type="http://schemas.openxmlformats.org/officeDocument/2006/relationships/hyperlink" Id="rId116" Target="https://doi.org/10.1007/bf02691700" TargetMode="External" /><Relationship Type="http://schemas.openxmlformats.org/officeDocument/2006/relationships/hyperlink" Id="rId100" Target="https://doi.org/10.1007/s00267-005-0079-4" TargetMode="External" /><Relationship Type="http://schemas.openxmlformats.org/officeDocument/2006/relationships/hyperlink" Id="rId78" Target="https://doi.org/10.1007/s12237-019-00619-w" TargetMode="External" /><Relationship Type="http://schemas.openxmlformats.org/officeDocument/2006/relationships/hyperlink" Id="rId159" Target="https://doi.org/10.1016/0304-3770(75)90016-9" TargetMode="External" /><Relationship Type="http://schemas.openxmlformats.org/officeDocument/2006/relationships/hyperlink" Id="rId129" Target="https://doi.org/10.1016/j.dsr2.2023.105321" TargetMode="External" /><Relationship Type="http://schemas.openxmlformats.org/officeDocument/2006/relationships/hyperlink" Id="rId138" Target="https://doi.org/10.1016/j.ecolind.2020.107310" TargetMode="External" /><Relationship Type="http://schemas.openxmlformats.org/officeDocument/2006/relationships/hyperlink" Id="rId98" Target="https://doi.org/10.1016/j.ecss.2014.10.003" TargetMode="External" /><Relationship Type="http://schemas.openxmlformats.org/officeDocument/2006/relationships/hyperlink" Id="rId118" Target="https://doi.org/10.1016/j.ecss.2022.108134" TargetMode="External" /><Relationship Type="http://schemas.openxmlformats.org/officeDocument/2006/relationships/hyperlink" Id="rId92" Target="https://doi.org/10.1016/j.jenvman.2018.01.025" TargetMode="External" /><Relationship Type="http://schemas.openxmlformats.org/officeDocument/2006/relationships/hyperlink" Id="rId96" Target="https://doi.org/10.1016/j.marpolbul.2010.11.017" TargetMode="External" /><Relationship Type="http://schemas.openxmlformats.org/officeDocument/2006/relationships/hyperlink" Id="rId74" Target="https://doi.org/10.1016/j.marpolbul.2022.113598" TargetMode="External" /><Relationship Type="http://schemas.openxmlformats.org/officeDocument/2006/relationships/hyperlink" Id="rId157" Target="https://doi.org/10.1016/j.marpolbul.2023.115043" TargetMode="External" /><Relationship Type="http://schemas.openxmlformats.org/officeDocument/2006/relationships/hyperlink" Id="rId70" Target="https://doi.org/10.1016/j.ocecoaman.2023.106929" TargetMode="External" /><Relationship Type="http://schemas.openxmlformats.org/officeDocument/2006/relationships/hyperlink" Id="rId80" Target="https://doi.org/10.1016/j.scitotenv.2021.149927" TargetMode="External" /><Relationship Type="http://schemas.openxmlformats.org/officeDocument/2006/relationships/hyperlink" Id="rId106" Target="https://doi.org/10.1029/wr018i001p00107" TargetMode="External" /><Relationship Type="http://schemas.openxmlformats.org/officeDocument/2006/relationships/hyperlink" Id="rId104" Target="https://doi.org/10.1073/pnas.2220678120" TargetMode="External" /><Relationship Type="http://schemas.openxmlformats.org/officeDocument/2006/relationships/hyperlink" Id="rId108" Target="https://doi.org/10.1101/sqb.1957.022.01.039" TargetMode="External" /><Relationship Type="http://schemas.openxmlformats.org/officeDocument/2006/relationships/hyperlink" Id="rId152" Target="https://doi.org/10.1146/annurev.es.03.110172.000543" TargetMode="External" /><Relationship Type="http://schemas.openxmlformats.org/officeDocument/2006/relationships/hyperlink" Id="rId141" Target="https://doi.org/10.1353/sgo.2017.0026" TargetMode="External" /><Relationship Type="http://schemas.openxmlformats.org/officeDocument/2006/relationships/hyperlink" Id="rId72" Target="https://doi.org/10.18637/jss.v067.i01" TargetMode="External" /><Relationship Type="http://schemas.openxmlformats.org/officeDocument/2006/relationships/hyperlink" Id="rId82" Target="https://doi.org/10.21105/joss.03485" TargetMode="External" /><Relationship Type="http://schemas.openxmlformats.org/officeDocument/2006/relationships/hyperlink" Id="rId123" Target="https://doi.org/10.2307/1932688" TargetMode="External" /><Relationship Type="http://schemas.openxmlformats.org/officeDocument/2006/relationships/hyperlink" Id="rId102" Target="https://doi.org/10.3354/meps11923" TargetMode="External" /><Relationship Type="http://schemas.openxmlformats.org/officeDocument/2006/relationships/hyperlink" Id="rId132" Target="https://doi.org/10.3354/meps322099" TargetMode="External" /><Relationship Type="http://schemas.openxmlformats.org/officeDocument/2006/relationships/hyperlink" Id="rId76" Target="https://doi.org/10.3389/fevo.2023.1070266" TargetMode="External" /><Relationship Type="http://schemas.openxmlformats.org/officeDocument/2006/relationships/hyperlink" Id="rId121" Target="https://doi.org/10.3389/fmars.2021.769877" TargetMode="External" /><Relationship Type="http://schemas.openxmlformats.org/officeDocument/2006/relationships/hyperlink" Id="rId94" Target="https://doi.org/10.3389/fpls.2021.612947" TargetMode="External" /><Relationship Type="http://schemas.openxmlformats.org/officeDocument/2006/relationships/hyperlink" Id="rId125" Target="https://drive.google.com/file/d/1-1Jq9vly5EvVwEp698brlBucXjSMDbNn/view?usp=sharing" TargetMode="External" /><Relationship Type="http://schemas.openxmlformats.org/officeDocument/2006/relationships/hyperlink" Id="rId143" Target="https://drive.google.com/file/d/1BCviGfLykVX-p1tA3b0306deP3pKMagr/view?usp=drivesdk" TargetMode="External" /><Relationship Type="http://schemas.openxmlformats.org/officeDocument/2006/relationships/hyperlink" Id="rId135" Target="https://drive.google.com/file/d/1Hp0l_qtbxp1JxKJoGatdyuANSzQrpL0I/view?usp=drivesdk" TargetMode="External" /><Relationship Type="http://schemas.openxmlformats.org/officeDocument/2006/relationships/hyperlink" Id="rId110" Target="https://drive.google.com/file/d/1KARuSC5fGx05MuT1wiOQFWNXysBokkQl/view?usp=share_link" TargetMode="External" /><Relationship Type="http://schemas.openxmlformats.org/officeDocument/2006/relationships/hyperlink" Id="rId114" Target="https://drive.google.com/file/d/1sNp3FpjdeOjATZ9nDRRAiXEOqQen9W_p/view?usp=sharing" TargetMode="External" /><Relationship Type="http://schemas.openxmlformats.org/officeDocument/2006/relationships/hyperlink" Id="rId88" Target="https://drive.google.com/file/d/1tUkGW7TRAJ_skWj-UemDVIJnUAsy0ITf/view?usp=drivesdk" TargetMode="External" /><Relationship Type="http://schemas.openxmlformats.org/officeDocument/2006/relationships/hyperlink" Id="rId26" Target="https://tampabay.wateratlas.usf.edu/seagrass-monitoring/" TargetMode="External" /><Relationship Type="http://schemas.openxmlformats.org/officeDocument/2006/relationships/hyperlink" Id="rId22" Target="https://www.researchsquare.com/article/rs-3528678/v1" TargetMode="External" /><Relationship Type="http://schemas.openxmlformats.org/officeDocument/2006/relationships/hyperlink" Id="rId127"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84" Target="https://CRAN.R-project.org/package=SPEI" TargetMode="External" /><Relationship Type="http://schemas.openxmlformats.org/officeDocument/2006/relationships/hyperlink" Id="rId90" Target="https://CRAN.R-project.org/package=rnoaa" TargetMode="External" /><Relationship Type="http://schemas.openxmlformats.org/officeDocument/2006/relationships/hyperlink" Id="rId145" Target="https://data-swfwmd.opendata.arcgis.com/datasets/seagrass-in-2022" TargetMode="External" /><Relationship Type="http://schemas.openxmlformats.org/officeDocument/2006/relationships/hyperlink" Id="rId86" Target="https://doi.org/10.1002/joc.3887" TargetMode="External" /><Relationship Type="http://schemas.openxmlformats.org/officeDocument/2006/relationships/hyperlink" Id="rId150" Target="https://doi.org/10.1002/lol2.10098" TargetMode="External" /><Relationship Type="http://schemas.openxmlformats.org/officeDocument/2006/relationships/hyperlink" Id="rId148" Target="https://doi.org/10.1002/nt.2620020503" TargetMode="External" /><Relationship Type="http://schemas.openxmlformats.org/officeDocument/2006/relationships/hyperlink" Id="rId154" Target="https://doi.org/10.1007/978-0-387-21706-2" TargetMode="External" /><Relationship Type="http://schemas.openxmlformats.org/officeDocument/2006/relationships/hyperlink" Id="rId161" Target="https://doi.org/10.1007/978-0-387-87458-6" TargetMode="External" /><Relationship Type="http://schemas.openxmlformats.org/officeDocument/2006/relationships/hyperlink" Id="rId116" Target="https://doi.org/10.1007/bf02691700" TargetMode="External" /><Relationship Type="http://schemas.openxmlformats.org/officeDocument/2006/relationships/hyperlink" Id="rId100" Target="https://doi.org/10.1007/s00267-005-0079-4" TargetMode="External" /><Relationship Type="http://schemas.openxmlformats.org/officeDocument/2006/relationships/hyperlink" Id="rId78" Target="https://doi.org/10.1007/s12237-019-00619-w" TargetMode="External" /><Relationship Type="http://schemas.openxmlformats.org/officeDocument/2006/relationships/hyperlink" Id="rId159" Target="https://doi.org/10.1016/0304-3770(75)90016-9" TargetMode="External" /><Relationship Type="http://schemas.openxmlformats.org/officeDocument/2006/relationships/hyperlink" Id="rId129" Target="https://doi.org/10.1016/j.dsr2.2023.105321" TargetMode="External" /><Relationship Type="http://schemas.openxmlformats.org/officeDocument/2006/relationships/hyperlink" Id="rId138" Target="https://doi.org/10.1016/j.ecolind.2020.107310" TargetMode="External" /><Relationship Type="http://schemas.openxmlformats.org/officeDocument/2006/relationships/hyperlink" Id="rId98" Target="https://doi.org/10.1016/j.ecss.2014.10.003" TargetMode="External" /><Relationship Type="http://schemas.openxmlformats.org/officeDocument/2006/relationships/hyperlink" Id="rId118" Target="https://doi.org/10.1016/j.ecss.2022.108134" TargetMode="External" /><Relationship Type="http://schemas.openxmlformats.org/officeDocument/2006/relationships/hyperlink" Id="rId92" Target="https://doi.org/10.1016/j.jenvman.2018.01.025" TargetMode="External" /><Relationship Type="http://schemas.openxmlformats.org/officeDocument/2006/relationships/hyperlink" Id="rId96" Target="https://doi.org/10.1016/j.marpolbul.2010.11.017" TargetMode="External" /><Relationship Type="http://schemas.openxmlformats.org/officeDocument/2006/relationships/hyperlink" Id="rId74" Target="https://doi.org/10.1016/j.marpolbul.2022.113598" TargetMode="External" /><Relationship Type="http://schemas.openxmlformats.org/officeDocument/2006/relationships/hyperlink" Id="rId157" Target="https://doi.org/10.1016/j.marpolbul.2023.115043" TargetMode="External" /><Relationship Type="http://schemas.openxmlformats.org/officeDocument/2006/relationships/hyperlink" Id="rId70" Target="https://doi.org/10.1016/j.ocecoaman.2023.106929" TargetMode="External" /><Relationship Type="http://schemas.openxmlformats.org/officeDocument/2006/relationships/hyperlink" Id="rId80" Target="https://doi.org/10.1016/j.scitotenv.2021.149927" TargetMode="External" /><Relationship Type="http://schemas.openxmlformats.org/officeDocument/2006/relationships/hyperlink" Id="rId106" Target="https://doi.org/10.1029/wr018i001p00107" TargetMode="External" /><Relationship Type="http://schemas.openxmlformats.org/officeDocument/2006/relationships/hyperlink" Id="rId104" Target="https://doi.org/10.1073/pnas.2220678120" TargetMode="External" /><Relationship Type="http://schemas.openxmlformats.org/officeDocument/2006/relationships/hyperlink" Id="rId108" Target="https://doi.org/10.1101/sqb.1957.022.01.039" TargetMode="External" /><Relationship Type="http://schemas.openxmlformats.org/officeDocument/2006/relationships/hyperlink" Id="rId152" Target="https://doi.org/10.1146/annurev.es.03.110172.000543" TargetMode="External" /><Relationship Type="http://schemas.openxmlformats.org/officeDocument/2006/relationships/hyperlink" Id="rId141" Target="https://doi.org/10.1353/sgo.2017.0026" TargetMode="External" /><Relationship Type="http://schemas.openxmlformats.org/officeDocument/2006/relationships/hyperlink" Id="rId72" Target="https://doi.org/10.18637/jss.v067.i01" TargetMode="External" /><Relationship Type="http://schemas.openxmlformats.org/officeDocument/2006/relationships/hyperlink" Id="rId82" Target="https://doi.org/10.21105/joss.03485" TargetMode="External" /><Relationship Type="http://schemas.openxmlformats.org/officeDocument/2006/relationships/hyperlink" Id="rId123" Target="https://doi.org/10.2307/1932688" TargetMode="External" /><Relationship Type="http://schemas.openxmlformats.org/officeDocument/2006/relationships/hyperlink" Id="rId102" Target="https://doi.org/10.3354/meps11923" TargetMode="External" /><Relationship Type="http://schemas.openxmlformats.org/officeDocument/2006/relationships/hyperlink" Id="rId132" Target="https://doi.org/10.3354/meps322099" TargetMode="External" /><Relationship Type="http://schemas.openxmlformats.org/officeDocument/2006/relationships/hyperlink" Id="rId76" Target="https://doi.org/10.3389/fevo.2023.1070266" TargetMode="External" /><Relationship Type="http://schemas.openxmlformats.org/officeDocument/2006/relationships/hyperlink" Id="rId121" Target="https://doi.org/10.3389/fmars.2021.769877" TargetMode="External" /><Relationship Type="http://schemas.openxmlformats.org/officeDocument/2006/relationships/hyperlink" Id="rId94" Target="https://doi.org/10.3389/fpls.2021.612947" TargetMode="External" /><Relationship Type="http://schemas.openxmlformats.org/officeDocument/2006/relationships/hyperlink" Id="rId125" Target="https://drive.google.com/file/d/1-1Jq9vly5EvVwEp698brlBucXjSMDbNn/view?usp=sharing" TargetMode="External" /><Relationship Type="http://schemas.openxmlformats.org/officeDocument/2006/relationships/hyperlink" Id="rId143" Target="https://drive.google.com/file/d/1BCviGfLykVX-p1tA3b0306deP3pKMagr/view?usp=drivesdk" TargetMode="External" /><Relationship Type="http://schemas.openxmlformats.org/officeDocument/2006/relationships/hyperlink" Id="rId135" Target="https://drive.google.com/file/d/1Hp0l_qtbxp1JxKJoGatdyuANSzQrpL0I/view?usp=drivesdk" TargetMode="External" /><Relationship Type="http://schemas.openxmlformats.org/officeDocument/2006/relationships/hyperlink" Id="rId110" Target="https://drive.google.com/file/d/1KARuSC5fGx05MuT1wiOQFWNXysBokkQl/view?usp=share_link" TargetMode="External" /><Relationship Type="http://schemas.openxmlformats.org/officeDocument/2006/relationships/hyperlink" Id="rId114" Target="https://drive.google.com/file/d/1sNp3FpjdeOjATZ9nDRRAiXEOqQen9W_p/view?usp=sharing" TargetMode="External" /><Relationship Type="http://schemas.openxmlformats.org/officeDocument/2006/relationships/hyperlink" Id="rId88" Target="https://drive.google.com/file/d/1tUkGW7TRAJ_skWj-UemDVIJnUAsy0ITf/view?usp=drivesdk" TargetMode="External" /><Relationship Type="http://schemas.openxmlformats.org/officeDocument/2006/relationships/hyperlink" Id="rId26" Target="https://tampabay.wateratlas.usf.edu/seagrass-monitoring/" TargetMode="External" /><Relationship Type="http://schemas.openxmlformats.org/officeDocument/2006/relationships/hyperlink" Id="rId22" Target="https://www.researchsquare.com/article/rs-3528678/v1" TargetMode="External" /><Relationship Type="http://schemas.openxmlformats.org/officeDocument/2006/relationships/hyperlink" Id="rId127"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dc:creator>
  <cp:keywords/>
  <dcterms:created xsi:type="dcterms:W3CDTF">2023-12-01T19:04:59Z</dcterms:created>
  <dcterms:modified xsi:type="dcterms:W3CDTF">2023-12-01T19:04:59Z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institutes">
    <vt:lpwstr/>
  </property>
  <property fmtid="{D5CDD505-2E9C-101B-9397-08002B2CF9AE}" pid="11" name="labels">
    <vt:lpwstr/>
  </property>
  <property fmtid="{D5CDD505-2E9C-101B-9397-08002B2CF9AE}" pid="12" name="toc-title">
    <vt:lpwstr>Table of contents</vt:lpwstr>
  </property>
</Properties>
</file>