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57.png" ContentType="image/png"/>
  <Override PartName="/word/media/rId41.png" ContentType="image/png"/>
  <Override PartName="/word/media/rId53.png" ContentType="image/png"/>
  <Override PartName="/word/media/rId61.png" ContentType="image/png"/>
  <Override PartName="/word/media/rId45.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Climate change is an existential threat to environmental resources that sustain human health and the environment. In Tampa Bay, Florida (USA), seagrass coverage has declined since 2016 by nearly a third (11,518 acres), despite sustained reductions of nitrogen loads supportive of light environments for growth. Changing physical conditions related to climate change may be stressing seagrasses beyond their optimal growth ranges, requiring an assessment to determine if this decline can be linked to climate stress. Three datasets of varying sample design and coverage were evaluated to characterize physical environments in Tampa Bay and the potential relationships with seagrass change. Over the last fifty years, Tampa Bay has become hotter and fresher with water temperature increasing by 0.03 - 0.07</w:t>
      </w:r>
      <w:r>
        <w:t xml:space="preserve"> </w:t>
      </w:r>
      <m:oMath>
        <m:sSup>
          <m:e>
            <m:r>
              <m:t>​</m:t>
            </m:r>
          </m:e>
          <m:sup>
            <m:r>
              <m:rPr>
                <m:sty m:val="p"/>
              </m:rPr>
              <m:t>∘</m:t>
            </m:r>
          </m:sup>
        </m:sSup>
      </m:oMath>
      <w:r>
        <w:t xml:space="preserve">C per year and salinity decreasing by 0.04 - 0.2 ppt per year. These changes varied spatially and seasonally, with the most dramatic changes observed in the upper bay segments during the summer months. Simple linear models provided limited evidence that the recent seagrass decline is associated with hotter and fresher conditions. Trends in warming and increased precipitation in the region will continue, further creating suboptimal conditions for seagrasses in Tampa Bay. These results provide a motivating example for resource managers to consider the likelihood of reduced resilience of estuarine resources due to shifting ecological baselines from climate change. Conventional management approaches that focus on limiting nutrient loads should be continued, but the effectiveness may be limited and additional actions will be needed to maintain ecosystem health in the future.</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at a global scale. Seagrasses are fundamental indicators of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if not more, than other critical coastal environments</w:t>
      </w:r>
      <w:r>
        <w:t xml:space="preserve"> </w:t>
      </w:r>
      <w:r>
        <w:t xml:space="preserve">(Duarte et al. 2008)</w:t>
      </w:r>
      <w:r>
        <w:t xml:space="preserve">, which represents an existential threat to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Orth et al. 2006; Burkholder et al. 2007)</w:t>
      </w:r>
      <w:r>
        <w:t xml:space="preserve">, whereas natural disturbances such as storm events and disease have also been implicated</w:t>
      </w:r>
      <w:r>
        <w:t xml:space="preserve"> </w:t>
      </w:r>
      <w:r>
        <w:t xml:space="preserve">(Robblee et al. 1991; Tomasko et al. 2020)</w:t>
      </w:r>
      <w:r>
        <w:t xml:space="preserve">. Management actions and interventions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stressed environments requires management actions that create supportive conditions for growth. A long-standing approach adopted by numerous management entities has been the control of nutrient inputs in systems where excessive phytoplankton growth has created poor light environments for seagrasses</w:t>
      </w:r>
      <w:r>
        <w:t xml:space="preserve"> </w:t>
      </w:r>
      <w:r>
        <w:t xml:space="preserve">(Boesch et al. 2001; Greening and Janicki 2006; Greening et al.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nutrients.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Costly alternative management actions, in addition to nutrient reductions, are needed in these situations. Management actions are much more effective in estuaries that are stressed but not past critical thresholds that define an alternative state.</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increasing temperature and alteration of precipitation patterns. These changes will profoundly alter physical habitats, creating suboptimal or uninhabitable conditions for many species</w:t>
      </w:r>
      <w:r>
        <w:t xml:space="preserve"> </w:t>
      </w:r>
      <w:r>
        <w:t xml:space="preserve">(Madeira et al. 2012; Lefcheck et al. 2017;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effects of decreased water clarity for seagrasses in shallow habitats were exacerbated by acute warming related to climate change, demonstrating a concerning synergy of multiple stressors. Species shifts are also expected to occur as changing physical conditions decrease the competitive advantages of historically abundant species. Again in Chesapeake Bay, the abundance of widgeongrass (</w:t>
      </w:r>
      <w:r>
        <w:rPr>
          <w:iCs/>
          <w:i/>
        </w:rPr>
        <w:t xml:space="preserve">Ruppia maritima</w:t>
      </w:r>
      <w:r>
        <w:t xml:space="preserve">) has been mediated by nutrient reductions, while also outcompeting and replacing formerly dominant eelgrass (</w:t>
      </w:r>
      <w:r>
        <w:rPr>
          <w:iCs/>
          <w:i/>
        </w:rPr>
        <w:t xml:space="preserve">Zostera marina</w:t>
      </w:r>
      <w:r>
        <w:t xml:space="preserve">) given higher tolerance to increased temperatures</w:t>
      </w:r>
      <w:r>
        <w:t xml:space="preserve"> </w:t>
      </w:r>
      <w:r>
        <w:t xml:space="preserve">(Hensel et al. 2023)</w:t>
      </w:r>
      <w:r>
        <w:t xml:space="preserve">. Changing frequency and severity of precipitation patterns may further alter the distribution and abundance of seagrasses by pushing species outside of optimal salinity tolerance ranges</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Seagrasses may respond differently under individual or multiple stressors</w:t>
      </w:r>
      <w:r>
        <w:t xml:space="preserve"> </w:t>
      </w:r>
      <w:r>
        <w:t xml:space="preserve">(Lefcheck et al. 2017; Zhang et al. 2023)</w:t>
      </w:r>
      <w:r>
        <w:t xml:space="preserve">, suggesting place-based assessments of response to climate change provide valuable insights for managers responsible for maintaining ecological resources.</w:t>
      </w:r>
    </w:p>
    <w:p>
      <w:pPr>
        <w:pStyle w:val="BodyText"/>
      </w:pPr>
      <w:r>
        <w:t xml:space="preserve">In Tampa Bay, Florida, seagrasses are a primary indicator of bay health that have been the focus of management efforts over the last thirty years</w:t>
      </w:r>
      <w:r>
        <w:t xml:space="preserve"> </w:t>
      </w:r>
      <w:r>
        <w:t xml:space="preserve">(Sherwood et al. 2017)</w:t>
      </w:r>
      <w:r>
        <w:t xml:space="preserve">. Through successful reduction of nitrogen loads by 2/3 pre-regulation, seagrasses have recovered from a low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 with adequate light penetration that has been historically shown to support growth</w:t>
      </w:r>
      <w:r>
        <w:t xml:space="preserve"> </w:t>
      </w:r>
      <w:r>
        <w:t xml:space="preserve">(Janicki and Wade 1996; Beck 2020a)</w:t>
      </w:r>
      <w:r>
        <w:t xml:space="preserve">. Factors that have influenced this recent decline are unknown and the effects of climate change on physical conditions have been implicated as potential drivers.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and to develop models that can explain relationships of seagrass change with water quality conditions.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sample design and temporal coverage were used to assess the primary hypothesis that conditions in Tampa Bay are trending towards hotter and fresher conditions that are likely pushing seagrasses beyond their optimal tolerance ranges. This analysis was supported by 30-year seagrass datasets describing approximate biennial coverage of all seagrasses, annual transect monitoring describing cover of individual species, and synoptic seagrass data collected with the water quality surveys. Specific focus was on the periods prior to and after 2016, when seagrasses recovered baywide and then declined despite water quality conditions remaining relatively stable. Our primary goal was to relate recent seagrass changes to climate stressors to provide a motivating example for the management community in the Tampa Bay region that a shifting ecological baseline presents new challenges beyond the known success story of long-term bay recovery. The results are also provided as a cautionary example of the subtle but increasing role of climate-related stressors on the resiliency of estuarine systems at the tropical-temperate boundary, prompting a reassessment of existing management paradigms to accommodate current and anticipated future conditions.</w:t>
      </w:r>
    </w:p>
    <w:bookmarkEnd w:id="22"/>
    <w:bookmarkStart w:id="33"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tropical and temperate boundary of central Florida characterized by warm, humid conditions and a distinct rainy season during the summer. The watershed is heavily developed and includes over 3 million people 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 Important subtidal habitats include seagrasses, hard bottom, tidal flats, and oyster reefs, where a majority of management efforts have historically focused on restoring and maintaining seagrass cover</w:t>
      </w:r>
      <w:r>
        <w:t xml:space="preserve"> </w:t>
      </w:r>
      <w:r>
        <w:t xml:space="preserve">(Sherwood et al. 2017)</w:t>
      </w:r>
      <w:r>
        <w:t xml:space="preserve">. Additional native habitats include intertidal wetlands (mangroves, salt marshes, salt barrens)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(Figure</w:t>
      </w:r>
      <w:r>
        <w:t xml:space="preserve"> </w:t>
      </w:r>
      <w:hyperlink w:anchor="fig-seagrasschg">
        <w:r>
          <w:rPr>
            <w:rStyle w:val="Hyperlink"/>
          </w:rPr>
          <w:t xml:space="preserve">2</w:t>
        </w:r>
      </w:hyperlink>
      <w:r>
        <w:t xml:space="preserve">a). Throughout this same period,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(Greening et al. 2014; Beck et al. 2019)</w:t>
      </w:r>
      <w:r>
        <w:t xml:space="preserve">. These reductions in nutrient loadings resulted in large scale reductions in chlorophyll concentrations and light attenuation in the water column, creating favorable environments for seagrass growth. The most dramatic improvements in seagrass cover were observed in Old Tampa Bay where coverage increased by 122% or 4,465 acres (2,477 ha) from 1988 estimates to a total of 11,247 acres (4,511 ha).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from the 2016 peak by 11,518 acres (4,661 ha) to a total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by photointerpretation of aerial images obtained at the end of the growing season, typically during November-December. No species information is provided. A more detailed, but spatially-specific, data source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abundance, cover, frequency occurrence, and condition, collected at fixed meter marks along a transect extending from the shoreline to the deepwater edge of the seagrass bed. Although the areal maps provide the standard for assessment of restoration goals, the transect data allow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(Figure</w:t>
      </w:r>
      <w:r>
        <w:t xml:space="preserve"> </w:t>
      </w:r>
      <w:hyperlink w:anchor="fig-map">
        <w:r>
          <w:rPr>
            <w:rStyle w:val="Hyperlink"/>
          </w:rPr>
          <w:t xml:space="preserve">1</w:t>
        </w:r>
      </w:hyperlink>
      <w:r>
        <w:t xml:space="preserve">b). These data are used for regulatory assessments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of physical parameters (e.g., salinity, temperature) collected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at different sites sampled each month. We used data from the 21.3 meter center-bag nearshore seine that targets shallow habitats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by request.</w:t>
      </w:r>
    </w:p>
    <w:p>
      <w:pPr>
        <w:pStyle w:val="BodyText"/>
      </w:pPr>
      <w:r>
        <w:t xml:space="preserve">The third and final dataset evaluated was from the Pinellas County Department of Environmental Management (PDEM). Surface waters in Pinellas County have been monitored since the 1990s, although a consistent stratified random sampling designed has been used in Tampa Bay since 2003 primarily to support robust statistical assessments for NPDES reporting. Data were obtained by request to PDEM staff for the western portion of Old Tampa Bay where sampling occurs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for analysis.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For comparison to water quality conditions,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each year for each bay segment. Linear trends for these data were evaluated based on averages of all stations and months within each year and bay segment, which allowed for comparable statistical power between datasets with different sample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The change per year was also evaluated for each parameter based on the slope estimates returned by each test.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 All tests evaluated both surface and bottom measurements to assess potential differences by water depth.</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with particular attention on differences between bay segments and the time periods before and after 2016 (pre/post seagrass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The smoothing spline for decimal year had sufficient knots to capture the seasonal signal within each year and the long-term inter-annual trends. Model fit for each station was sufficient to calculate daily predictions to assess potential stressor metrics (see supplement, R</w:t>
      </w:r>
      <m:oMath>
        <m:sSup>
          <m:e>
            <m:r>
              <m:t>​</m:t>
            </m:r>
          </m:e>
          <m:sup>
            <m:r>
              <m:t>2</m:t>
            </m:r>
          </m:sup>
        </m:sSup>
      </m:oMath>
      <w:r>
        <w:t xml:space="preserve"> </w:t>
      </w:r>
      <w:r>
        <w:t xml:space="preserve">ranged from 0.85 to 0.95 for temperature models, 0.71 to 0.96 for salinity models).</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31"/>
    <w:bookmarkStart w:id="32" w:name="links-to-seagrass"/>
    <w:p>
      <w:pPr>
        <w:pStyle w:val="Heading3"/>
      </w:pPr>
      <w:r>
        <w:t xml:space="preserve">2.7 Links to seagrass</w:t>
      </w:r>
    </w:p>
    <w:p>
      <w:pPr>
        <w:pStyle w:val="FirstParagraph"/>
      </w:pPr>
      <w:r>
        <w:t xml:space="preserve">For comparison to seagrass, the annual metrics were referenced to approximate periods of time between the annual seagrass transect surveys, as opposed to the calendar year for describing trends. Transect surveys are typically done in the fall at the end of the growing season. The average sampling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together and another with the both metric given that the latter was a combined metric of the former.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(no bay segment interaction) and the seagrass response variable was presence/absence (i.e., a binomial distribution was used) to model the probability of observing seagrass. Model input data were further subset to include only months from July to November to describe seagrasses during the growing season and to reduce potential seasonal effects.</w:t>
      </w:r>
    </w:p>
    <w:bookmarkEnd w:id="32"/>
    <w:bookmarkEnd w:id="33"/>
    <w:bookmarkStart w:id="37" w:name="results"/>
    <w:p>
      <w:pPr>
        <w:pStyle w:val="Heading2"/>
      </w:pPr>
      <w:r>
        <w:t xml:space="preserve">3 Results</w:t>
      </w:r>
    </w:p>
    <w:bookmarkStart w:id="34" w:name="temperature-and-salinity-trends"/>
    <w:p>
      <w:pPr>
        <w:pStyle w:val="Heading3"/>
      </w:pPr>
      <w:r>
        <w:t xml:space="preserve">3.1 Temperature and salinity trends</w:t>
      </w:r>
    </w:p>
    <w:p>
      <w:pPr>
        <w:pStyle w:val="FirstParagraph"/>
      </w:pPr>
      <w:r>
        <w:t xml:space="preserve">Long-term meteorological data from Tampa International Airport showed significantly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has increased by 6.45 mm per year (p &lt; 0.05,</w:t>
      </w:r>
      <w:r>
        <w:t xml:space="preserve"> </w:t>
      </w:r>
      <m:oMath>
        <m:sSup>
          <m:e>
            <m:r>
              <m:t>R</m:t>
            </m:r>
          </m:e>
          <m:sup>
            <m:r>
              <m:t>2</m:t>
            </m:r>
          </m:sup>
        </m:sSup>
      </m:oMath>
      <w:r>
        <w:t xml:space="preserve"> </w:t>
      </w:r>
      <w:r>
        <w:t xml:space="preserve">0.11). Total precipitation in 1975 was 1072.4 (+/-67.68 st. err.) mm, whereas current total precipitation in 2022 was 1375.7 (+/-67.68 st. err.) mm, showing an overall increase in the period of record of 303.3 mm. Trends in total annual hydrologic load from 1985 to present followed total annual precipitation, although the linear model was not significant likely due to a shorter period of record. The SPI showed notable anomalies in precipitation, with pronounced rainy periods in the early 1980s, late 1990s, 2005, and the last ten years.</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w:t>
      </w:r>
      <w:r>
        <w:t xml:space="preserve"> </w:t>
      </w:r>
      <w:hyperlink w:anchor="tbl-temptrndtab">
        <w:r>
          <w:rPr>
            <w:rStyle w:val="Hyperlink"/>
          </w:rPr>
          <w:t xml:space="preserve">Table 1</w:t>
        </w:r>
      </w:hyperlink>
      <w:r>
        <w:t xml:space="preserve">,</w:t>
      </w:r>
      <w:r>
        <w:t xml:space="preserve"> </w:t>
      </w:r>
      <w:hyperlink w:anchor="tbl-saltrndtab">
        <w:r>
          <w:rPr>
            <w:rStyle w:val="Hyperlink"/>
          </w:rPr>
          <w:t xml:space="preserve">Table 2</w:t>
        </w:r>
      </w:hyperlink>
      <w:r>
        <w:t xml:space="preserve">, figures in supplement).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 and minimal stratification in Tampa Bay (</w:t>
      </w:r>
      <w:hyperlink w:anchor="fig-meteowqraw">
        <w:r>
          <w:rPr>
            <w:rStyle w:val="Hyperlink"/>
          </w:rPr>
          <w:t xml:space="preserve">Figure 4</w:t>
        </w:r>
      </w:hyperlink>
      <w:r>
        <w:t xml:space="preserve">). Trends in water temperature were similar across bay segments with significant increases varying from 0.03 to 0.04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similar between bay segments, although overall salinity was of course higher for bay segments closer to the Gulf of Mexico. Only Old Tampa Bay and Lower Tampa Bay had significantly decreasing trends, with decreases of 0.06 (OTB) and 0.04 (LTB) ppt per year, with a total decrease of 2.7 (OTB) and 2.0 (LTB) ppt from 1975 to present. As expected, intra-annual variability of water temperature was much higher than salinity following the larger seasonal variation in temperature (</w:t>
      </w:r>
      <w:hyperlink w:anchor="fig-meteowqraw">
        <w:r>
          <w:rPr>
            <w:rStyle w:val="Hyperlink"/>
          </w:rPr>
          <w:t xml:space="preserve">Figure 4</w:t>
        </w:r>
      </w:hyperlink>
      <w:r>
        <w:t xml:space="preserve">). This variation may also be related to differences among the monitoring stations in each segment because the averages combine monthly and spatial variation. 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(see figures in supplement).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All stations had significantly increasing temperature and decreasing salinity from 1975 to present in both the top and bottom of the water column, excluding one station in HB that did not have significantly decreasing bottom salinity (Figure</w:t>
      </w:r>
      <w:r>
        <w:t xml:space="preserve"> </w:t>
      </w:r>
      <w:hyperlink w:anchor="fig-kendall">
        <w:r>
          <w:rPr>
            <w:rStyle w:val="Hyperlink"/>
          </w:rPr>
          <w:t xml:space="preserve">5</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5</w:t>
        </w:r>
      </w:hyperlink>
      <w:r>
        <w:t xml:space="preserve">b, c), although some variation was observed between bay segments. Temperature trends were more often observed in the summer,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 Again, differences between top or bottom salinity trends were not observed.</w:t>
      </w:r>
    </w:p>
    <w:bookmarkEnd w:id="34"/>
    <w:bookmarkStart w:id="35" w:name="stressor-metrics"/>
    <w:p>
      <w:pPr>
        <w:pStyle w:val="Heading3"/>
      </w:pPr>
      <w:r>
        <w:t xml:space="preserve">3.2 Stressor metrics</w:t>
      </w:r>
    </w:p>
    <w:p>
      <w:pPr>
        <w:pStyle w:val="FirstParagraph"/>
      </w:pPr>
      <w:r>
        <w:t xml:space="preserve">Linear mixed-effects models showed varying trends in the potential stressor metrics for the number of days when temperature was above, salinity was below, or both occurred relative to different thresholds. All of the temperature models for each of the three thresholds (29, 30, 31</w:t>
      </w:r>
      <w:r>
        <w:t xml:space="preserve"> </w:t>
      </w:r>
      <m:oMath>
        <m:sSup>
          <m:e>
            <m:r>
              <m:t>​</m:t>
            </m:r>
          </m:e>
          <m:sup>
            <m:r>
              <m:rPr>
                <m:sty m:val="p"/>
              </m:rPr>
              <m:t>∘</m:t>
            </m:r>
          </m:sup>
        </m:sSup>
      </m:oMath>
      <w:r>
        <w:t xml:space="preserve">C)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(see supplement). The estimated slopes for the number of days when temperature was above 30</w:t>
      </w:r>
      <w:r>
        <w:t xml:space="preserve"> </w:t>
      </w:r>
      <m:oMath>
        <m:sSup>
          <m:e>
            <m:r>
              <m:t>​</m:t>
            </m:r>
          </m:e>
          <m:sup>
            <m:r>
              <m:rPr>
                <m:sty m:val="p"/>
              </m:rPr>
              <m:t>∘</m:t>
            </m:r>
          </m:sup>
        </m:sSup>
      </m:oMath>
      <w:r>
        <w:t xml:space="preserve">C were similar among bay segments, varying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w:t>
      </w:r>
    </w:p>
    <w:p>
      <w:pPr>
        <w:pStyle w:val="BodyText"/>
      </w:pPr>
      <w:r>
        <w:t xml:space="preserve">The salinity models were less similar between bay segments compared to the temperature models, primarily because of the natural variation in salinity along the bay’s longitudinal axis (see supplement). None of the bay segments had significantly increasing number of days per year when salinity was below 15 ppt. For MTB, only the number of days when salinity was below 25 ppt was significantly increasing at a rate of 0.7 days per year. Both HB and OTB had significantly increasing number of days per year when salinity was below 20 and 25 ppt, although the slopes varied such that the rates in OTB were nearly double those in HB. The number of days per year when salinity was below 25 ppt in OTB increased by 2 days per year, whereas the number of days in HB increased by 0.9 days per year from 1975 to present. Likewise, the average number of days per year when salinity was continuously below 25 ppt at the beginning and end of the period of record was 128 (OTB) and 131 (HB) days in 1975 and 171 (HB) and 219 (OTB) days in 2022.</w:t>
      </w:r>
    </w:p>
    <w:p>
      <w:pPr>
        <w:pStyle w:val="BodyText"/>
      </w:pPr>
      <w:r>
        <w:t xml:space="preserve">The number of days when both temperature was above a threshold and salinity was below a threshold also varied by bay segment. Four models were significant for OTB, seven for HB, four for MTB, and none for LTB.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34 days in 2022 for OTB, HB, and MTB, respectively.</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when temperature was above 30</w:t>
      </w:r>
      <m:oMath>
        <m:sSup>
          <m:e>
            <m:r>
              <m:t>​</m:t>
            </m:r>
          </m:e>
          <m:sup>
            <m:r>
              <m:rPr>
                <m:sty m:val="p"/>
              </m:rPr>
              <m:t>∘</m:t>
            </m:r>
          </m:sup>
        </m:sSup>
      </m:oMath>
      <w:r>
        <w:t xml:space="preserve">, salinity was below 25 ppt, and when both occurred. Temperature trends were similar among segments, whereas the number of days when salinity was below the threshold varied by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with the slopes varying by bay segment.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develop models and the chosen thresholds were based primarily on statistical considerations. The thresholds likely have minimal ecological significance, but rather provide a useful metric for tracking physical changes in the water column that are likely correlated with seagrass change.</w:t>
      </w:r>
    </w:p>
    <w:bookmarkEnd w:id="35"/>
    <w:bookmarkStart w:id="36" w:name="seagrass-response"/>
    <w:p>
      <w:pPr>
        <w:pStyle w:val="Heading3"/>
      </w:pPr>
      <w:r>
        <w:t xml:space="preserve">3.3 Seagrass response</w:t>
      </w:r>
    </w:p>
    <w:p>
      <w:pPr>
        <w:pStyle w:val="FirstParagraph"/>
      </w:pPr>
      <w:r>
        <w:t xml:space="preserve">Linear models to assess the potential effects of temperature and salinity on seagrass changes provided modest evidence that seagrass loss after 2016 was driven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shape of the relationship of temperature with time period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6"/>
    <w:bookmarkEnd w:id="37"/>
    <w:bookmarkStart w:id="39"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w:t>
      </w:r>
      <w:r>
        <w:t xml:space="preserve"> </w:t>
      </w:r>
      <w:r>
        <w:t xml:space="preserve">(Osland et al. 2015; Oliver et al. 2018)</w:t>
      </w:r>
      <w:r>
        <w:t xml:space="preserve">. At a local scale, these changes have been demonstrated herein for Tampa Bay where the evaluation of long-term trends in water temperature and salinity showed clear changes mirrored by long-term changes in air temperature and precipitation. Over the previous fifty years, the Bay has consistently trended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EPC dataset with the longest period of record covering nearly fifty years of monthly observations, with the most dramatic changes occurring during the summer rainy season at locations farther from the mouth of the Bay. These long-term changes manifested into consistent trends in the stressor metrics, where the continuous number of days each year when temperature was above, salinity was below, or both crossed thresholds showed consistent increases across the period of record. Notably, bottom and surface trends for water temperature and salinity in the EPC dataset were similar, suggesting that any potential stress on biotic resources related to these factors are likely occurring throughout the water column.</w:t>
      </w:r>
    </w:p>
    <w:p>
      <w:pPr>
        <w:pStyle w:val="BodyText"/>
      </w:pPr>
      <w:r>
        <w:t xml:space="preserve">Similar regional, long-term changes in coastal waters and estuaries have been observed by others</w:t>
      </w:r>
      <w:r>
        <w:t xml:space="preserve"> </w:t>
      </w:r>
      <w:r>
        <w:t xml:space="preserve">(Nickerson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for Tampa Bay (the EPC dataset was also used), although the power to detect trends decreased for shorter time periods, as verified herein with the FIM and PDEM datasets.</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OTB and HB segments.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 larger spatial area. These differences are understandable given the analysis goals and methods for data synthesis.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w:t>
      </w:r>
    </w:p>
    <w:p>
      <w:pPr>
        <w:pStyle w:val="BodyText"/>
      </w:pPr>
      <w:r>
        <w:t xml:space="preserve">Our relatively simple modeling approach provided some evidence that climate-related stressors can explain the recent loss in seagrass in Tampa Bay. The models did not provide a consistent, nor statistically powerful, explanation that increasing temperature and decreasing salinity were key drivers. However, evaluating all models together does suggest a pattern that demonstrates the value of considering multiple datasets and models to explain noisy ecological patterns. Model results for the EPC and FIM datasets both suggested that increasing temperature and decreasing salinity were associated with potential seagrass loss post-2016,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was observed post-2016 as compared to pre-2016 where frequency occurrence of seagrass declined with the increasing number of days when salinity was below 25 ppt. Likewise, the FIM models had a significant interaction term for the association of the temperature with time period and a marginally significant interaction term for the association of salinity with time period, such that percent cover of seagrasses showed a decline with increasing temperature and decreasing salinity post-2016. An important distinction between the EPC and FIM models is that the former evaluated the number of days above/below thresholds each year to quantify increases in annual stress associated with temperature and salinity,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programs. These differences highlight challenges describing noisy relationships in long-term ecological datasets, while also demonstrating the utility of our weight-of-evidence approach to describe these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as shown by the mixed-effects linear models for each bay segment. That is, sufficient change and variation in the independent variables for the models of seagrass change were needed to statistically describe potential relationships. These thresholds are likely not ecologically significant since most of the reported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(i.e., higher temperature, lower salinity),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temperature and salinity suggest that conditions are very likely to become more stressful in the future. Moreover, the GAMs used to model continuous temperature and salinity at each EPC monitoring station likely did not fully describe the current extent of stress given that extreme low or high values were often not captured by the daily predictions (see supplement). Regardless of the above limitations, the role of climate stressors on seagrass change is likely to continue in the future as suggested by our results.</w:t>
      </w:r>
    </w:p>
    <w:p>
      <w:pPr>
        <w:pStyle w:val="BodyText"/>
      </w:pPr>
      <w:r>
        <w:t xml:space="preserve">Additional limitations of our model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nutrients, nitrogen in particular,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Our use of time period (pre-/post-2016) as a categorical variable partially addressed this issue. Modeling seagrass change as related to temperature or salinity for the entire record would have shown a spurious correlation of both with seagrass given the long-term recovery of seagrass. Thus, time period was necessary to control for these confounding relationships. Additionally, light attenuation has been relatively consistent since 2016 and within the limits estimated to be supportive of seagrass growth in Tampa Bay</w:t>
      </w:r>
      <w:r>
        <w:t xml:space="preserve"> </w:t>
      </w:r>
      <w:r>
        <w:t xml:space="preserve">(OTB in particular where the most losses have been seen, Janicki and Wade 1996; Beck 2020a)</w:t>
      </w:r>
      <w:r>
        <w:t xml:space="preserve">. This suggests that other factors are influencing seagrass growth and the inclusion of light attenuation in the models was likely not critical for describing the roles of temperature and salinity. A final consideration for our models relates to how seagrasses may influence their environment, particularly for the EPC and PDEM datasets where temperature and salinity were measured at the same locations as seagrass. For example, temperature may simply be higher in locations where seagrasses are present, i.e., seagrasses may be influencing their environment rather than the environment influencing seagrasses. This explanation cannot be ruled out with the existing datasets, although the trend analyses and models suggest that climate-related stressors driving seagrass loss is a more likely scenario.</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explain the change in Tampa Bay. Based on our results, the losses elsewhere may potentially be explained by temperature and salinity and are worth exploring in other southwest Florida coastal regions and estuaries where long-term datasets exist. Additional factors that could explain these changes are also likely co-occurring with climate stress, some of which are unique to Tampa Bay and others that are likely more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(e.g., Stelling et al. 2023)</w:t>
      </w:r>
      <w:r>
        <w:t xml:space="preserve">.</w:t>
      </w:r>
    </w:p>
    <w:p>
      <w:pPr>
        <w:pStyle w:val="BodyText"/>
      </w:pPr>
      <w:r>
        <w:t xml:space="preserve">Additional biotic factors could be influencing regional patterns in seagrass growth. In Tampa Bay and elsewhere, the presence of macroalgal species and how these may influence seagrass growth and recovery has been a concern</w:t>
      </w:r>
      <w:r>
        <w:t xml:space="preserve"> </w:t>
      </w:r>
      <w:r>
        <w:t xml:space="preserve">(Janicki Environmental, Inc. 2022; Scolaro et al. 2023)</w:t>
      </w:r>
      <w:r>
        <w:t xml:space="preserve">.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w:t>
      </w:r>
      <w:r>
        <w:t xml:space="preserve">, in addition to insufficient data in Tampa Bay to clearly describe growth patterns and nutrient cycling related to macroalgae. Discrete pollutant loading events in Tampa Bay have been documented to promote macroalgae growth</w:t>
      </w:r>
      <w:r>
        <w:t xml:space="preserve"> </w:t>
      </w:r>
      <w:r>
        <w:t xml:space="preserve">(Beck et al. 2022; Scolaro et al. 2023; Tomasko 2023)</w:t>
      </w:r>
      <w:r>
        <w:t xml:space="preserve">, whereas the role of chronic nutrient loading and changing climatic conditions in promoting growth and interactions with seagrasses is less understood, particularly in recent years.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w:t>
      </w:r>
    </w:p>
    <w:p>
      <w:pPr>
        <w:pStyle w:val="BodyText"/>
      </w:pPr>
      <w:r>
        <w:t xml:space="preserve">Lastly, our result showing that salinity has decreased in Tampa Bay is generally contrary to expectations for coastal systems consistent with sea-level rise projections</w:t>
      </w:r>
      <w:r>
        <w:t xml:space="preserve"> </w:t>
      </w:r>
      <w:r>
        <w:t xml:space="preserve">(Alarcon et al. 2024)</w:t>
      </w:r>
      <w:r>
        <w:t xml:space="preserve">. Salinity changes with sea-level rise have caused numerous alterations of subtidal and nearshore habitats</w:t>
      </w:r>
      <w:r>
        <w:t xml:space="preserve"> </w:t>
      </w:r>
      <w:r>
        <w:t xml:space="preserve">(Brinson et al. 1995; White and Kaplan 2017)</w:t>
      </w:r>
      <w:r>
        <w:t xml:space="preserve">. In southwest Florida, the most common ecological example is migration of mangroves upland as porewater salinity and water levels have gradually increased over the past few decades</w:t>
      </w:r>
      <w:r>
        <w:t xml:space="preserve"> </w:t>
      </w:r>
      <w:r>
        <w:t xml:space="preserve">(Borchert et al. 2018)</w:t>
      </w:r>
      <w:r>
        <w:t xml:space="preserve">. Alteration of salinity regimes for surface and groundwater resources are also well documented. In Florida Bay, for example, widespread decline of</w:t>
      </w:r>
      <w:r>
        <w:t xml:space="preserve"> </w:t>
      </w:r>
      <w:r>
        <w:rPr>
          <w:iCs/>
          <w:i/>
        </w:rPr>
        <w:t xml:space="preserve">Thalassia testudinium</w:t>
      </w:r>
      <w:r>
        <w:t xml:space="preserve"> </w:t>
      </w:r>
      <w:r>
        <w:t xml:space="preserve">has been partially attributed to elevated salinity levels beyond the optimal range for the species</w:t>
      </w:r>
      <w:r>
        <w:t xml:space="preserve"> </w:t>
      </w:r>
      <w:r>
        <w:t xml:space="preserve">(Hall et al. 2016)</w:t>
      </w:r>
      <w:r>
        <w:t xml:space="preserve">. Although drought has been implicated in the hypersaline conditions observed in Florida Bay, sea level rise is expected to further alter salinity dynamics in the region.</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suggest that the hydrologic load into the system has had a greater influence on salinity regimes than the effects of sea-level rise. This hypothesis is supported by our assessment of precipitation patterns over time, where the long-term increase is inversely correlated with the decrease in salinity.</w:t>
      </w:r>
    </w:p>
    <w:bookmarkStart w:id="38"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are additively affecting seagrasses, rather than multiplicatively as evidenced by lack of significant interactions of these stressors. Future analyses may show more significant associations between physical habitat conditions and seagrass change as the trends are very likely to continue to push seagrasses further outside of their tolerance ranges. These analyses should be supported by additional data, particularly high-resolution continuous monitoring data that provide a more precise assessment of stress at multiple time-scales.</w:t>
      </w:r>
    </w:p>
    <w:p>
      <w:pPr>
        <w:pStyle w:val="BodyText"/>
      </w:pPr>
      <w:r>
        <w:t xml:space="preserve">Area managers should consider how these climate-related stressors may alter the effectiveness of intervention activities aimed at protecting ecological resources in Tampa Bay. Management actions that have historically been effective may have inadequate capacity to maintain ecosystem status due to changing resilience of ecological resources with climate change. For example, nitrogen load reductions have been effective at restoring Tampa Bay, primarily due to wastewater load allocations considered to be within the nutrient assimilative capacity of Tampa Bay</w:t>
      </w:r>
      <w:r>
        <w:t xml:space="preserve"> </w:t>
      </w:r>
      <w:r>
        <w:t xml:space="preserve">(Greening and Janicki 2006; Greening et al. 2014)</w:t>
      </w:r>
      <w:r>
        <w:t xml:space="preserve">. As Tampa Bay becomes hotter and fresher, similar load allocations may no longer be effectively assimilated. Strategies can be pursued to reduce allowable load inputs from regulated entities and to create additional resilience through more aggressive management strategies (e.g., additional stormwater controls, hydrological modifications). These considerations are especially critical for upper parts of Tampa Bay where a majority of seagrass loss has occurred and where temperature and salinity trends have been most pronounced. Reversal of recent trends may be more likely to occur if aggressive actions and controls are pursued sooner rather than later, given the challenges of restoring degraded systems due to hysteresis.</w:t>
      </w:r>
    </w:p>
    <w:bookmarkEnd w:id="38"/>
    <w:bookmarkEnd w:id="39"/>
    <w:bookmarkStart w:id="40"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Mike Wessel, Ray Pribble, and Dave Tomasko.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hundreds of field and technical staff for collecting and maintaining the valuable long-term monitoring data used in this study.</w:t>
      </w:r>
    </w:p>
    <w:p>
      <w:r>
        <w:br w:type="page"/>
      </w:r>
    </w:p>
    <w:bookmarkEnd w:id="40"/>
    <w:bookmarkStart w:id="69" w:name="figures"/>
    <w:p>
      <w:pPr>
        <w:pStyle w:val="Heading2"/>
      </w:pPr>
      <w:r>
        <w:t xml:space="preserve">Figures</w:t>
      </w:r>
    </w:p>
    <w:tbl>
      <w:tblPr>
        <w:tblStyle w:val="Table"/>
        <w:tblW w:type="pct" w:w="5000"/>
        <w:tblLook w:firstRow="0" w:lastRow="0" w:firstColumn="0" w:lastColumn="0" w:noHBand="0" w:noVBand="0" w:val="0000"/>
        <w:jc w:val="start"/>
      </w:tblPr>
      <w:tblGrid>
        <w:gridCol w:w="7920"/>
      </w:tblGrid>
      <w:tr>
        <w:tc>
          <w:tcPr/>
          <w:bookmarkStart w:id="44" w:name="fig-map"/>
          <w:p>
            <w:pPr>
              <w:jc w:val="center"/>
            </w:pPr>
            <w:r>
              <w:drawing>
                <wp:inline>
                  <wp:extent cx="3899197" cy="6422207"/>
                  <wp:effectExtent b="0" l="0" r="0" t="0"/>
                  <wp:docPr descr="" title="" id="42" name="Picture"/>
                  <a:graphic>
                    <a:graphicData uri="http://schemas.openxmlformats.org/drawingml/2006/picture">
                      <pic:pic>
                        <pic:nvPicPr>
                          <pic:cNvPr descr="figs/map.png" id="43" name="Picture"/>
                          <pic:cNvPicPr>
                            <a:picLocks noChangeArrowheads="1" noChangeAspect="1"/>
                          </pic:cNvPicPr>
                        </pic:nvPicPr>
                        <pic:blipFill>
                          <a:blip r:embed="rId41"/>
                          <a:stretch>
                            <a:fillRect/>
                          </a:stretch>
                        </pic:blipFill>
                        <pic:spPr bwMode="auto">
                          <a:xfrm>
                            <a:off x="0" y="0"/>
                            <a:ext cx="3899197" cy="64222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Tampa Bay and the three datasets used for trend analysis, including (a) bay segments, 2022 seagrass coverage (green), and transect starting points (red), (b) Environmental Protection Commissions (EPC) long-term monitoring sites, (c) Fisheries Independent Monitoring (FIM) random sampling for near-shore seine hauls, and (d) OTB portion of Pinellas County Department of Environmental Management (PDEM) random sampling. OTB: Old Tampa Bay, HB: Hillsborough Bay, MTB: Middle Tampa Bay, LTB: Lower Tampa Bay.</w:t>
            </w:r>
          </w:p>
          <w:bookmarkEnd w:id="44"/>
        </w:tc>
      </w:tr>
    </w:tbl>
    <w:p>
      <w:r>
        <w:br w:type="page"/>
      </w:r>
    </w:p>
    <w:tbl>
      <w:tblPr>
        <w:tblStyle w:val="Table"/>
        <w:tblW w:type="pct" w:w="5000"/>
        <w:tblLook w:firstRow="0" w:lastRow="0" w:firstColumn="0" w:lastColumn="0" w:noHBand="0" w:noVBand="0" w:val="0000"/>
        <w:jc w:val="start"/>
      </w:tblPr>
      <w:tblGrid>
        <w:gridCol w:w="7920"/>
      </w:tblGrid>
      <w:tr>
        <w:tc>
          <w:tcPr/>
          <w:bookmarkStart w:id="48" w:name="fig-seagrasschg"/>
          <w:p>
            <w:pPr>
              <w:jc w:val="center"/>
            </w:pPr>
            <w:r>
              <w:drawing>
                <wp:inline>
                  <wp:extent cx="5943600" cy="4457699"/>
                  <wp:effectExtent b="0" l="0" r="0" t="0"/>
                  <wp:docPr descr="" title="" id="46" name="Picture"/>
                  <a:graphic>
                    <a:graphicData uri="http://schemas.openxmlformats.org/drawingml/2006/picture">
                      <pic:pic>
                        <pic:nvPicPr>
                          <pic:cNvPr descr="figs/seagrasschg.png" id="47" name="Picture"/>
                          <pic:cNvPicPr>
                            <a:picLocks noChangeArrowheads="1" noChangeAspect="1"/>
                          </pic:cNvPicPr>
                        </pic:nvPicPr>
                        <pic:blipFill>
                          <a:blip r:embed="rId45"/>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48"/>
        </w:tc>
      </w:tr>
    </w:tbl>
    <w:p>
      <w:r>
        <w:br w:type="page"/>
      </w:r>
    </w:p>
    <w:tbl>
      <w:tblPr>
        <w:tblStyle w:val="Table"/>
        <w:tblW w:type="pct" w:w="5000"/>
        <w:tblLook w:firstRow="0" w:lastRow="0" w:firstColumn="0" w:lastColumn="0" w:noHBand="0" w:noVBand="0" w:val="0000"/>
        <w:jc w:val="start"/>
      </w:tblPr>
      <w:tblGrid>
        <w:gridCol w:w="7920"/>
      </w:tblGrid>
      <w:tr>
        <w:tc>
          <w:tcPr/>
          <w:bookmarkStart w:id="52" w:name="fig-concept"/>
          <w:p>
            <w:pPr>
              <w:jc w:val="center"/>
            </w:pPr>
            <w:r>
              <w:drawing>
                <wp:inline>
                  <wp:extent cx="4905519" cy="5002796"/>
                  <wp:effectExtent b="0" l="0" r="0" t="0"/>
                  <wp:docPr descr="" title="" id="50" name="Picture"/>
                  <a:graphic>
                    <a:graphicData uri="http://schemas.openxmlformats.org/drawingml/2006/picture">
                      <pic:pic>
                        <pic:nvPicPr>
                          <pic:cNvPr descr="figs/concept.png" id="51" name="Picture"/>
                          <pic:cNvPicPr>
                            <a:picLocks noChangeArrowheads="1" noChangeAspect="1"/>
                          </pic:cNvPicPr>
                        </pic:nvPicPr>
                        <pic:blipFill>
                          <a:blip r:embed="rId49"/>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 demonstrating a two-dimensional niche space for temperature and salinity.</w:t>
            </w:r>
          </w:p>
          <w:bookmarkEnd w:id="52"/>
        </w:tc>
      </w:tr>
    </w:tbl>
    <w:p>
      <w:r>
        <w:br w:type="page"/>
      </w:r>
    </w:p>
    <w:tbl>
      <w:tblPr>
        <w:tblStyle w:val="Table"/>
        <w:tblW w:type="pct" w:w="5000"/>
        <w:tblLook w:firstRow="0" w:lastRow="0" w:firstColumn="0" w:lastColumn="0" w:noHBand="0" w:noVBand="0" w:val="0000"/>
        <w:jc w:val="start"/>
      </w:tblPr>
      <w:tblGrid>
        <w:gridCol w:w="7920"/>
      </w:tblGrid>
      <w:tr>
        <w:tc>
          <w:tcPr/>
          <w:bookmarkStart w:id="56" w:name="fig-meteowqraw"/>
          <w:p>
            <w:pPr>
              <w:jc w:val="center"/>
            </w:pPr>
            <w:r>
              <w:drawing>
                <wp:inline>
                  <wp:extent cx="5943600" cy="6792685"/>
                  <wp:effectExtent b="0" l="0" r="0" t="0"/>
                  <wp:docPr descr="" title="" id="54" name="Picture"/>
                  <a:graphic>
                    <a:graphicData uri="http://schemas.openxmlformats.org/drawingml/2006/picture">
                      <pic:pic>
                        <pic:nvPicPr>
                          <pic:cNvPr descr="figs/meteowqraw.png" id="55" name="Picture"/>
                          <pic:cNvPicPr>
                            <a:picLocks noChangeArrowheads="1" noChangeAspect="1"/>
                          </pic:cNvPicPr>
                        </pic:nvPicPr>
                        <pic:blipFill>
                          <a:blip r:embed="rId53"/>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56"/>
        </w:tc>
      </w:tr>
    </w:tbl>
    <w:p>
      <w:r>
        <w:br w:type="page"/>
      </w:r>
    </w:p>
    <w:tbl>
      <w:tblPr>
        <w:tblStyle w:val="Table"/>
        <w:tblW w:type="pct" w:w="5000"/>
        <w:tblLook w:firstRow="0" w:lastRow="0" w:firstColumn="0" w:lastColumn="0" w:noHBand="0" w:noVBand="0" w:val="0000"/>
        <w:jc w:val="start"/>
      </w:tblPr>
      <w:tblGrid>
        <w:gridCol w:w="7920"/>
      </w:tblGrid>
      <w:tr>
        <w:tc>
          <w:tcPr/>
          <w:bookmarkStart w:id="60" w:name="fig-kendall"/>
          <w:p>
            <w:pPr>
              <w:jc w:val="center"/>
            </w:pPr>
            <w:r>
              <w:drawing>
                <wp:inline>
                  <wp:extent cx="5943600" cy="4379494"/>
                  <wp:effectExtent b="0" l="0" r="0" t="0"/>
                  <wp:docPr descr="" title="" id="58" name="Picture"/>
                  <a:graphic>
                    <a:graphicData uri="http://schemas.openxmlformats.org/drawingml/2006/picture">
                      <pic:pic>
                        <pic:nvPicPr>
                          <pic:cNvPr descr="figs/kendall.png" id="59" name="Picture"/>
                          <pic:cNvPicPr>
                            <a:picLocks noChangeArrowheads="1" noChangeAspect="1"/>
                          </pic:cNvPicPr>
                        </pic:nvPicPr>
                        <pic:blipFill>
                          <a:blip r:embed="rId57"/>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Old Tampa Bay, HB: Hillsborough Bay, MTB: Middle Tampa Bay, LTB: Lower Tampa Bay.</w:t>
            </w:r>
          </w:p>
          <w:bookmarkEnd w:id="60"/>
        </w:tc>
      </w:tr>
    </w:tbl>
    <w:p>
      <w:r>
        <w:br w:type="page"/>
      </w:r>
    </w:p>
    <w:tbl>
      <w:tblPr>
        <w:tblStyle w:val="Table"/>
        <w:tblW w:type="pct" w:w="5000"/>
        <w:tblLook w:firstRow="0" w:lastRow="0" w:firstColumn="0" w:lastColumn="0" w:noHBand="0" w:noVBand="0" w:val="0000"/>
        <w:jc w:val="start"/>
      </w:tblPr>
      <w:tblGrid>
        <w:gridCol w:w="7920"/>
      </w:tblGrid>
      <w:tr>
        <w:tc>
          <w:tcPr/>
          <w:bookmarkStart w:id="64" w:name="fig-mixeff"/>
          <w:p>
            <w:pPr>
              <w:jc w:val="center"/>
            </w:pPr>
            <w:r>
              <w:drawing>
                <wp:inline>
                  <wp:extent cx="5943600" cy="5094514"/>
                  <wp:effectExtent b="0" l="0" r="0" t="0"/>
                  <wp:docPr descr="" title="" id="62" name="Picture"/>
                  <a:graphic>
                    <a:graphicData uri="http://schemas.openxmlformats.org/drawingml/2006/picture">
                      <pic:pic>
                        <pic:nvPicPr>
                          <pic:cNvPr descr="figs/mixeff.png" id="63" name="Picture"/>
                          <pic:cNvPicPr>
                            <a:picLocks noChangeArrowheads="1" noChangeAspect="1"/>
                          </pic:cNvPicPr>
                        </pic:nvPicPr>
                        <pic:blipFill>
                          <a:blip r:embed="rId6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64"/>
        </w:tc>
      </w:tr>
    </w:tbl>
    <w:p>
      <w:r>
        <w:br w:type="page"/>
      </w:r>
    </w:p>
    <w:tbl>
      <w:tblPr>
        <w:tblStyle w:val="Table"/>
        <w:tblW w:type="pct" w:w="5000"/>
        <w:tblLook w:firstRow="0" w:lastRow="0" w:firstColumn="0" w:lastColumn="0" w:noHBand="0" w:noVBand="0" w:val="0000"/>
        <w:jc w:val="start"/>
      </w:tblPr>
      <w:tblGrid>
        <w:gridCol w:w="7920"/>
      </w:tblGrid>
      <w:tr>
        <w:tc>
          <w:tcPr/>
          <w:bookmarkStart w:id="68" w:name="fig-sgmod"/>
          <w:p>
            <w:pPr>
              <w:jc w:val="center"/>
            </w:pPr>
            <w:r>
              <w:drawing>
                <wp:inline>
                  <wp:extent cx="5943600" cy="5094514"/>
                  <wp:effectExtent b="0" l="0" r="0" t="0"/>
                  <wp:docPr descr="" title="" id="66" name="Picture"/>
                  <a:graphic>
                    <a:graphicData uri="http://schemas.openxmlformats.org/drawingml/2006/picture">
                      <pic:pic>
                        <pic:nvPicPr>
                          <pic:cNvPr descr="figs/sgmods.png" id="67" name="Picture"/>
                          <pic:cNvPicPr>
                            <a:picLocks noChangeArrowheads="1" noChangeAspect="1"/>
                          </pic:cNvPicPr>
                        </pic:nvPicPr>
                        <pic:blipFill>
                          <a:blip r:embed="rId6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changes versus temperature or salinity predictors for the (a) EPC and (b) FIM datasets. The predictors for the (a) were the number of days when temperature was above the threshold and the number of days when temperature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8"/>
        </w:tc>
      </w:tr>
    </w:tbl>
    <w:p>
      <w:r>
        <w:br w:type="page"/>
      </w:r>
    </w:p>
    <w:bookmarkEnd w:id="69"/>
    <w:bookmarkStart w:id="74" w:name="tables"/>
    <w:p>
      <w:pPr>
        <w:pStyle w:val="Heading2"/>
      </w:pPr>
      <w:r>
        <w:t xml:space="preserve">Tables</w:t>
      </w:r>
    </w:p>
    <w:bookmarkStart w:id="70" w:name="tbl-temptrndtab"/>
    <w:p>
      <w:pPr>
        <w:pStyle w:val="Tabl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Caption w:val="Table 1: Bottom temperature trends (^\circ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24.7</w:t>
            </w:r>
          </w:p>
        </w:tc>
        <w:tc>
          <w:tcPr/>
          <w:p>
            <w:pPr>
              <w:pStyle w:val="Compact"/>
              <w:jc w:val="right"/>
            </w:pPr>
            <w:r>
              <w:t xml:space="preserve">1.4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23.3</w:t>
            </w:r>
          </w:p>
        </w:tc>
        <w:tc>
          <w:tcPr/>
          <w:p>
            <w:pPr>
              <w:pStyle w:val="Compact"/>
              <w:jc w:val="right"/>
            </w:pPr>
            <w:r>
              <w:t xml:space="preserve">24.9</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23.6</w:t>
            </w:r>
          </w:p>
        </w:tc>
        <w:tc>
          <w:tcPr/>
          <w:p>
            <w:pPr>
              <w:pStyle w:val="Compact"/>
              <w:jc w:val="right"/>
            </w:pPr>
            <w:r>
              <w:t xml:space="preserve">24.8</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23.5</w:t>
            </w:r>
          </w:p>
        </w:tc>
        <w:tc>
          <w:tcPr/>
          <w:p>
            <w:pPr>
              <w:pStyle w:val="Compact"/>
              <w:jc w:val="right"/>
            </w:pPr>
            <w:r>
              <w:t xml:space="preserve">24.7</w:t>
            </w:r>
          </w:p>
        </w:tc>
        <w:tc>
          <w:tcPr/>
          <w:p>
            <w:pPr>
              <w:pStyle w:val="Compact"/>
              <w:jc w:val="right"/>
            </w:pPr>
            <w:r>
              <w:t xml:space="preserve">1.2</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25.3</w:t>
            </w:r>
          </w:p>
        </w:tc>
        <w:tc>
          <w:tcPr/>
          <w:p>
            <w:pPr>
              <w:pStyle w:val="Compact"/>
              <w:jc w:val="right"/>
            </w:pPr>
            <w:r>
              <w:t xml:space="preserve">1.5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24.1</w:t>
            </w:r>
          </w:p>
        </w:tc>
        <w:tc>
          <w:tcPr/>
          <w:p>
            <w:pPr>
              <w:pStyle w:val="Compact"/>
              <w:jc w:val="right"/>
            </w:pPr>
            <w:r>
              <w:t xml:space="preserve">25.0</w:t>
            </w:r>
          </w:p>
        </w:tc>
        <w:tc>
          <w:tcPr/>
          <w:p>
            <w:pPr>
              <w:pStyle w:val="Compact"/>
              <w:jc w:val="right"/>
            </w:pPr>
            <w:r>
              <w:t xml:space="preserve">0.9</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23.8</w:t>
            </w:r>
          </w:p>
        </w:tc>
        <w:tc>
          <w:tcPr/>
          <w:p>
            <w:pPr>
              <w:pStyle w:val="Compact"/>
              <w:jc w:val="right"/>
            </w:pPr>
            <w:r>
              <w:t xml:space="preserve">24.8</w:t>
            </w:r>
          </w:p>
        </w:tc>
        <w:tc>
          <w:tcPr/>
          <w:p>
            <w:pPr>
              <w:pStyle w:val="Compact"/>
              <w:jc w:val="right"/>
            </w:pPr>
            <w:r>
              <w:t xml:space="preserve">1.0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24.7</w:t>
            </w:r>
          </w:p>
        </w:tc>
        <w:tc>
          <w:tcPr/>
          <w:p>
            <w:pPr>
              <w:pStyle w:val="Compact"/>
              <w:jc w:val="right"/>
            </w:pPr>
            <w:r>
              <w:t xml:space="preserve">0.7</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24.6</w:t>
            </w:r>
          </w:p>
        </w:tc>
        <w:tc>
          <w:tcPr/>
          <w:p>
            <w:pPr>
              <w:pStyle w:val="Compact"/>
              <w:jc w:val="right"/>
            </w:pPr>
            <w:r>
              <w:t xml:space="preserve">0.6</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23.6</w:t>
            </w:r>
          </w:p>
        </w:tc>
        <w:tc>
          <w:tcPr/>
          <w:p>
            <w:pPr>
              <w:pStyle w:val="Compact"/>
              <w:jc w:val="right"/>
            </w:pPr>
            <w:r>
              <w:t xml:space="preserve">24.9</w:t>
            </w:r>
          </w:p>
        </w:tc>
        <w:tc>
          <w:tcPr/>
          <w:p>
            <w:pPr>
              <w:pStyle w:val="Compact"/>
              <w:jc w:val="right"/>
            </w:pPr>
            <w:r>
              <w:t xml:space="preserve">1.3</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0.05</w:t>
            </w:r>
          </w:p>
        </w:tc>
        <w:tc>
          <w:tcPr/>
          <w:p>
            <w:pPr>
              <w:pStyle w:val="Compact"/>
              <w:jc w:val="right"/>
            </w:pPr>
            <w:r>
              <w:t xml:space="preserve">24.4</w:t>
            </w:r>
          </w:p>
        </w:tc>
        <w:tc>
          <w:tcPr/>
          <w:p>
            <w:pPr>
              <w:pStyle w:val="Compact"/>
              <w:jc w:val="right"/>
            </w:pPr>
            <w:r>
              <w:t xml:space="preserve">25.2</w:t>
            </w:r>
          </w:p>
        </w:tc>
        <w:tc>
          <w:tcPr/>
          <w:p>
            <w:pPr>
              <w:pStyle w:val="Compact"/>
              <w:jc w:val="right"/>
            </w:pPr>
            <w:r>
              <w:t xml:space="preserve">0.8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23.9</w:t>
            </w:r>
          </w:p>
        </w:tc>
        <w:tc>
          <w:tcPr/>
          <w:p>
            <w:pPr>
              <w:pStyle w:val="Compact"/>
              <w:jc w:val="right"/>
            </w:pPr>
            <w:r>
              <w:t xml:space="preserve">25.5</w:t>
            </w:r>
          </w:p>
        </w:tc>
        <w:tc>
          <w:tcPr/>
          <w:p>
            <w:pPr>
              <w:pStyle w:val="Compact"/>
              <w:jc w:val="right"/>
            </w:pPr>
            <w:r>
              <w:t xml:space="preserve">1.6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w:t>
            </w:r>
          </w:p>
        </w:tc>
        <w:tc>
          <w:tcPr/>
          <w:p>
            <w:pPr>
              <w:pStyle w:val="Compact"/>
              <w:jc w:val="right"/>
            </w:pPr>
            <w:r>
              <w:t xml:space="preserve">23.7</w:t>
            </w:r>
          </w:p>
        </w:tc>
        <w:tc>
          <w:tcPr/>
          <w:p>
            <w:pPr>
              <w:pStyle w:val="Compact"/>
              <w:jc w:val="right"/>
            </w:pPr>
            <w:r>
              <w:t xml:space="preserve">25.4</w:t>
            </w:r>
          </w:p>
        </w:tc>
        <w:tc>
          <w:tcPr/>
          <w:p>
            <w:pPr>
              <w:pStyle w:val="Compact"/>
              <w:jc w:val="right"/>
            </w:pPr>
            <w:r>
              <w:t xml:space="preserve">1.7</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bl>
    <w:bookmarkEnd w:id="70"/>
    <w:p>
      <w:r>
        <w:br w:type="page"/>
      </w:r>
    </w:p>
    <w:bookmarkStart w:id="71" w:name="tbl-saltrndtab"/>
    <w:p>
      <w:pPr>
        <w:pStyle w:val="TableCaption"/>
      </w:pPr>
      <w:r>
        <w:t xml:space="preserve">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Caption w:val="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25.8</w:t>
            </w:r>
          </w:p>
        </w:tc>
        <w:tc>
          <w:tcPr/>
          <w:p>
            <w:pPr>
              <w:pStyle w:val="Compact"/>
              <w:jc w:val="right"/>
            </w:pPr>
            <w:r>
              <w:t xml:space="preserve">23.1</w:t>
            </w:r>
          </w:p>
        </w:tc>
        <w:tc>
          <w:tcPr/>
          <w:p>
            <w:pPr>
              <w:pStyle w:val="Compact"/>
              <w:jc w:val="right"/>
            </w:pPr>
            <w:r>
              <w:t xml:space="preserve">-2.7</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-0.02</w:t>
            </w:r>
          </w:p>
        </w:tc>
        <w:tc>
          <w:tcPr/>
          <w:p>
            <w:pPr>
              <w:pStyle w:val="Compact"/>
              <w:jc w:val="right"/>
            </w:pPr>
            <w:r>
              <w:t xml:space="preserve">25.6</w:t>
            </w:r>
          </w:p>
        </w:tc>
        <w:tc>
          <w:tcPr/>
          <w:p>
            <w:pPr>
              <w:pStyle w:val="Compact"/>
              <w:jc w:val="right"/>
            </w:pPr>
            <w:r>
              <w:t xml:space="preserve">24.6</w:t>
            </w:r>
          </w:p>
        </w:tc>
        <w:tc>
          <w:tcPr/>
          <w:p>
            <w:pPr>
              <w:pStyle w:val="Compact"/>
              <w:jc w:val="right"/>
            </w:pPr>
            <w:r>
              <w:t xml:space="preserve">-1.0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28.2</w:t>
            </w:r>
          </w:p>
        </w:tc>
        <w:tc>
          <w:tcPr/>
          <w:p>
            <w:pPr>
              <w:pStyle w:val="Compact"/>
              <w:jc w:val="right"/>
            </w:pPr>
            <w:r>
              <w:t xml:space="preserve">26.6</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33.4</w:t>
            </w:r>
          </w:p>
        </w:tc>
        <w:tc>
          <w:tcPr/>
          <w:p>
            <w:pPr>
              <w:pStyle w:val="Compact"/>
              <w:jc w:val="right"/>
            </w:pPr>
            <w:r>
              <w:t xml:space="preserve">31.3</w:t>
            </w:r>
          </w:p>
        </w:tc>
        <w:tc>
          <w:tcPr/>
          <w:p>
            <w:pPr>
              <w:pStyle w:val="Compact"/>
              <w:jc w:val="right"/>
            </w:pPr>
            <w:r>
              <w:t xml:space="preserve">-2.1</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24.9</w:t>
            </w:r>
          </w:p>
        </w:tc>
        <w:tc>
          <w:tcPr/>
          <w:p>
            <w:pPr>
              <w:pStyle w:val="Compact"/>
              <w:jc w:val="right"/>
            </w:pPr>
            <w:r>
              <w:t xml:space="preserve">22.8</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-0.06</w:t>
            </w:r>
          </w:p>
        </w:tc>
        <w:tc>
          <w:tcPr/>
          <w:p>
            <w:pPr>
              <w:pStyle w:val="Compact"/>
              <w:jc w:val="right"/>
            </w:pPr>
            <w:r>
              <w:t xml:space="preserve">24.1</w:t>
            </w:r>
          </w:p>
        </w:tc>
        <w:tc>
          <w:tcPr/>
          <w:p>
            <w:pPr>
              <w:pStyle w:val="Compact"/>
              <w:jc w:val="right"/>
            </w:pPr>
            <w:r>
              <w:t xml:space="preserve">22.6</w:t>
            </w:r>
          </w:p>
        </w:tc>
        <w:tc>
          <w:tcPr/>
          <w:p>
            <w:pPr>
              <w:pStyle w:val="Compact"/>
              <w:jc w:val="right"/>
            </w:pPr>
            <w:r>
              <w:t xml:space="preserve">-1.5</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26.1</w:t>
            </w:r>
          </w:p>
        </w:tc>
        <w:tc>
          <w:tcPr/>
          <w:p>
            <w:pPr>
              <w:pStyle w:val="Compact"/>
              <w:jc w:val="right"/>
            </w:pPr>
            <w:r>
              <w:t xml:space="preserve">23.9</w:t>
            </w:r>
          </w:p>
        </w:tc>
        <w:tc>
          <w:tcPr/>
          <w:p>
            <w:pPr>
              <w:pStyle w:val="Compact"/>
              <w:jc w:val="right"/>
            </w:pPr>
            <w:r>
              <w:t xml:space="preserve">-2.2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w:t>
            </w:r>
          </w:p>
        </w:tc>
        <w:tc>
          <w:tcPr/>
          <w:p>
            <w:pPr>
              <w:pStyle w:val="Compact"/>
              <w:jc w:val="right"/>
            </w:pPr>
            <w:r>
              <w:t xml:space="preserve">24.0</w:t>
            </w:r>
          </w:p>
        </w:tc>
        <w:tc>
          <w:tcPr/>
          <w:p>
            <w:pPr>
              <w:pStyle w:val="Compact"/>
              <w:jc w:val="right"/>
            </w:pPr>
            <w:r>
              <w:t xml:space="preserve">24.0</w:t>
            </w:r>
          </w:p>
        </w:tc>
        <w:tc>
          <w:tcPr/>
          <w:p>
            <w:pPr>
              <w:pStyle w:val="Compact"/>
              <w:jc w:val="right"/>
            </w:pPr>
            <w:r>
              <w:t xml:space="preserve">0.0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28.0</w:t>
            </w:r>
          </w:p>
        </w:tc>
        <w:tc>
          <w:tcPr/>
          <w:p>
            <w:pPr>
              <w:pStyle w:val="Compact"/>
              <w:jc w:val="right"/>
            </w:pPr>
            <w:r>
              <w:t xml:space="preserve">26.3</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-0.03</w:t>
            </w:r>
          </w:p>
        </w:tc>
        <w:tc>
          <w:tcPr/>
          <w:p>
            <w:pPr>
              <w:pStyle w:val="Compact"/>
              <w:jc w:val="right"/>
            </w:pPr>
            <w:r>
              <w:t xml:space="preserve">26.6</w:t>
            </w:r>
          </w:p>
        </w:tc>
        <w:tc>
          <w:tcPr/>
          <w:p>
            <w:pPr>
              <w:pStyle w:val="Compact"/>
              <w:jc w:val="right"/>
            </w:pPr>
            <w:r>
              <w:t xml:space="preserve">25.8</w:t>
            </w:r>
          </w:p>
        </w:tc>
        <w:tc>
          <w:tcPr/>
          <w:p>
            <w:pPr>
              <w:pStyle w:val="Compact"/>
              <w:jc w:val="right"/>
            </w:pPr>
            <w:r>
              <w:t xml:space="preserve">-0.8</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32.5</w:t>
            </w:r>
          </w:p>
        </w:tc>
        <w:tc>
          <w:tcPr/>
          <w:p>
            <w:pPr>
              <w:pStyle w:val="Compact"/>
              <w:jc w:val="right"/>
            </w:pPr>
            <w:r>
              <w:t xml:space="preserve">31.4</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0.01</w:t>
            </w:r>
          </w:p>
        </w:tc>
        <w:tc>
          <w:tcPr/>
          <w:p>
            <w:pPr>
              <w:pStyle w:val="Compact"/>
              <w:jc w:val="right"/>
            </w:pPr>
            <w:r>
              <w:t xml:space="preserve">31.6</w:t>
            </w:r>
          </w:p>
        </w:tc>
        <w:tc>
          <w:tcPr/>
          <w:p>
            <w:pPr>
              <w:pStyle w:val="Compact"/>
              <w:jc w:val="right"/>
            </w:pPr>
            <w:r>
              <w:t xml:space="preserve">32.0</w:t>
            </w:r>
          </w:p>
        </w:tc>
        <w:tc>
          <w:tcPr/>
          <w:p>
            <w:pPr>
              <w:pStyle w:val="Compact"/>
              <w:jc w:val="right"/>
            </w:pPr>
            <w:r>
              <w:t xml:space="preserve">0.4</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-0.2*</w:t>
            </w:r>
          </w:p>
        </w:tc>
        <w:tc>
          <w:tcPr/>
          <w:p>
            <w:pPr>
              <w:pStyle w:val="Compact"/>
              <w:jc w:val="right"/>
            </w:pPr>
            <w:r>
              <w:t xml:space="preserve">25.5</w:t>
            </w:r>
          </w:p>
        </w:tc>
        <w:tc>
          <w:tcPr/>
          <w:p>
            <w:pPr>
              <w:pStyle w:val="Compact"/>
              <w:jc w:val="right"/>
            </w:pPr>
            <w:r>
              <w:t xml:space="preserve">22.0</w:t>
            </w:r>
          </w:p>
        </w:tc>
        <w:tc>
          <w:tcPr/>
          <w:p>
            <w:pPr>
              <w:pStyle w:val="Compact"/>
              <w:jc w:val="right"/>
            </w:pPr>
            <w:r>
              <w:t xml:space="preserve">-3.5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-0.15</w:t>
            </w:r>
          </w:p>
        </w:tc>
        <w:tc>
          <w:tcPr/>
          <w:p>
            <w:pPr>
              <w:pStyle w:val="Compact"/>
              <w:jc w:val="right"/>
            </w:pPr>
            <w:r>
              <w:t xml:space="preserve">24.7</w:t>
            </w:r>
          </w:p>
        </w:tc>
        <w:tc>
          <w:tcPr/>
          <w:p>
            <w:pPr>
              <w:pStyle w:val="Compact"/>
              <w:jc w:val="right"/>
            </w:pPr>
            <w:r>
              <w:t xml:space="preserve">21.9</w:t>
            </w:r>
          </w:p>
        </w:tc>
        <w:tc>
          <w:tcPr/>
          <w:p>
            <w:pPr>
              <w:pStyle w:val="Compact"/>
              <w:jc w:val="right"/>
            </w:pPr>
            <w:r>
              <w:t xml:space="preserve">-2.8</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-0.19</w:t>
            </w:r>
          </w:p>
        </w:tc>
        <w:tc>
          <w:tcPr/>
          <w:p>
            <w:pPr>
              <w:pStyle w:val="Compact"/>
              <w:jc w:val="right"/>
            </w:pPr>
            <w:r>
              <w:t xml:space="preserve">24.3</w:t>
            </w:r>
          </w:p>
        </w:tc>
        <w:tc>
          <w:tcPr/>
          <w:p>
            <w:pPr>
              <w:pStyle w:val="Compact"/>
              <w:jc w:val="right"/>
            </w:pPr>
            <w:r>
              <w:t xml:space="preserve">20.9</w:t>
            </w:r>
          </w:p>
        </w:tc>
        <w:tc>
          <w:tcPr/>
          <w:p>
            <w:pPr>
              <w:pStyle w:val="Compact"/>
              <w:jc w:val="right"/>
            </w:pPr>
            <w:r>
              <w:t xml:space="preserve">-3.4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-0.19*</w:t>
            </w:r>
          </w:p>
        </w:tc>
        <w:tc>
          <w:tcPr/>
          <w:p>
            <w:pPr>
              <w:pStyle w:val="Compact"/>
              <w:jc w:val="right"/>
            </w:pPr>
            <w:r>
              <w:t xml:space="preserve">26.5</w:t>
            </w:r>
          </w:p>
        </w:tc>
        <w:tc>
          <w:tcPr/>
          <w:p>
            <w:pPr>
              <w:pStyle w:val="Compact"/>
              <w:jc w:val="right"/>
            </w:pPr>
            <w:r>
              <w:t xml:space="preserve">23.1</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24.8</w:t>
            </w:r>
          </w:p>
        </w:tc>
        <w:tc>
          <w:tcPr/>
          <w:p>
            <w:pPr>
              <w:pStyle w:val="Compact"/>
              <w:jc w:val="right"/>
            </w:pPr>
            <w:r>
              <w:t xml:space="preserve">23.4</w:t>
            </w:r>
          </w:p>
        </w:tc>
        <w:tc>
          <w:tcPr/>
          <w:p>
            <w:pPr>
              <w:pStyle w:val="Compact"/>
              <w:jc w:val="right"/>
            </w:pPr>
            <w:r>
              <w:t xml:space="preserve">-1.4</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-0.17*</w:t>
            </w:r>
          </w:p>
        </w:tc>
        <w:tc>
          <w:tcPr/>
          <w:p>
            <w:pPr>
              <w:pStyle w:val="Compact"/>
              <w:jc w:val="right"/>
            </w:pPr>
            <w:r>
              <w:t xml:space="preserve">28.6</w:t>
            </w:r>
          </w:p>
        </w:tc>
        <w:tc>
          <w:tcPr/>
          <w:p>
            <w:pPr>
              <w:pStyle w:val="Compact"/>
              <w:jc w:val="right"/>
            </w:pPr>
            <w:r>
              <w:t xml:space="preserve">25.6</w:t>
            </w:r>
          </w:p>
        </w:tc>
        <w:tc>
          <w:tcPr/>
          <w:p>
            <w:pPr>
              <w:pStyle w:val="Compact"/>
              <w:jc w:val="right"/>
            </w:pPr>
            <w:r>
              <w:t xml:space="preserve">-3.0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-0.11</w:t>
            </w:r>
          </w:p>
        </w:tc>
        <w:tc>
          <w:tcPr/>
          <w:p>
            <w:pPr>
              <w:pStyle w:val="Compact"/>
              <w:jc w:val="right"/>
            </w:pPr>
            <w:r>
              <w:t xml:space="preserve">27.2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-0.12*</w:t>
            </w:r>
          </w:p>
        </w:tc>
        <w:tc>
          <w:tcPr/>
          <w:p>
            <w:pPr>
              <w:pStyle w:val="Compact"/>
              <w:jc w:val="right"/>
            </w:pPr>
            <w:r>
              <w:t xml:space="preserve">33.0</w:t>
            </w:r>
          </w:p>
        </w:tc>
        <w:tc>
          <w:tcPr/>
          <w:p>
            <w:pPr>
              <w:pStyle w:val="Compact"/>
              <w:jc w:val="right"/>
            </w:pPr>
            <w:r>
              <w:t xml:space="preserve">30.9</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32.5</w:t>
            </w:r>
          </w:p>
        </w:tc>
        <w:tc>
          <w:tcPr/>
          <w:p>
            <w:pPr>
              <w:pStyle w:val="Compact"/>
              <w:jc w:val="right"/>
            </w:pPr>
            <w:r>
              <w:t xml:space="preserve">31.5</w:t>
            </w:r>
          </w:p>
        </w:tc>
        <w:tc>
          <w:tcPr/>
          <w:p>
            <w:pPr>
              <w:pStyle w:val="Compact"/>
              <w:jc w:val="right"/>
            </w:pPr>
            <w:r>
              <w:t xml:space="preserve">-1.0</w:t>
            </w:r>
          </w:p>
        </w:tc>
      </w:tr>
    </w:tbl>
    <w:bookmarkEnd w:id="71"/>
    <w:p>
      <w:r>
        <w:br w:type="page"/>
      </w:r>
    </w:p>
    <w:bookmarkStart w:id="72" w:name="tbl-mixdaytab"/>
    <w:p>
      <w:pPr>
        <w:pStyle w:val="Tabl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Caption w:val="Table 3: Summary of mixed-effects models evaluating increases in the number of days each year from 1975 to 2022 when temperature was above 30 ^\circ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
      </w:tblPr>
      <w:tblGrid>
        <w:gridCol w:w="1584"/>
        <w:gridCol w:w="1584"/>
        <w:gridCol w:w="1584"/>
        <w:gridCol w:w="1584"/>
        <w:gridCol w:w="1584"/>
      </w:tblGrid>
      <w:tr>
        <w:trPr>
          <w:tblHeader w:val="true"/>
        </w:trPr>
        <w:tc>
          <w:tcPr/>
          <w:p>
            <w:pPr>
              <w:pStyle w:val="Compact"/>
              <w:jc w:val="left"/>
            </w:pPr>
            <w:r>
              <w:t xml:space="preserve">Bay Segment</w:t>
            </w:r>
          </w:p>
        </w:tc>
        <w:tc>
          <w:tcPr/>
          <w:p>
            <w:pPr>
              <w:pStyle w:val="Compact"/>
              <w:jc w:val="left"/>
            </w:pPr>
            <w:r>
              <w:t xml:space="preserve">Threshold</w:t>
            </w:r>
          </w:p>
        </w:tc>
        <w:tc>
          <w:tcPr/>
          <w:p>
            <w:pPr>
              <w:pStyle w:val="Compact"/>
              <w:jc w:val="left"/>
            </w:pPr>
            <w:r>
              <w:t xml:space="preserve">Slope</w:t>
            </w:r>
          </w:p>
        </w:tc>
        <w:tc>
          <w:tcPr/>
          <w:p>
            <w:pPr>
              <w:pStyle w:val="Compact"/>
              <w:jc w:val="left"/>
            </w:pPr>
            <w:r>
              <w:t xml:space="preserve">Start</w:t>
            </w:r>
          </w:p>
        </w:tc>
        <w:tc>
          <w:tcPr/>
          <w:p>
            <w:pPr>
              <w:pStyle w:val="Compact"/>
              <w:jc w:val="left"/>
            </w:pPr>
            <w:r>
              <w:t xml:space="preserve">End</w:t>
            </w:r>
          </w:p>
        </w:tc>
      </w:tr>
      <w:tr>
        <w:tc>
          <w:tcPr/>
          <w:p>
            <w:pPr>
              <w:pStyle w:val="Compact"/>
              <w:jc w:val="left"/>
            </w:pPr>
            <w:r>
              <w:t xml:space="preserve">OTB</w:t>
            </w:r>
          </w:p>
        </w:tc>
        <w:tc>
          <w:tcPr/>
          <w:p>
            <w:pPr>
              <w:pStyle w:val="Compact"/>
              <w:jc w:val="left"/>
            </w:pPr>
            <w:r>
              <w:t xml:space="preserve">Temperature &gt; 30</w:t>
            </w:r>
          </w:p>
        </w:tc>
        <w:tc>
          <w:tcPr/>
          <w:p>
            <w:pPr>
              <w:pStyle w:val="Compact"/>
              <w:jc w:val="left"/>
            </w:pPr>
            <w:r>
              <w:t xml:space="preserve">1.04**</w:t>
            </w:r>
          </w:p>
        </w:tc>
        <w:tc>
          <w:tcPr/>
          <w:p>
            <w:pPr>
              <w:pStyle w:val="Compact"/>
              <w:jc w:val="left"/>
            </w:pPr>
            <w:r>
              <w:t xml:space="preserve">8 (3.3)</w:t>
            </w:r>
          </w:p>
        </w:tc>
        <w:tc>
          <w:tcPr/>
          <w:p>
            <w:pPr>
              <w:pStyle w:val="Compact"/>
              <w:jc w:val="left"/>
            </w:pPr>
            <w:r>
              <w:t xml:space="preserve">56 (3.3)</w:t>
            </w:r>
          </w:p>
        </w:tc>
      </w:tr>
      <w:tr>
        <w:tc>
          <w:tcPr/>
          <w:p>
            <w:pPr>
              <w:pStyle w:val="Compact"/>
            </w:pPr>
          </w:p>
        </w:tc>
        <w:tc>
          <w:tcPr/>
          <w:p>
            <w:pPr>
              <w:pStyle w:val="Compact"/>
              <w:jc w:val="left"/>
            </w:pPr>
            <w:r>
              <w:t xml:space="preserve">Salinity &lt; 25</w:t>
            </w:r>
          </w:p>
        </w:tc>
        <w:tc>
          <w:tcPr/>
          <w:p>
            <w:pPr>
              <w:pStyle w:val="Compact"/>
              <w:jc w:val="left"/>
            </w:pPr>
            <w:r>
              <w:t xml:space="preserve">1.96**</w:t>
            </w:r>
          </w:p>
        </w:tc>
        <w:tc>
          <w:tcPr/>
          <w:p>
            <w:pPr>
              <w:pStyle w:val="Compact"/>
              <w:jc w:val="left"/>
            </w:pPr>
            <w:r>
              <w:t xml:space="preserve">128 (13.2)</w:t>
            </w:r>
          </w:p>
        </w:tc>
        <w:tc>
          <w:tcPr/>
          <w:p>
            <w:pPr>
              <w:pStyle w:val="Compact"/>
              <w:jc w:val="left"/>
            </w:pPr>
            <w:r>
              <w:t xml:space="preserve">219 (13.2)</w:t>
            </w:r>
          </w:p>
        </w:tc>
      </w:tr>
      <w:tr>
        <w:tc>
          <w:tcPr/>
          <w:p>
            <w:pPr>
              <w:pStyle w:val="Compact"/>
            </w:pPr>
          </w:p>
        </w:tc>
        <w:tc>
          <w:tcPr/>
          <w:p>
            <w:pPr>
              <w:pStyle w:val="Compact"/>
              <w:jc w:val="left"/>
            </w:pPr>
            <w:r>
              <w:t xml:space="preserve">Both</w:t>
            </w:r>
          </w:p>
        </w:tc>
        <w:tc>
          <w:tcPr/>
          <w:p>
            <w:pPr>
              <w:pStyle w:val="Compact"/>
              <w:jc w:val="left"/>
            </w:pPr>
            <w:r>
              <w:t xml:space="preserve">0.81**</w:t>
            </w:r>
          </w:p>
        </w:tc>
        <w:tc>
          <w:tcPr/>
          <w:p>
            <w:pPr>
              <w:pStyle w:val="Compact"/>
              <w:jc w:val="left"/>
            </w:pPr>
            <w:r>
              <w:t xml:space="preserve">0 (2.8)</w:t>
            </w:r>
          </w:p>
        </w:tc>
        <w:tc>
          <w:tcPr/>
          <w:p>
            <w:pPr>
              <w:pStyle w:val="Compact"/>
              <w:jc w:val="left"/>
            </w:pPr>
            <w:r>
              <w:t xml:space="preserve">37 (2.7)</w:t>
            </w:r>
          </w:p>
        </w:tc>
      </w:tr>
      <w:tr>
        <w:tc>
          <w:tcPr/>
          <w:p>
            <w:pPr>
              <w:pStyle w:val="Compact"/>
              <w:jc w:val="left"/>
            </w:pPr>
            <w:r>
              <w:t xml:space="preserve">HB</w:t>
            </w:r>
          </w:p>
        </w:tc>
        <w:tc>
          <w:tcPr/>
          <w:p>
            <w:pPr>
              <w:pStyle w:val="Compact"/>
              <w:jc w:val="left"/>
            </w:pPr>
            <w:r>
              <w:t xml:space="preserve">Temperature &gt; 30</w:t>
            </w:r>
          </w:p>
        </w:tc>
        <w:tc>
          <w:tcPr/>
          <w:p>
            <w:pPr>
              <w:pStyle w:val="Compact"/>
              <w:jc w:val="left"/>
            </w:pPr>
            <w:r>
              <w:t xml:space="preserve">1.01**</w:t>
            </w:r>
          </w:p>
        </w:tc>
        <w:tc>
          <w:tcPr/>
          <w:p>
            <w:pPr>
              <w:pStyle w:val="Compact"/>
              <w:jc w:val="left"/>
            </w:pPr>
            <w:r>
              <w:t xml:space="preserve">8 (4.9)</w:t>
            </w:r>
          </w:p>
        </w:tc>
        <w:tc>
          <w:tcPr/>
          <w:p>
            <w:pPr>
              <w:pStyle w:val="Compact"/>
              <w:jc w:val="left"/>
            </w:pPr>
            <w:r>
              <w:t xml:space="preserve">55 (4.8)</w:t>
            </w:r>
          </w:p>
        </w:tc>
      </w:tr>
      <w:tr>
        <w:tc>
          <w:tcPr/>
          <w:p>
            <w:pPr>
              <w:pStyle w:val="Compact"/>
            </w:pPr>
          </w:p>
        </w:tc>
        <w:tc>
          <w:tcPr/>
          <w:p>
            <w:pPr>
              <w:pStyle w:val="Compact"/>
              <w:jc w:val="left"/>
            </w:pPr>
            <w:r>
              <w:t xml:space="preserve">Salinity &lt; 25</w:t>
            </w:r>
          </w:p>
        </w:tc>
        <w:tc>
          <w:tcPr/>
          <w:p>
            <w:pPr>
              <w:pStyle w:val="Compact"/>
              <w:jc w:val="left"/>
            </w:pPr>
            <w:r>
              <w:t xml:space="preserve">0.86*</w:t>
            </w:r>
          </w:p>
        </w:tc>
        <w:tc>
          <w:tcPr/>
          <w:p>
            <w:pPr>
              <w:pStyle w:val="Compact"/>
              <w:jc w:val="left"/>
            </w:pPr>
            <w:r>
              <w:t xml:space="preserve">131 (12.5)</w:t>
            </w:r>
          </w:p>
        </w:tc>
        <w:tc>
          <w:tcPr/>
          <w:p>
            <w:pPr>
              <w:pStyle w:val="Compact"/>
              <w:jc w:val="left"/>
            </w:pPr>
            <w:r>
              <w:t xml:space="preserve">171 (11.8)</w:t>
            </w:r>
          </w:p>
        </w:tc>
      </w:tr>
      <w:tr>
        <w:tc>
          <w:tcPr/>
          <w:p>
            <w:pPr>
              <w:pStyle w:val="Compact"/>
            </w:pPr>
          </w:p>
        </w:tc>
        <w:tc>
          <w:tcPr/>
          <w:p>
            <w:pPr>
              <w:pStyle w:val="Compact"/>
              <w:jc w:val="left"/>
            </w:pPr>
            <w:r>
              <w:t xml:space="preserve">Both</w:t>
            </w:r>
          </w:p>
        </w:tc>
        <w:tc>
          <w:tcPr/>
          <w:p>
            <w:pPr>
              <w:pStyle w:val="Compact"/>
              <w:jc w:val="left"/>
            </w:pPr>
            <w:r>
              <w:t xml:space="preserve">0.8**</w:t>
            </w:r>
          </w:p>
        </w:tc>
        <w:tc>
          <w:tcPr/>
          <w:p>
            <w:pPr>
              <w:pStyle w:val="Compact"/>
              <w:jc w:val="left"/>
            </w:pPr>
            <w:r>
              <w:t xml:space="preserve">-2 (2.8)</w:t>
            </w:r>
          </w:p>
        </w:tc>
        <w:tc>
          <w:tcPr/>
          <w:p>
            <w:pPr>
              <w:pStyle w:val="Compact"/>
              <w:jc w:val="left"/>
            </w:pPr>
            <w:r>
              <w:t xml:space="preserve">35 (2.7)</w:t>
            </w:r>
          </w:p>
        </w:tc>
      </w:tr>
      <w:tr>
        <w:tc>
          <w:tcPr/>
          <w:p>
            <w:pPr>
              <w:pStyle w:val="Compact"/>
              <w:jc w:val="left"/>
            </w:pPr>
            <w:r>
              <w:t xml:space="preserve">MTB</w:t>
            </w:r>
          </w:p>
        </w:tc>
        <w:tc>
          <w:tcPr/>
          <w:p>
            <w:pPr>
              <w:pStyle w:val="Compact"/>
              <w:jc w:val="left"/>
            </w:pPr>
            <w:r>
              <w:t xml:space="preserve">Temperature &gt; 30</w:t>
            </w:r>
          </w:p>
        </w:tc>
        <w:tc>
          <w:tcPr/>
          <w:p>
            <w:pPr>
              <w:pStyle w:val="Compact"/>
              <w:jc w:val="left"/>
            </w:pPr>
            <w:r>
              <w:t xml:space="preserve">1.06**</w:t>
            </w:r>
          </w:p>
        </w:tc>
        <w:tc>
          <w:tcPr/>
          <w:p>
            <w:pPr>
              <w:pStyle w:val="Compact"/>
              <w:jc w:val="left"/>
            </w:pPr>
            <w:r>
              <w:t xml:space="preserve">9 (3.1)</w:t>
            </w:r>
          </w:p>
        </w:tc>
        <w:tc>
          <w:tcPr/>
          <w:p>
            <w:pPr>
              <w:pStyle w:val="Compact"/>
              <w:jc w:val="left"/>
            </w:pPr>
            <w:r>
              <w:t xml:space="preserve">57 (3.1)</w:t>
            </w:r>
          </w:p>
        </w:tc>
      </w:tr>
      <w:tr>
        <w:tc>
          <w:tcPr/>
          <w:p>
            <w:pPr>
              <w:pStyle w:val="Compact"/>
            </w:pPr>
          </w:p>
        </w:tc>
        <w:tc>
          <w:tcPr/>
          <w:p>
            <w:pPr>
              <w:pStyle w:val="Compact"/>
              <w:jc w:val="left"/>
            </w:pPr>
            <w:r>
              <w:t xml:space="preserve">Salinity &lt; 25</w:t>
            </w:r>
          </w:p>
        </w:tc>
        <w:tc>
          <w:tcPr/>
          <w:p>
            <w:pPr>
              <w:pStyle w:val="Compact"/>
              <w:jc w:val="left"/>
            </w:pPr>
            <w:r>
              <w:t xml:space="preserve">0.67**</w:t>
            </w:r>
          </w:p>
        </w:tc>
        <w:tc>
          <w:tcPr/>
          <w:p>
            <w:pPr>
              <w:pStyle w:val="Compact"/>
              <w:jc w:val="left"/>
            </w:pPr>
            <w:r>
              <w:t xml:space="preserve">51 (11)</w:t>
            </w:r>
          </w:p>
        </w:tc>
        <w:tc>
          <w:tcPr/>
          <w:p>
            <w:pPr>
              <w:pStyle w:val="Compact"/>
              <w:jc w:val="left"/>
            </w:pPr>
            <w:r>
              <w:t xml:space="preserve">82 (11)</w:t>
            </w:r>
          </w:p>
        </w:tc>
      </w:tr>
      <w:tr>
        <w:tc>
          <w:tcPr/>
          <w:p>
            <w:pPr>
              <w:pStyle w:val="Compact"/>
            </w:pPr>
          </w:p>
        </w:tc>
        <w:tc>
          <w:tcPr/>
          <w:p>
            <w:pPr>
              <w:pStyle w:val="Compact"/>
              <w:jc w:val="left"/>
            </w:pPr>
            <w:r>
              <w:t xml:space="preserve">Both</w:t>
            </w:r>
          </w:p>
        </w:tc>
        <w:tc>
          <w:tcPr/>
          <w:p>
            <w:pPr>
              <w:pStyle w:val="Compact"/>
              <w:jc w:val="left"/>
            </w:pPr>
            <w:r>
              <w:t xml:space="preserve">0.37**</w:t>
            </w:r>
          </w:p>
        </w:tc>
        <w:tc>
          <w:tcPr/>
          <w:p>
            <w:pPr>
              <w:pStyle w:val="Compact"/>
              <w:jc w:val="left"/>
            </w:pPr>
            <w:r>
              <w:t xml:space="preserve">-1 (1.7)</w:t>
            </w:r>
          </w:p>
        </w:tc>
        <w:tc>
          <w:tcPr/>
          <w:p>
            <w:pPr>
              <w:pStyle w:val="Compact"/>
              <w:jc w:val="left"/>
            </w:pPr>
            <w:r>
              <w:t xml:space="preserve">16 (1.7)</w:t>
            </w:r>
          </w:p>
        </w:tc>
      </w:tr>
      <w:tr>
        <w:tc>
          <w:tcPr/>
          <w:p>
            <w:pPr>
              <w:pStyle w:val="Compact"/>
              <w:jc w:val="left"/>
            </w:pPr>
            <w:r>
              <w:t xml:space="preserve">LTB</w:t>
            </w:r>
          </w:p>
        </w:tc>
        <w:tc>
          <w:tcPr/>
          <w:p>
            <w:pPr>
              <w:pStyle w:val="Compact"/>
              <w:jc w:val="left"/>
            </w:pPr>
            <w:r>
              <w:t xml:space="preserve">Temperature &gt; 30</w:t>
            </w:r>
          </w:p>
        </w:tc>
        <w:tc>
          <w:tcPr/>
          <w:p>
            <w:pPr>
              <w:pStyle w:val="Compact"/>
              <w:jc w:val="left"/>
            </w:pPr>
            <w:r>
              <w:t xml:space="preserve">0.92**</w:t>
            </w:r>
          </w:p>
        </w:tc>
        <w:tc>
          <w:tcPr/>
          <w:p>
            <w:pPr>
              <w:pStyle w:val="Compact"/>
              <w:jc w:val="left"/>
            </w:pPr>
            <w:r>
              <w:t xml:space="preserve">21 (3.5)</w:t>
            </w:r>
          </w:p>
        </w:tc>
        <w:tc>
          <w:tcPr/>
          <w:p>
            <w:pPr>
              <w:pStyle w:val="Compact"/>
              <w:jc w:val="left"/>
            </w:pPr>
            <w:r>
              <w:t xml:space="preserve">63 (3.5)</w:t>
            </w:r>
          </w:p>
        </w:tc>
      </w:tr>
      <w:tr>
        <w:tc>
          <w:tcPr/>
          <w:p>
            <w:pPr>
              <w:pStyle w:val="Compact"/>
            </w:pPr>
          </w:p>
        </w:tc>
        <w:tc>
          <w:tcPr/>
          <w:p>
            <w:pPr>
              <w:pStyle w:val="Compact"/>
              <w:jc w:val="left"/>
            </w:pPr>
            <w:r>
              <w:t xml:space="preserve">Salinity &lt; 25</w:t>
            </w:r>
          </w:p>
        </w:tc>
        <w:tc>
          <w:tcPr/>
          <w:p>
            <w:pPr>
              <w:pStyle w:val="Compact"/>
              <w:jc w:val="left"/>
            </w:pPr>
            <w:r>
              <w:t xml:space="preserve">-0.06</w:t>
            </w:r>
          </w:p>
        </w:tc>
        <w:tc>
          <w:tcPr/>
          <w:p>
            <w:pPr>
              <w:pStyle w:val="Compact"/>
              <w:jc w:val="left"/>
            </w:pPr>
            <w:r>
              <w:t xml:space="preserve">4 (1.3)</w:t>
            </w:r>
          </w:p>
        </w:tc>
        <w:tc>
          <w:tcPr/>
          <w:p>
            <w:pPr>
              <w:pStyle w:val="Compact"/>
              <w:jc w:val="left"/>
            </w:pPr>
            <w:r>
              <w:t xml:space="preserve">1 (1.3)</w:t>
            </w:r>
          </w:p>
        </w:tc>
      </w:tr>
      <w:tr>
        <w:tc>
          <w:tcPr/>
          <w:p>
            <w:pPr>
              <w:pStyle w:val="Compact"/>
            </w:pPr>
          </w:p>
        </w:tc>
        <w:tc>
          <w:tcPr/>
          <w:p>
            <w:pPr>
              <w:pStyle w:val="Compact"/>
              <w:jc w:val="left"/>
            </w:pPr>
            <w:r>
              <w:t xml:space="preserve">Both</w:t>
            </w:r>
          </w:p>
        </w:tc>
        <w:tc>
          <w:tcPr/>
          <w:p>
            <w:pPr>
              <w:pStyle w:val="Compact"/>
              <w:jc w:val="left"/>
            </w:pPr>
            <w:r>
              <w:t xml:space="preserve">0</w:t>
            </w:r>
          </w:p>
        </w:tc>
        <w:tc>
          <w:tcPr/>
          <w:p>
            <w:pPr>
              <w:pStyle w:val="Compact"/>
              <w:jc w:val="left"/>
            </w:pPr>
            <w:r>
              <w:t xml:space="preserve">0 (0)</w:t>
            </w:r>
          </w:p>
        </w:tc>
        <w:tc>
          <w:tcPr/>
          <w:p>
            <w:pPr>
              <w:pStyle w:val="Compact"/>
              <w:jc w:val="left"/>
            </w:pPr>
            <w:r>
              <w:t xml:space="preserve">0 (0)</w:t>
            </w:r>
          </w:p>
        </w:tc>
      </w:tr>
    </w:tbl>
    <w:bookmarkEnd w:id="72"/>
    <w:p>
      <w:r>
        <w:br w:type="page"/>
      </w:r>
    </w:p>
    <w:bookmarkStart w:id="73" w:name="tbl-modtab"/>
    <w:p>
      <w:pPr>
        <w:pStyle w:val="Tabl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Caption w:val="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 “Temp” and “Sal” terms for the EPC models describe metrics that measure the number of days when temperature was above or salinity was below a threshold value, whereas the terms in all other models describe observed temperature or salinity (see text for description). ** p &lt; 0.005, * p &lt; 0.05, ^. p &lt; 0.1. EPC: Environmental Protection Commission, FIM: Fisheries Independent Monitoring, PDEM: Pinellas County Department of Environmental Management. OTB: Old Tampa Bay, HB: Hillsborough Bay, MTB: Middle Tampa Bay."/>
      </w:tblPr>
      <w:tblGrid>
        <w:gridCol w:w="1980"/>
        <w:gridCol w:w="1980"/>
        <w:gridCol w:w="1980"/>
        <w:gridCol w:w="1980"/>
      </w:tblGrid>
      <w:tr>
        <w:trPr>
          <w:tblHeader w:val="true"/>
        </w:trPr>
        <w:tc>
          <w:tcPr/>
          <w:p>
            <w:pPr>
              <w:pStyle w:val="Compact"/>
              <w:jc w:val="left"/>
            </w:pPr>
            <w:r>
              <w:t xml:space="preserve">Model</w:t>
            </w:r>
          </w:p>
        </w:tc>
        <w:tc>
          <w:tcPr/>
          <w:p>
            <w:pPr>
              <w:pStyle w:val="Compact"/>
              <w:jc w:val="left"/>
            </w:pPr>
            <w:r>
              <w:t xml:space="preserve">Term</w:t>
            </w:r>
          </w:p>
        </w:tc>
        <w:tc>
          <w:tcPr/>
          <w:p>
            <w:pPr>
              <w:pStyle w:val="Compact"/>
              <w:jc w:val="left"/>
            </w:pPr>
            <w:r>
              <w:t xml:space="preserve">Estimate</w:t>
            </w:r>
          </w:p>
        </w:tc>
        <w:tc>
          <w:tcPr/>
          <w:p>
            <w:pPr>
              <w:pStyle w:val="Compact"/>
              <w:jc w:val="left"/>
            </w:pPr>
            <w:r>
              <w:t xml:space="preserve">t-statistic</w:t>
            </w:r>
          </w:p>
        </w:tc>
      </w:tr>
      <w:tr>
        <w:tc>
          <w:tcPr/>
          <w:p>
            <w:pPr>
              <w:pStyle w:val="Compact"/>
              <w:jc w:val="left"/>
            </w:pPr>
            <w:r>
              <w:t xml:space="preserve">EPC 1</w:t>
            </w:r>
          </w:p>
        </w:tc>
        <w:tc>
          <w:tcPr/>
          <w:p>
            <w:pPr>
              <w:pStyle w:val="Compact"/>
              <w:jc w:val="left"/>
            </w:pPr>
            <w:r>
              <w:t xml:space="preserve">Sal</w:t>
            </w:r>
          </w:p>
        </w:tc>
        <w:tc>
          <w:tcPr/>
          <w:p>
            <w:pPr>
              <w:pStyle w:val="Compact"/>
              <w:jc w:val="left"/>
            </w:pPr>
            <w:r>
              <w:t xml:space="preserve">0.00069 (0.00037)</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w:t>
            </w:r>
          </w:p>
        </w:tc>
        <w:tc>
          <w:tcPr/>
          <w:p>
            <w:pPr>
              <w:pStyle w:val="Compact"/>
              <w:jc w:val="left"/>
            </w:pPr>
            <w:r>
              <w:t xml:space="preserve">0.0035 (0.0013)</w:t>
            </w:r>
          </w:p>
        </w:tc>
        <w:tc>
          <w:tcPr/>
          <w:p>
            <w:pPr>
              <w:pStyle w:val="Compact"/>
              <w:jc w:val="left"/>
            </w:pPr>
            <w:r>
              <w:t xml:space="preserve">2.6*</w:t>
            </w:r>
          </w:p>
        </w:tc>
      </w:tr>
      <w:tr>
        <w:tc>
          <w:tcPr/>
          <w:p>
            <w:pPr>
              <w:pStyle w:val="Compact"/>
            </w:pPr>
          </w:p>
        </w:tc>
        <w:tc>
          <w:tcPr/>
          <w:p>
            <w:pPr>
              <w:pStyle w:val="Compact"/>
              <w:jc w:val="left"/>
            </w:pPr>
            <w:r>
              <w:t xml:space="preserve">Time_post</w:t>
            </w:r>
          </w:p>
        </w:tc>
        <w:tc>
          <w:tcPr/>
          <w:p>
            <w:pPr>
              <w:pStyle w:val="Compact"/>
              <w:jc w:val="left"/>
            </w:pPr>
            <w:r>
              <w:t xml:space="preserve">0.48 (0.28)</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Baysegment_HB</w:t>
            </w:r>
          </w:p>
        </w:tc>
        <w:tc>
          <w:tcPr/>
          <w:p>
            <w:pPr>
              <w:pStyle w:val="Compact"/>
              <w:jc w:val="left"/>
            </w:pPr>
            <w:r>
              <w:t xml:space="preserve">-0.39 (0.042)</w:t>
            </w:r>
          </w:p>
        </w:tc>
        <w:tc>
          <w:tcPr/>
          <w:p>
            <w:pPr>
              <w:pStyle w:val="Compact"/>
              <w:jc w:val="left"/>
            </w:pPr>
            <w:r>
              <w:t xml:space="preserve">-9.3**</w:t>
            </w:r>
          </w:p>
        </w:tc>
      </w:tr>
      <w:tr>
        <w:tc>
          <w:tcPr/>
          <w:p>
            <w:pPr>
              <w:pStyle w:val="Compact"/>
            </w:pPr>
          </w:p>
        </w:tc>
        <w:tc>
          <w:tcPr/>
          <w:p>
            <w:pPr>
              <w:pStyle w:val="Compact"/>
              <w:jc w:val="left"/>
            </w:pPr>
            <w:r>
              <w:t xml:space="preserve">Baysegment_MTB</w:t>
            </w:r>
          </w:p>
        </w:tc>
        <w:tc>
          <w:tcPr/>
          <w:p>
            <w:pPr>
              <w:pStyle w:val="Compact"/>
              <w:jc w:val="left"/>
            </w:pPr>
            <w:r>
              <w:t xml:space="preserve">-0.12 (0.047)</w:t>
            </w:r>
          </w:p>
        </w:tc>
        <w:tc>
          <w:tcPr/>
          <w:p>
            <w:pPr>
              <w:pStyle w:val="Compact"/>
              <w:jc w:val="left"/>
            </w:pPr>
            <w:r>
              <w:t xml:space="preserve">-2.6*</w:t>
            </w:r>
          </w:p>
        </w:tc>
      </w:tr>
      <w:tr>
        <w:tc>
          <w:tcPr/>
          <w:p>
            <w:pPr>
              <w:pStyle w:val="Compact"/>
            </w:pPr>
          </w:p>
        </w:tc>
        <w:tc>
          <w:tcPr/>
          <w:p>
            <w:pPr>
              <w:pStyle w:val="Compact"/>
              <w:jc w:val="left"/>
            </w:pPr>
            <w:r>
              <w:t xml:space="preserve">Sal:Temp</w:t>
            </w:r>
          </w:p>
        </w:tc>
        <w:tc>
          <w:tcPr/>
          <w:p>
            <w:pPr>
              <w:pStyle w:val="Compact"/>
              <w:jc w:val="left"/>
            </w:pPr>
            <w:r>
              <w:t xml:space="preserve">-1.3e-05 (7.5e-06)</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Sal:Time_post</w:t>
            </w:r>
          </w:p>
        </w:tc>
        <w:tc>
          <w:tcPr/>
          <w:p>
            <w:pPr>
              <w:pStyle w:val="Compact"/>
              <w:jc w:val="left"/>
            </w:pPr>
            <w:r>
              <w:t xml:space="preserve">-0.0027 (0.0015)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-0.0056 (0.0052)</w:t>
            </w:r>
          </w:p>
        </w:tc>
        <w:tc>
          <w:tcPr/>
          <w:p>
            <w:pPr>
              <w:pStyle w:val="Compact"/>
              <w:jc w:val="left"/>
            </w:pPr>
            <w:r>
              <w:t xml:space="preserve">-1.1</w:t>
            </w:r>
          </w:p>
        </w:tc>
      </w:tr>
      <w:tr>
        <w:tc>
          <w:tcPr/>
          <w:p>
            <w:pPr>
              <w:pStyle w:val="Compact"/>
            </w:pPr>
          </w:p>
        </w:tc>
        <w:tc>
          <w:tcPr/>
          <w:p>
            <w:pPr>
              <w:pStyle w:val="Compact"/>
              <w:jc w:val="left"/>
            </w:pPr>
            <w:r>
              <w:t xml:space="preserve">Sal:Temp:Time_post</w:t>
            </w:r>
          </w:p>
        </w:tc>
        <w:tc>
          <w:tcPr/>
          <w:p>
            <w:pPr>
              <w:pStyle w:val="Compact"/>
              <w:jc w:val="left"/>
            </w:pPr>
            <w:r>
              <w:t xml:space="preserve">3.6e-05 (2.6e-05)</w:t>
            </w:r>
          </w:p>
        </w:tc>
        <w:tc>
          <w:tcPr/>
          <w:p>
            <w:pPr>
              <w:pStyle w:val="Compact"/>
              <w:jc w:val="left"/>
            </w:pPr>
            <w:r>
              <w:t xml:space="preserve">1.4</w:t>
            </w:r>
          </w:p>
        </w:tc>
      </w:tr>
      <w:tr>
        <w:tc>
          <w:tcPr/>
          <w:p>
            <w:pPr>
              <w:pStyle w:val="Compact"/>
              <w:jc w:val="left"/>
            </w:pPr>
            <w:r>
              <w:t xml:space="preserve">EPC 2</w:t>
            </w:r>
          </w:p>
        </w:tc>
        <w:tc>
          <w:tcPr/>
          <w:p>
            <w:pPr>
              <w:pStyle w:val="Compact"/>
              <w:jc w:val="left"/>
            </w:pPr>
            <w:r>
              <w:t xml:space="preserve">Both</w:t>
            </w:r>
          </w:p>
        </w:tc>
        <w:tc>
          <w:tcPr/>
          <w:p>
            <w:pPr>
              <w:pStyle w:val="Compact"/>
              <w:jc w:val="left"/>
            </w:pPr>
            <w:r>
              <w:t xml:space="preserve">0.0028 (0.00082)</w:t>
            </w:r>
          </w:p>
        </w:tc>
        <w:tc>
          <w:tcPr/>
          <w:p>
            <w:pPr>
              <w:pStyle w:val="Compact"/>
              <w:jc w:val="left"/>
            </w:pPr>
            <w:r>
              <w:t xml:space="preserve">3.4**</w:t>
            </w:r>
          </w:p>
        </w:tc>
      </w:tr>
      <w:tr>
        <w:tc>
          <w:tcPr/>
          <w:p>
            <w:pPr>
              <w:pStyle w:val="Compact"/>
            </w:pPr>
          </w:p>
        </w:tc>
        <w:tc>
          <w:tcPr/>
          <w:p>
            <w:pPr>
              <w:pStyle w:val="Compact"/>
              <w:jc w:val="left"/>
            </w:pPr>
            <w:r>
              <w:t xml:space="preserve">Time_post</w:t>
            </w:r>
          </w:p>
        </w:tc>
        <w:tc>
          <w:tcPr/>
          <w:p>
            <w:pPr>
              <w:pStyle w:val="Compact"/>
              <w:jc w:val="left"/>
            </w:pPr>
            <w:r>
              <w:t xml:space="preserve">0.059 (0.039)</w:t>
            </w:r>
          </w:p>
        </w:tc>
        <w:tc>
          <w:tcPr/>
          <w:p>
            <w:pPr>
              <w:pStyle w:val="Compact"/>
              <w:jc w:val="left"/>
            </w:pPr>
            <w:r>
              <w:t xml:space="preserve">1.5</w:t>
            </w:r>
          </w:p>
        </w:tc>
      </w:tr>
      <w:tr>
        <w:tc>
          <w:tcPr/>
          <w:p>
            <w:pPr>
              <w:pStyle w:val="Compact"/>
            </w:pPr>
          </w:p>
        </w:tc>
        <w:tc>
          <w:tcPr/>
          <w:p>
            <w:pPr>
              <w:pStyle w:val="Compact"/>
              <w:jc w:val="left"/>
            </w:pPr>
            <w:r>
              <w:t xml:space="preserve">Baysegment_HB</w:t>
            </w:r>
          </w:p>
        </w:tc>
        <w:tc>
          <w:tcPr/>
          <w:p>
            <w:pPr>
              <w:pStyle w:val="Compact"/>
              <w:jc w:val="left"/>
            </w:pPr>
            <w:r>
              <w:t xml:space="preserve">-0.38 (0.04)</w:t>
            </w:r>
          </w:p>
        </w:tc>
        <w:tc>
          <w:tcPr/>
          <w:p>
            <w:pPr>
              <w:pStyle w:val="Compact"/>
              <w:jc w:val="left"/>
            </w:pPr>
            <w:r>
              <w:t xml:space="preserve">-9.4**</w:t>
            </w:r>
          </w:p>
        </w:tc>
      </w:tr>
      <w:tr>
        <w:tc>
          <w:tcPr/>
          <w:p>
            <w:pPr>
              <w:pStyle w:val="Compact"/>
            </w:pPr>
          </w:p>
        </w:tc>
        <w:tc>
          <w:tcPr/>
          <w:p>
            <w:pPr>
              <w:pStyle w:val="Compact"/>
              <w:jc w:val="left"/>
            </w:pPr>
            <w:r>
              <w:t xml:space="preserve">Baysegment_MTB</w:t>
            </w:r>
          </w:p>
        </w:tc>
        <w:tc>
          <w:tcPr/>
          <w:p>
            <w:pPr>
              <w:pStyle w:val="Compact"/>
              <w:jc w:val="left"/>
            </w:pPr>
            <w:r>
              <w:t xml:space="preserve">-0.062 (0.042)</w:t>
            </w:r>
          </w:p>
        </w:tc>
        <w:tc>
          <w:tcPr/>
          <w:p>
            <w:pPr>
              <w:pStyle w:val="Compact"/>
              <w:jc w:val="left"/>
            </w:pPr>
            <w:r>
              <w:t xml:space="preserve">-1.5</w:t>
            </w:r>
          </w:p>
        </w:tc>
      </w:tr>
      <w:tr>
        <w:tc>
          <w:tcPr/>
          <w:p>
            <w:pPr>
              <w:pStyle w:val="Compact"/>
              <w:jc w:val="left"/>
            </w:pPr>
            <w:r>
              <w:t xml:space="preserve">FIM</w:t>
            </w:r>
          </w:p>
        </w:tc>
        <w:tc>
          <w:tcPr/>
          <w:p>
            <w:pPr>
              <w:pStyle w:val="Compact"/>
              <w:jc w:val="left"/>
            </w:pPr>
            <w:r>
              <w:t xml:space="preserve">Sal</w:t>
            </w:r>
          </w:p>
        </w:tc>
        <w:tc>
          <w:tcPr/>
          <w:p>
            <w:pPr>
              <w:pStyle w:val="Compact"/>
              <w:jc w:val="left"/>
            </w:pPr>
            <w:r>
              <w:t xml:space="preserve">0.043 (0.22)</w:t>
            </w:r>
          </w:p>
        </w:tc>
        <w:tc>
          <w:tcPr/>
          <w:p>
            <w:pPr>
              <w:pStyle w:val="Compact"/>
              <w:jc w:val="left"/>
            </w:pPr>
            <w:r>
              <w:t xml:space="preserve">0.2</w:t>
            </w:r>
          </w:p>
        </w:tc>
      </w:tr>
      <w:tr>
        <w:tc>
          <w:tcPr/>
          <w:p>
            <w:pPr>
              <w:pStyle w:val="Compact"/>
            </w:pPr>
          </w:p>
        </w:tc>
        <w:tc>
          <w:tcPr/>
          <w:p>
            <w:pPr>
              <w:pStyle w:val="Compact"/>
              <w:jc w:val="left"/>
            </w:pPr>
            <w:r>
              <w:t xml:space="preserve">Temp</w:t>
            </w:r>
          </w:p>
        </w:tc>
        <w:tc>
          <w:tcPr/>
          <w:p>
            <w:pPr>
              <w:pStyle w:val="Compact"/>
              <w:jc w:val="left"/>
            </w:pPr>
            <w:r>
              <w:t xml:space="preserve">0.052 (0.42)</w:t>
            </w:r>
          </w:p>
        </w:tc>
        <w:tc>
          <w:tcPr/>
          <w:p>
            <w:pPr>
              <w:pStyle w:val="Compact"/>
              <w:jc w:val="left"/>
            </w:pPr>
            <w:r>
              <w:t xml:space="preserve">0.12</w:t>
            </w:r>
          </w:p>
        </w:tc>
      </w:tr>
      <w:tr>
        <w:tc>
          <w:tcPr/>
          <w:p>
            <w:pPr>
              <w:pStyle w:val="Compact"/>
            </w:pPr>
          </w:p>
        </w:tc>
        <w:tc>
          <w:tcPr/>
          <w:p>
            <w:pPr>
              <w:pStyle w:val="Compact"/>
              <w:jc w:val="left"/>
            </w:pPr>
            <w:r>
              <w:t xml:space="preserve">Time_post</w:t>
            </w:r>
          </w:p>
        </w:tc>
        <w:tc>
          <w:tcPr/>
          <w:p>
            <w:pPr>
              <w:pStyle w:val="Compact"/>
              <w:jc w:val="left"/>
            </w:pPr>
            <w:r>
              <w:t xml:space="preserve">52 ( 32)</w:t>
            </w:r>
          </w:p>
        </w:tc>
        <w:tc>
          <w:tcPr/>
          <w:p>
            <w:pPr>
              <w:pStyle w:val="Compact"/>
              <w:jc w:val="left"/>
            </w:pPr>
            <w:r>
              <w:t xml:space="preserve">1.6</w:t>
            </w:r>
          </w:p>
        </w:tc>
      </w:tr>
      <w:tr>
        <w:tc>
          <w:tcPr/>
          <w:p>
            <w:pPr>
              <w:pStyle w:val="Compact"/>
            </w:pPr>
          </w:p>
        </w:tc>
        <w:tc>
          <w:tcPr/>
          <w:p>
            <w:pPr>
              <w:pStyle w:val="Compact"/>
              <w:jc w:val="left"/>
            </w:pPr>
            <w:r>
              <w:t xml:space="preserve">Baysegment_MTB</w:t>
            </w:r>
          </w:p>
        </w:tc>
        <w:tc>
          <w:tcPr/>
          <w:p>
            <w:pPr>
              <w:pStyle w:val="Compact"/>
              <w:jc w:val="left"/>
            </w:pPr>
            <w:r>
              <w:t xml:space="preserve">33 (2.5)</w:t>
            </w:r>
          </w:p>
        </w:tc>
        <w:tc>
          <w:tcPr/>
          <w:p>
            <w:pPr>
              <w:pStyle w:val="Compact"/>
              <w:jc w:val="left"/>
            </w:pPr>
            <w:r>
              <w:t xml:space="preserve">13**</w:t>
            </w:r>
          </w:p>
        </w:tc>
      </w:tr>
      <w:tr>
        <w:tc>
          <w:tcPr/>
          <w:p>
            <w:pPr>
              <w:pStyle w:val="Compact"/>
            </w:pPr>
          </w:p>
        </w:tc>
        <w:tc>
          <w:tcPr/>
          <w:p>
            <w:pPr>
              <w:pStyle w:val="Compact"/>
              <w:jc w:val="left"/>
            </w:pPr>
            <w:r>
              <w:t xml:space="preserve">Baysegment_OTB</w:t>
            </w:r>
          </w:p>
        </w:tc>
        <w:tc>
          <w:tcPr/>
          <w:p>
            <w:pPr>
              <w:pStyle w:val="Compact"/>
              <w:jc w:val="left"/>
            </w:pPr>
            <w:r>
              <w:t xml:space="preserve">28 (2.2)</w:t>
            </w:r>
          </w:p>
        </w:tc>
        <w:tc>
          <w:tcPr/>
          <w:p>
            <w:pPr>
              <w:pStyle w:val="Compact"/>
              <w:jc w:val="left"/>
            </w:pPr>
            <w:r>
              <w:t xml:space="preserve">13**</w:t>
            </w:r>
          </w:p>
        </w:tc>
      </w:tr>
      <w:tr>
        <w:tc>
          <w:tcPr/>
          <w:p>
            <w:pPr>
              <w:pStyle w:val="Compact"/>
            </w:pPr>
          </w:p>
        </w:tc>
        <w:tc>
          <w:tcPr/>
          <w:p>
            <w:pPr>
              <w:pStyle w:val="Compact"/>
              <w:jc w:val="left"/>
            </w:pPr>
            <w:r>
              <w:t xml:space="preserve">Sal:Time_post</w:t>
            </w:r>
          </w:p>
        </w:tc>
        <w:tc>
          <w:tcPr/>
          <w:p>
            <w:pPr>
              <w:pStyle w:val="Compact"/>
              <w:jc w:val="left"/>
            </w:pPr>
            <w:r>
              <w:t xml:space="preserve">0.93 (0.5)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-2.4 (1.1)</w:t>
            </w:r>
          </w:p>
        </w:tc>
        <w:tc>
          <w:tcPr/>
          <w:p>
            <w:pPr>
              <w:pStyle w:val="Compact"/>
              <w:jc w:val="left"/>
            </w:pPr>
            <w:r>
              <w:t xml:space="preserve">-2.2*</w:t>
            </w:r>
          </w:p>
        </w:tc>
      </w:tr>
      <w:tr>
        <w:tc>
          <w:tcPr/>
          <w:p>
            <w:pPr>
              <w:pStyle w:val="Compact"/>
              <w:jc w:val="left"/>
            </w:pPr>
            <w:r>
              <w:t xml:space="preserve">PDEM</w:t>
            </w:r>
          </w:p>
        </w:tc>
        <w:tc>
          <w:tcPr/>
          <w:p>
            <w:pPr>
              <w:pStyle w:val="Compact"/>
              <w:jc w:val="left"/>
            </w:pPr>
            <w:r>
              <w:t xml:space="preserve">Time_post</w:t>
            </w:r>
          </w:p>
        </w:tc>
        <w:tc>
          <w:tcPr/>
          <w:p>
            <w:pPr>
              <w:pStyle w:val="Compact"/>
              <w:jc w:val="left"/>
            </w:pPr>
            <w:r>
              <w:t xml:space="preserve">-0.45 (0.24)</w:t>
            </w:r>
          </w:p>
        </w:tc>
        <w:tc>
          <w:tcPr/>
          <w:p>
            <w:pPr>
              <w:pStyle w:val="Compact"/>
              <w:jc w:val="left"/>
            </w:pPr>
            <w:r>
              <w:t xml:space="preserve">-1.8</w:t>
            </w:r>
            <m:oMath>
              <m:sSup>
                <m:e>
                  <m:r>
                    <m:t>​</m:t>
                  </m:r>
                </m:e>
                <m:sup>
                  <m:r>
                    <m:rPr>
                      <m:sty m:val="p"/>
                    </m:rPr>
                    <m:t>.</m:t>
                  </m:r>
                </m:sup>
              </m:sSup>
            </m:oMath>
          </w:p>
        </w:tc>
      </w:tr>
    </w:tbl>
    <w:bookmarkEnd w:id="73"/>
    <w:p>
      <w:r>
        <w:br w:type="page"/>
      </w:r>
    </w:p>
    <w:bookmarkEnd w:id="74"/>
    <w:bookmarkStart w:id="239" w:name="references"/>
    <w:p>
      <w:pPr>
        <w:pStyle w:val="Heading2"/>
      </w:pPr>
      <w:r>
        <w:t xml:space="preserve">References</w:t>
      </w:r>
    </w:p>
    <w:bookmarkStart w:id="238" w:name="refs"/>
    <w:bookmarkStart w:id="76"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5">
        <w:r>
          <w:rPr>
            <w:rStyle w:val="Hyperlink"/>
          </w:rPr>
          <w:t xml:space="preserve">https://doi.org/10.1016/j.ocecoaman.2023.106929</w:t>
        </w:r>
      </w:hyperlink>
      <w:r>
        <w:t xml:space="preserve">.</w:t>
      </w:r>
    </w:p>
    <w:bookmarkEnd w:id="76"/>
    <w:bookmarkStart w:id="78"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7">
        <w:r>
          <w:rPr>
            <w:rStyle w:val="Hyperlink"/>
          </w:rPr>
          <w:t xml:space="preserve">https://doi.org/10.18637/jss.v067.i01</w:t>
        </w:r>
      </w:hyperlink>
      <w:r>
        <w:t xml:space="preserve">.</w:t>
      </w:r>
    </w:p>
    <w:bookmarkEnd w:id="78"/>
    <w:bookmarkStart w:id="80" w:name="ref-Beck20a"/>
    <w:p>
      <w:pPr>
        <w:pStyle w:val="Bibliography"/>
      </w:pPr>
      <w:r>
        <w:t xml:space="preserve">Beck, M. W. 2020a.</w:t>
      </w:r>
      <w:r>
        <w:t xml:space="preserve"> </w:t>
      </w:r>
      <w:r>
        <w:t xml:space="preserve">t</w:t>
      </w:r>
      <w:r>
        <w:t xml:space="preserve">bep-tech/wq-dash: v1.0 (version v1.0). Zenodo.</w:t>
      </w:r>
      <w:r>
        <w:t xml:space="preserve"> </w:t>
      </w:r>
      <w:hyperlink r:id="rId79">
        <w:r>
          <w:rPr>
            <w:rStyle w:val="Hyperlink"/>
          </w:rPr>
          <w:t xml:space="preserve">https://doi.org/10.5281/zenodo.3648664</w:t>
        </w:r>
      </w:hyperlink>
      <w:r>
        <w:t xml:space="preserve">.</w:t>
      </w:r>
    </w:p>
    <w:bookmarkEnd w:id="80"/>
    <w:bookmarkStart w:id="82" w:name="ref-Beck20b"/>
    <w:p>
      <w:pPr>
        <w:pStyle w:val="Bibliography"/>
      </w:pPr>
      <w:r>
        <w:t xml:space="preserve">Beck, M. W. 2020b.</w:t>
      </w:r>
      <w:r>
        <w:t xml:space="preserve"> </w:t>
      </w:r>
      <w:r>
        <w:t xml:space="preserve">t</w:t>
      </w:r>
      <w:r>
        <w:t xml:space="preserve">bep-tech/seagrasstransect-dash: v1.0 (version v1.0). Zenodo.</w:t>
      </w:r>
      <w:r>
        <w:t xml:space="preserve"> </w:t>
      </w:r>
      <w:hyperlink r:id="rId81">
        <w:r>
          <w:rPr>
            <w:rStyle w:val="Hyperlink"/>
          </w:rPr>
          <w:t xml:space="preserve">https://doi.org/10.5281/zenodo.4319936</w:t>
        </w:r>
      </w:hyperlink>
      <w:r>
        <w:t xml:space="preserve">.</w:t>
      </w:r>
    </w:p>
    <w:bookmarkEnd w:id="82"/>
    <w:bookmarkStart w:id="84"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83">
        <w:r>
          <w:rPr>
            <w:rStyle w:val="Hyperlink"/>
          </w:rPr>
          <w:t xml:space="preserve">https://doi.org/10.1016/j.marpolbul.2022.113598</w:t>
        </w:r>
      </w:hyperlink>
      <w:r>
        <w:t xml:space="preserve">.</w:t>
      </w:r>
    </w:p>
    <w:bookmarkEnd w:id="84"/>
    <w:bookmarkStart w:id="86"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85">
        <w:r>
          <w:rPr>
            <w:rStyle w:val="Hyperlink"/>
          </w:rPr>
          <w:t xml:space="preserve">https://doi.org/10.3389/fevo.2023.1070266</w:t>
        </w:r>
      </w:hyperlink>
      <w:r>
        <w:t xml:space="preserve">.</w:t>
      </w:r>
    </w:p>
    <w:bookmarkEnd w:id="86"/>
    <w:bookmarkStart w:id="88"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87">
        <w:r>
          <w:rPr>
            <w:rStyle w:val="Hyperlink"/>
          </w:rPr>
          <w:t xml:space="preserve">https://doi.org/10.21105/joss.03485</w:t>
        </w:r>
      </w:hyperlink>
      <w:r>
        <w:t xml:space="preserve">.</w:t>
      </w:r>
    </w:p>
    <w:bookmarkEnd w:id="88"/>
    <w:bookmarkStart w:id="90"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89">
        <w:r>
          <w:rPr>
            <w:rStyle w:val="Hyperlink"/>
          </w:rPr>
          <w:t xml:space="preserve">https://doi.org/10.1007/s12237-019-00619-w</w:t>
        </w:r>
      </w:hyperlink>
      <w:r>
        <w:t xml:space="preserve">.</w:t>
      </w:r>
    </w:p>
    <w:bookmarkEnd w:id="90"/>
    <w:bookmarkStart w:id="92" w:name="ref-begueria23"/>
    <w:p>
      <w:pPr>
        <w:pStyle w:val="Bibliography"/>
      </w:pPr>
      <w:r>
        <w:t xml:space="preserve">Beguería, S., and S. M. Vicente-Serrano. 2023.</w:t>
      </w:r>
      <w:r>
        <w:t xml:space="preserve"> </w:t>
      </w:r>
      <w:hyperlink r:id="rId91">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92"/>
    <w:bookmarkStart w:id="94"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93">
        <w:r>
          <w:rPr>
            <w:rStyle w:val="Hyperlink"/>
          </w:rPr>
          <w:t xml:space="preserve">https://doi.org/10.1002/joc.3887</w:t>
        </w:r>
      </w:hyperlink>
      <w:r>
        <w:t xml:space="preserve">.</w:t>
      </w:r>
    </w:p>
    <w:bookmarkEnd w:id="94"/>
    <w:bookmarkStart w:id="96"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5">
        <w:r>
          <w:rPr>
            <w:rStyle w:val="Hyperlink"/>
          </w:rPr>
          <w:t xml:space="preserve">https://doi.org/10.3354/meps147277</w:t>
        </w:r>
      </w:hyperlink>
      <w:r>
        <w:t xml:space="preserve">.</w:t>
      </w:r>
    </w:p>
    <w:bookmarkEnd w:id="96"/>
    <w:bookmarkStart w:id="98" w:name="ref-blakesley2001"/>
    <w:p>
      <w:pPr>
        <w:pStyle w:val="Bibliography"/>
      </w:pPr>
      <w:r>
        <w:t xml:space="preserve">Blakesley, B., P. Hall, D. Berns, J. Hyniova, M. Merello, and R. Conroy. 2001.</w:t>
      </w:r>
      <w:r>
        <w:t xml:space="preserve"> </w:t>
      </w:r>
      <w:hyperlink r:id="rId97">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98"/>
    <w:bookmarkStart w:id="100"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99">
        <w:r>
          <w:rPr>
            <w:rStyle w:val="Hyperlink"/>
          </w:rPr>
          <w:t xml:space="preserve">https://doi.org/10.2134/jeq2001.302303x</w:t>
        </w:r>
      </w:hyperlink>
      <w:r>
        <w:t xml:space="preserve">.</w:t>
      </w:r>
    </w:p>
    <w:bookmarkEnd w:id="100"/>
    <w:bookmarkStart w:id="102"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01">
        <w:r>
          <w:rPr>
            <w:rStyle w:val="Hyperlink"/>
          </w:rPr>
          <w:t xml:space="preserve">https://doi.org/10.1111/1365-2664.13169</w:t>
        </w:r>
      </w:hyperlink>
      <w:r>
        <w:t xml:space="preserve">.</w:t>
      </w:r>
    </w:p>
    <w:bookmarkEnd w:id="102"/>
    <w:bookmarkStart w:id="104"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03">
        <w:r>
          <w:rPr>
            <w:rStyle w:val="Hyperlink"/>
          </w:rPr>
          <w:t xml:space="preserve">https://doi.org/10.2307/1352383</w:t>
        </w:r>
      </w:hyperlink>
      <w:r>
        <w:t xml:space="preserve">.</w:t>
      </w:r>
    </w:p>
    <w:bookmarkEnd w:id="104"/>
    <w:bookmarkStart w:id="106"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05">
        <w:r>
          <w:rPr>
            <w:rStyle w:val="Hyperlink"/>
          </w:rPr>
          <w:t xml:space="preserve">https://doi.org/10.1016/j.jembe.2007.06.024</w:t>
        </w:r>
      </w:hyperlink>
      <w:r>
        <w:t xml:space="preserve">.</w:t>
      </w:r>
    </w:p>
    <w:bookmarkEnd w:id="106"/>
    <w:bookmarkStart w:id="108" w:name="ref-chamberlain23"/>
    <w:p>
      <w:pPr>
        <w:pStyle w:val="Bibliography"/>
      </w:pPr>
      <w:r>
        <w:t xml:space="preserve">Chamberlain, S., and D. Hocking. 2023.</w:t>
      </w:r>
      <w:r>
        <w:t xml:space="preserve"> </w:t>
      </w:r>
      <w:hyperlink r:id="rId107">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08"/>
    <w:bookmarkStart w:id="110"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09">
        <w:r>
          <w:rPr>
            <w:rStyle w:val="Hyperlink"/>
          </w:rPr>
          <w:t xml:space="preserve">https://doi.org/10.1016/j.jenvman.2018.01.025</w:t>
        </w:r>
      </w:hyperlink>
      <w:r>
        <w:t xml:space="preserve">.</w:t>
      </w:r>
    </w:p>
    <w:bookmarkEnd w:id="110"/>
    <w:bookmarkStart w:id="112"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11">
        <w:r>
          <w:rPr>
            <w:rStyle w:val="Hyperlink"/>
          </w:rPr>
          <w:t xml:space="preserve">https://doi.org/10.1080/00785236.1995.10422039</w:t>
        </w:r>
      </w:hyperlink>
      <w:r>
        <w:t xml:space="preserve">.</w:t>
      </w:r>
    </w:p>
    <w:bookmarkEnd w:id="112"/>
    <w:bookmarkStart w:id="114"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13">
        <w:r>
          <w:rPr>
            <w:rStyle w:val="Hyperlink"/>
          </w:rPr>
          <w:t xml:space="preserve">https://doi.org/10.1007/s12237-008-9038-7</w:t>
        </w:r>
      </w:hyperlink>
      <w:r>
        <w:t xml:space="preserve">.</w:t>
      </w:r>
    </w:p>
    <w:bookmarkEnd w:id="114"/>
    <w:bookmarkStart w:id="116"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15">
        <w:r>
          <w:rPr>
            <w:rStyle w:val="Hyperlink"/>
          </w:rPr>
          <w:t xml:space="preserve">https://doi.org/10.3389/fpls.2021.612947</w:t>
        </w:r>
      </w:hyperlink>
      <w:r>
        <w:t xml:space="preserve">.</w:t>
      </w:r>
    </w:p>
    <w:bookmarkEnd w:id="116"/>
    <w:bookmarkStart w:id="118"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17">
        <w:r>
          <w:rPr>
            <w:rStyle w:val="Hyperlink"/>
          </w:rPr>
          <w:t xml:space="preserve">https://doi.org/10.1111/gcb.15684</w:t>
        </w:r>
      </w:hyperlink>
      <w:r>
        <w:t xml:space="preserve">.</w:t>
      </w:r>
    </w:p>
    <w:bookmarkEnd w:id="118"/>
    <w:bookmarkStart w:id="120"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19">
        <w:r>
          <w:rPr>
            <w:rStyle w:val="Hyperlink"/>
          </w:rPr>
          <w:t xml:space="preserve">https://doi.org/10.1111/conl.12938</w:t>
        </w:r>
      </w:hyperlink>
      <w:r>
        <w:t xml:space="preserve">.</w:t>
      </w:r>
    </w:p>
    <w:bookmarkEnd w:id="120"/>
    <w:bookmarkStart w:id="122"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21">
        <w:r>
          <w:rPr>
            <w:rStyle w:val="Hyperlink"/>
          </w:rPr>
          <w:t xml:space="preserve">https://doi.org/10.1038/ngeo1477</w:t>
        </w:r>
      </w:hyperlink>
      <w:r>
        <w:t xml:space="preserve">.</w:t>
      </w:r>
    </w:p>
    <w:bookmarkEnd w:id="122"/>
    <w:bookmarkStart w:id="124"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23">
        <w:r>
          <w:rPr>
            <w:rStyle w:val="Hyperlink"/>
          </w:rPr>
          <w:t xml:space="preserve">https://doi.org/10.1016/j.marpolbul.2010.11.017</w:t>
        </w:r>
      </w:hyperlink>
      <w:r>
        <w:t xml:space="preserve">.</w:t>
      </w:r>
    </w:p>
    <w:bookmarkEnd w:id="124"/>
    <w:bookmarkStart w:id="126"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25">
        <w:r>
          <w:rPr>
            <w:rStyle w:val="Hyperlink"/>
          </w:rPr>
          <w:t xml:space="preserve">https://doi.org/10.1007/s00267-005-0079-4</w:t>
        </w:r>
      </w:hyperlink>
      <w:r>
        <w:t xml:space="preserve">.</w:t>
      </w:r>
    </w:p>
    <w:bookmarkEnd w:id="126"/>
    <w:bookmarkStart w:id="128"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27">
        <w:r>
          <w:rPr>
            <w:rStyle w:val="Hyperlink"/>
          </w:rPr>
          <w:t xml:space="preserve">https://doi.org/10.1016/j.ecss.2014.10.003</w:t>
        </w:r>
      </w:hyperlink>
      <w:r>
        <w:t xml:space="preserve">.</w:t>
      </w:r>
    </w:p>
    <w:bookmarkEnd w:id="128"/>
    <w:bookmarkStart w:id="130" w:name="ref-hall2016"/>
    <w:p>
      <w:pPr>
        <w:pStyle w:val="Bibliography"/>
      </w:pPr>
      <w:r>
        <w:t xml:space="preserve">Hall, M.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29">
        <w:r>
          <w:rPr>
            <w:rStyle w:val="Hyperlink"/>
          </w:rPr>
          <w:t xml:space="preserve">https://doi.org/10.3354/meps11923</w:t>
        </w:r>
      </w:hyperlink>
      <w:r>
        <w:t xml:space="preserve">.</w:t>
      </w:r>
    </w:p>
    <w:bookmarkEnd w:id="130"/>
    <w:bookmarkStart w:id="132"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31">
        <w:r>
          <w:rPr>
            <w:rStyle w:val="Hyperlink"/>
          </w:rPr>
          <w:t xml:space="preserve">https://doi.org/10.1073/pnas.2220678120</w:t>
        </w:r>
      </w:hyperlink>
      <w:r>
        <w:t xml:space="preserve">.</w:t>
      </w:r>
    </w:p>
    <w:bookmarkEnd w:id="132"/>
    <w:bookmarkStart w:id="134"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33">
        <w:r>
          <w:rPr>
            <w:rStyle w:val="Hyperlink"/>
          </w:rPr>
          <w:t xml:space="preserve">https://doi.org/10.1029/wr018i001p00107</w:t>
        </w:r>
      </w:hyperlink>
      <w:r>
        <w:t xml:space="preserve">.</w:t>
      </w:r>
    </w:p>
    <w:bookmarkEnd w:id="134"/>
    <w:bookmarkStart w:id="136"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35">
        <w:r>
          <w:rPr>
            <w:rStyle w:val="Hyperlink"/>
          </w:rPr>
          <w:t xml:space="preserve">https://doi.org/10.1101/sqb.1957.022.01.039</w:t>
        </w:r>
      </w:hyperlink>
      <w:r>
        <w:t xml:space="preserve">.</w:t>
      </w:r>
    </w:p>
    <w:bookmarkEnd w:id="136"/>
    <w:bookmarkStart w:id="138" w:name="ref-tbep0696"/>
    <w:p>
      <w:pPr>
        <w:pStyle w:val="Bibliography"/>
      </w:pPr>
      <w:r>
        <w:t xml:space="preserve">Janicki, A. J., and D. L. Wade. 1996.</w:t>
      </w:r>
      <w:r>
        <w:t xml:space="preserve"> </w:t>
      </w:r>
      <w:hyperlink r:id="rId137">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38"/>
    <w:bookmarkStart w:id="140" w:name="ref-jei2022"/>
    <w:p>
      <w:pPr>
        <w:pStyle w:val="Bibliography"/>
      </w:pPr>
      <w:r>
        <w:t xml:space="preserve">Janicki Environmental, Inc. 2022.</w:t>
      </w:r>
      <w:r>
        <w:t xml:space="preserve"> </w:t>
      </w:r>
      <w:hyperlink r:id="rId139">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40"/>
    <w:bookmarkStart w:id="142" w:name="ref-tbep0623"/>
    <w:p>
      <w:pPr>
        <w:pStyle w:val="Bibliography"/>
      </w:pPr>
      <w:r>
        <w:t xml:space="preserve">Janicki Environmental, Inc. 2023.</w:t>
      </w:r>
      <w:r>
        <w:t xml:space="preserve"> </w:t>
      </w:r>
      <w:hyperlink r:id="rId141">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42"/>
    <w:bookmarkStart w:id="144" w:name="ref-tbep0816"/>
    <w:p>
      <w:pPr>
        <w:pStyle w:val="Bibliography"/>
      </w:pPr>
      <w:r>
        <w:t xml:space="preserve">Johansson, J. O. R. 2016.</w:t>
      </w:r>
      <w:r>
        <w:t xml:space="preserve"> </w:t>
      </w:r>
      <w:hyperlink r:id="rId143">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44"/>
    <w:bookmarkStart w:id="146" w:name="ref-johansson15"/>
    <w:p>
      <w:pPr>
        <w:pStyle w:val="Bibliography"/>
      </w:pPr>
      <w:r>
        <w:t xml:space="preserve">Johansson, J. O. R., and Janicki Environmental, Inc. 2015.</w:t>
      </w:r>
      <w:r>
        <w:t xml:space="preserve"> </w:t>
      </w:r>
      <w:hyperlink r:id="rId145">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46"/>
    <w:bookmarkStart w:id="148"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47">
        <w:r>
          <w:rPr>
            <w:rStyle w:val="Hyperlink"/>
          </w:rPr>
          <w:t xml:space="preserve">https://doi.org/10.1073/pnas.1715798115</w:t>
        </w:r>
      </w:hyperlink>
      <w:r>
        <w:t xml:space="preserve">.</w:t>
      </w:r>
    </w:p>
    <w:bookmarkEnd w:id="148"/>
    <w:bookmarkStart w:id="150"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49">
        <w:r>
          <w:rPr>
            <w:rStyle w:val="Hyperlink"/>
          </w:rPr>
          <w:t xml:space="preserve">https://doi.org/10.1111/gcb.13623</w:t>
        </w:r>
      </w:hyperlink>
      <w:r>
        <w:t xml:space="preserve">.</w:t>
      </w:r>
    </w:p>
    <w:bookmarkEnd w:id="150"/>
    <w:bookmarkStart w:id="152" w:name="ref-lewis1985"/>
    <w:p>
      <w:pPr>
        <w:pStyle w:val="Bibliography"/>
      </w:pPr>
      <w:r>
        <w:t xml:space="preserve">Lewis III, R. R., M. Durako, M. Moffler, and R. Phillips. 1985.</w:t>
      </w:r>
      <w:r>
        <w:t xml:space="preserve"> </w:t>
      </w:r>
      <w:hyperlink r:id="rId151">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52"/>
    <w:bookmarkStart w:id="154"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53">
        <w:r>
          <w:rPr>
            <w:rStyle w:val="Hyperlink"/>
          </w:rPr>
          <w:t xml:space="preserve">https://doi.org/10.1007/bf02691700</w:t>
        </w:r>
      </w:hyperlink>
      <w:r>
        <w:t xml:space="preserve">.</w:t>
      </w:r>
    </w:p>
    <w:bookmarkEnd w:id="154"/>
    <w:bookmarkStart w:id="156"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55">
        <w:r>
          <w:rPr>
            <w:rStyle w:val="Hyperlink"/>
          </w:rPr>
          <w:t xml:space="preserve">https://doi.org/10.1016/j.ecss.2022.108134</w:t>
        </w:r>
      </w:hyperlink>
      <w:r>
        <w:t xml:space="preserve">.</w:t>
      </w:r>
    </w:p>
    <w:bookmarkEnd w:id="156"/>
    <w:bookmarkStart w:id="158" w:name="ref-lopez2021"/>
    <w:p>
      <w:pPr>
        <w:pStyle w:val="Bibliography"/>
      </w:pPr>
      <w:r>
        <w:t xml:space="preserve">Lopez, C. B., S. Shankar, S. G. Kaminski, M. Garrett, and K. A. Hubbard. 2021.</w:t>
      </w:r>
      <w:r>
        <w:t xml:space="preserve"> </w:t>
      </w:r>
      <w:hyperlink r:id="rId157">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58"/>
    <w:bookmarkStart w:id="159"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59"/>
    <w:bookmarkStart w:id="161" w:name="ref-luther2022"/>
    <w:p>
      <w:pPr>
        <w:pStyle w:val="Bibliography"/>
      </w:pPr>
      <w:r>
        <w:t xml:space="preserve">Luther, M. E., and S. D. Meyers. 2022.</w:t>
      </w:r>
      <w:r>
        <w:t xml:space="preserve"> </w:t>
      </w:r>
      <w:hyperlink r:id="rId160">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61"/>
    <w:bookmarkStart w:id="163"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62">
        <w:r>
          <w:rPr>
            <w:rStyle w:val="Hyperlink"/>
          </w:rPr>
          <w:t xml:space="preserve">https://doi.org/10.1016/j.seares.2012.03.002</w:t>
        </w:r>
      </w:hyperlink>
      <w:r>
        <w:t xml:space="preserve">.</w:t>
      </w:r>
    </w:p>
    <w:bookmarkEnd w:id="163"/>
    <w:bookmarkStart w:id="165"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64">
        <w:r>
          <w:rPr>
            <w:rStyle w:val="Hyperlink"/>
          </w:rPr>
          <w:t xml:space="preserve">https://doi.org/10.1111/brv.12294</w:t>
        </w:r>
      </w:hyperlink>
      <w:r>
        <w:t xml:space="preserve">.</w:t>
      </w:r>
    </w:p>
    <w:bookmarkEnd w:id="165"/>
    <w:bookmarkStart w:id="167"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66">
        <w:r>
          <w:rPr>
            <w:rStyle w:val="Hyperlink"/>
          </w:rPr>
          <w:t xml:space="preserve">https://doi.org/10.2307/1932688</w:t>
        </w:r>
      </w:hyperlink>
      <w:r>
        <w:t xml:space="preserve">.</w:t>
      </w:r>
    </w:p>
    <w:bookmarkEnd w:id="167"/>
    <w:bookmarkStart w:id="169" w:name="ref-millard13"/>
    <w:p>
      <w:pPr>
        <w:pStyle w:val="Bibliography"/>
      </w:pPr>
      <w:r>
        <w:t xml:space="preserve">Millard, S. P. 2013.</w:t>
      </w:r>
      <w:r>
        <w:t xml:space="preserve"> </w:t>
      </w:r>
      <w:hyperlink r:id="rId168">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169"/>
    <w:bookmarkStart w:id="171"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70">
        <w:r>
          <w:rPr>
            <w:rStyle w:val="Hyperlink"/>
          </w:rPr>
          <w:t xml:space="preserve">https://doi.org/10.1016/j.dsr2.2023.105321</w:t>
        </w:r>
      </w:hyperlink>
      <w:r>
        <w:t xml:space="preserve">.</w:t>
      </w:r>
    </w:p>
    <w:bookmarkEnd w:id="171"/>
    <w:bookmarkStart w:id="173"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72">
        <w:r>
          <w:rPr>
            <w:rStyle w:val="Hyperlink"/>
          </w:rPr>
          <w:t xml:space="preserve">https://doi.org/10.1038/s41467-018-03732-9</w:t>
        </w:r>
      </w:hyperlink>
      <w:r>
        <w:t xml:space="preserve">.</w:t>
      </w:r>
    </w:p>
    <w:bookmarkEnd w:id="173"/>
    <w:bookmarkStart w:id="175"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174">
        <w:r>
          <w:rPr>
            <w:rStyle w:val="Hyperlink"/>
          </w:rPr>
          <w:t xml:space="preserve">https://doi.org/10.1641/0006-3568(2006)56[987:agcfse]2.0.co;2</w:t>
        </w:r>
      </w:hyperlink>
      <w:r>
        <w:t xml:space="preserve">.</w:t>
      </w:r>
    </w:p>
    <w:bookmarkEnd w:id="175"/>
    <w:bookmarkStart w:id="177"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176">
        <w:r>
          <w:rPr>
            <w:rStyle w:val="Hyperlink"/>
          </w:rPr>
          <w:t xml:space="preserve">https://doi.org/10.1093/biosci/bix058</w:t>
        </w:r>
      </w:hyperlink>
      <w:r>
        <w:t xml:space="preserve">.</w:t>
      </w:r>
    </w:p>
    <w:bookmarkEnd w:id="177"/>
    <w:bookmarkStart w:id="179"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178">
        <w:r>
          <w:rPr>
            <w:rStyle w:val="Hyperlink"/>
          </w:rPr>
          <w:t xml:space="preserve">https://doi.org/10.1007/s12237-023-01252-4</w:t>
        </w:r>
      </w:hyperlink>
      <w:r>
        <w:t xml:space="preserve">.</w:t>
      </w:r>
    </w:p>
    <w:bookmarkEnd w:id="179"/>
    <w:bookmarkStart w:id="181"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180">
        <w:r>
          <w:rPr>
            <w:rStyle w:val="Hyperlink"/>
          </w:rPr>
          <w:t xml:space="preserve">https://doi.org/10.1126/sciadv.abc6434</w:t>
        </w:r>
      </w:hyperlink>
      <w:r>
        <w:t xml:space="preserve">.</w:t>
      </w:r>
    </w:p>
    <w:bookmarkEnd w:id="181"/>
    <w:bookmarkStart w:id="183"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182">
        <w:r>
          <w:rPr>
            <w:rStyle w:val="Hyperlink"/>
          </w:rPr>
          <w:t xml:space="preserve">https://doi.org/10.1111/gcb.13084</w:t>
        </w:r>
      </w:hyperlink>
      <w:r>
        <w:t xml:space="preserve">.</w:t>
      </w:r>
    </w:p>
    <w:bookmarkEnd w:id="183"/>
    <w:bookmarkStart w:id="184"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184"/>
    <w:bookmarkStart w:id="186"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185">
        <w:r>
          <w:rPr>
            <w:rStyle w:val="Hyperlink"/>
          </w:rPr>
          <w:t xml:space="preserve">https://doi.org/10.3354/meps322099</w:t>
        </w:r>
      </w:hyperlink>
      <w:r>
        <w:t xml:space="preserve">.</w:t>
      </w:r>
    </w:p>
    <w:bookmarkEnd w:id="186"/>
    <w:bookmarkStart w:id="188"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187">
        <w:r>
          <w:rPr>
            <w:rStyle w:val="Hyperlink"/>
          </w:rPr>
          <w:t xml:space="preserve">https://doi.org/10.3354/meps08925</w:t>
        </w:r>
      </w:hyperlink>
      <w:r>
        <w:t xml:space="preserve">.</w:t>
      </w:r>
    </w:p>
    <w:bookmarkEnd w:id="188"/>
    <w:bookmarkStart w:id="189"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189"/>
    <w:bookmarkStart w:id="191" w:name="ref-Robison20"/>
    <w:p>
      <w:pPr>
        <w:pStyle w:val="Bibliography"/>
      </w:pPr>
      <w:r>
        <w:t xml:space="preserve">Robison, D., T. Ries, J. Saarinen, D. A. Tomasko, and C. Sciarrino. 2020.</w:t>
      </w:r>
      <w:r>
        <w:t xml:space="preserve"> </w:t>
      </w:r>
      <w:hyperlink r:id="rId190">
        <w:r>
          <w:rPr>
            <w:rStyle w:val="Hyperlink"/>
            <w:iCs/>
            <w:i/>
          </w:rPr>
          <w:t xml:space="preserve">Tampa Bay Estuary Program: 2020 Habitat Master Plan Update</w:t>
        </w:r>
      </w:hyperlink>
      <w:r>
        <w:t xml:space="preserve">. Technical report. Tampa Bay Estuary Program, St. Petersburg, Florida.</w:t>
      </w:r>
    </w:p>
    <w:bookmarkEnd w:id="191"/>
    <w:bookmarkStart w:id="193"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192">
        <w:r>
          <w:rPr>
            <w:rStyle w:val="Hyperlink"/>
          </w:rPr>
          <w:t xml:space="preserve">https://doi.org/10.1016/j.ecolind.2015.12.007</w:t>
        </w:r>
      </w:hyperlink>
      <w:r>
        <w:t xml:space="preserve">.</w:t>
      </w:r>
    </w:p>
    <w:bookmarkEnd w:id="193"/>
    <w:bookmarkStart w:id="194"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194"/>
    <w:bookmarkStart w:id="196"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195">
        <w:r>
          <w:rPr>
            <w:rStyle w:val="Hyperlink"/>
          </w:rPr>
          <w:t xml:space="preserve">https://doi.org/10.1016/j.ecolind.2020.107310</w:t>
        </w:r>
      </w:hyperlink>
      <w:r>
        <w:t xml:space="preserve">.</w:t>
      </w:r>
    </w:p>
    <w:bookmarkEnd w:id="196"/>
    <w:bookmarkStart w:id="197"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197"/>
    <w:bookmarkStart w:id="199"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198">
        <w:r>
          <w:rPr>
            <w:rStyle w:val="Hyperlink"/>
          </w:rPr>
          <w:t xml:space="preserve">https://doi.org/10.1007/s00267-013-0179-5</w:t>
        </w:r>
      </w:hyperlink>
      <w:r>
        <w:t xml:space="preserve">.</w:t>
      </w:r>
    </w:p>
    <w:bookmarkEnd w:id="199"/>
    <w:bookmarkStart w:id="201" w:name="ref-sherwood2015"/>
    <w:p>
      <w:pPr>
        <w:pStyle w:val="Bibliography"/>
      </w:pPr>
      <w:r>
        <w:t xml:space="preserve">Sherwood, E. T., H. S. Greening, L. Garcia, K. Kaufman, T. Janicki, R. Pribble, B. Cunningham, et al. 2015.</w:t>
      </w:r>
      <w:r>
        <w:t xml:space="preserve"> </w:t>
      </w:r>
      <w:hyperlink r:id="rId200">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01"/>
    <w:bookmarkStart w:id="203"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02">
        <w:r>
          <w:rPr>
            <w:rStyle w:val="Hyperlink"/>
          </w:rPr>
          <w:t xml:space="preserve">https://doi.org/10.1016/j.rsma.2015.05.005</w:t>
        </w:r>
      </w:hyperlink>
      <w:r>
        <w:t xml:space="preserve">.</w:t>
      </w:r>
    </w:p>
    <w:bookmarkEnd w:id="203"/>
    <w:bookmarkStart w:id="205"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04">
        <w:r>
          <w:rPr>
            <w:rStyle w:val="Hyperlink"/>
          </w:rPr>
          <w:t xml:space="preserve">https://doi.org/10.1353/sgo.2017.0026</w:t>
        </w:r>
      </w:hyperlink>
      <w:r>
        <w:t xml:space="preserve">.</w:t>
      </w:r>
    </w:p>
    <w:bookmarkEnd w:id="205"/>
    <w:bookmarkStart w:id="207"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06">
        <w:r>
          <w:rPr>
            <w:rStyle w:val="Hyperlink"/>
          </w:rPr>
          <w:t xml:space="preserve">https://doi.org/10.21203/rs.3.rs-3528678/v1</w:t>
        </w:r>
      </w:hyperlink>
      <w:r>
        <w:t xml:space="preserve">.</w:t>
      </w:r>
    </w:p>
    <w:bookmarkEnd w:id="207"/>
    <w:bookmarkStart w:id="209"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08">
        <w:r>
          <w:rPr>
            <w:rStyle w:val="Hyperlink"/>
          </w:rPr>
          <w:t xml:space="preserve">https://doi.org/10.1016/j.scitotenv.2011.09.088</w:t>
        </w:r>
      </w:hyperlink>
      <w:r>
        <w:t xml:space="preserve">.</w:t>
      </w:r>
    </w:p>
    <w:bookmarkEnd w:id="209"/>
    <w:bookmarkStart w:id="211"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10">
        <w:r>
          <w:rPr>
            <w:rStyle w:val="Hyperlink"/>
          </w:rPr>
          <w:t xml:space="preserve">https://doi.org/10.3389/fevo.2023.1134069</w:t>
        </w:r>
      </w:hyperlink>
      <w:r>
        <w:t xml:space="preserve">.</w:t>
      </w:r>
    </w:p>
    <w:bookmarkEnd w:id="211"/>
    <w:bookmarkStart w:id="213"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12">
        <w:r>
          <w:rPr>
            <w:rStyle w:val="Hyperlink"/>
          </w:rPr>
          <w:t xml:space="preserve">https://doi.org/10.1016/j.rsma.2015.11.010</w:t>
        </w:r>
      </w:hyperlink>
      <w:r>
        <w:t xml:space="preserve">.</w:t>
      </w:r>
    </w:p>
    <w:bookmarkEnd w:id="213"/>
    <w:bookmarkStart w:id="214"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14"/>
    <w:bookmarkStart w:id="216" w:name="ref-tomasko2020"/>
    <w:p>
      <w:pPr>
        <w:pStyle w:val="Bibliography"/>
      </w:pPr>
      <w:r>
        <w:t xml:space="preserve">Tomasko, D. A., M. Alderson, R. Burnes, J. Hecker, N. Iadevaia, J. Leverone, G. Raulerson, and E. Sherwood. 2020. The effects of Hurricane Irma on seagrass meadows in previously eutrophic estuaries in Southwest Florida (USA).</w:t>
      </w:r>
      <w:r>
        <w:t xml:space="preserve"> </w:t>
      </w:r>
      <w:r>
        <w:rPr>
          <w:iCs/>
          <w:i/>
        </w:rPr>
        <w:t xml:space="preserve">Marine Pollution Bulletin</w:t>
      </w:r>
      <w:r>
        <w:t xml:space="preserve"> </w:t>
      </w:r>
      <w:r>
        <w:t xml:space="preserve">156: 111247.</w:t>
      </w:r>
      <w:r>
        <w:t xml:space="preserve"> </w:t>
      </w:r>
      <w:hyperlink r:id="rId215">
        <w:r>
          <w:rPr>
            <w:rStyle w:val="Hyperlink"/>
          </w:rPr>
          <w:t xml:space="preserve">https://doi.org/10.1016/j.marpolbul.2020.111247</w:t>
        </w:r>
      </w:hyperlink>
      <w:r>
        <w:t xml:space="preserve">.</w:t>
      </w:r>
    </w:p>
    <w:bookmarkEnd w:id="216"/>
    <w:bookmarkStart w:id="218"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17">
        <w:r>
          <w:rPr>
            <w:rStyle w:val="Hyperlink"/>
          </w:rPr>
          <w:t xml:space="preserve">https://doi.org/10.1002/nt.2620020503</w:t>
        </w:r>
      </w:hyperlink>
      <w:r>
        <w:t xml:space="preserve">.</w:t>
      </w:r>
    </w:p>
    <w:bookmarkEnd w:id="218"/>
    <w:bookmarkStart w:id="220"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19">
        <w:r>
          <w:rPr>
            <w:rStyle w:val="Hyperlink"/>
          </w:rPr>
          <w:t xml:space="preserve">https://doi.org/10.1002/lol2.10098</w:t>
        </w:r>
      </w:hyperlink>
      <w:r>
        <w:t xml:space="preserve">.</w:t>
      </w:r>
    </w:p>
    <w:bookmarkEnd w:id="220"/>
    <w:bookmarkStart w:id="222"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21">
        <w:r>
          <w:rPr>
            <w:rStyle w:val="Hyperlink"/>
          </w:rPr>
          <w:t xml:space="preserve">https://doi.org/10.1146/annurev.es.03.110172.000543</w:t>
        </w:r>
      </w:hyperlink>
      <w:r>
        <w:t xml:space="preserve">.</w:t>
      </w:r>
    </w:p>
    <w:bookmarkEnd w:id="222"/>
    <w:bookmarkStart w:id="224" w:name="ref-venables2002b"/>
    <w:p>
      <w:pPr>
        <w:pStyle w:val="Bibliography"/>
      </w:pPr>
      <w:r>
        <w:t xml:space="preserve">Venables, W. N., and B. D. Ripley. 2002.</w:t>
      </w:r>
      <w:r>
        <w:t xml:space="preserve"> </w:t>
      </w:r>
      <w:r>
        <w:rPr>
          <w:iCs/>
          <w:i/>
        </w:rPr>
        <w:t xml:space="preserve">Modern applied statistics with</w:t>
      </w:r>
      <w:r>
        <w:rPr>
          <w:iCs/>
          <w:i/>
        </w:rPr>
        <w:t xml:space="preserve"> </w:t>
      </w:r>
      <w:r>
        <w:rPr>
          <w:iCs/>
          <w:i/>
        </w:rPr>
        <w:t xml:space="preserve">S</w:t>
      </w:r>
      <w:r>
        <w:t xml:space="preserve">. New York: Springer.</w:t>
      </w:r>
      <w:r>
        <w:t xml:space="preserve"> </w:t>
      </w:r>
      <w:hyperlink r:id="rId223">
        <w:r>
          <w:rPr>
            <w:rStyle w:val="Hyperlink"/>
          </w:rPr>
          <w:t xml:space="preserve">https://doi.org/10.1007/978-0-387-21706-2</w:t>
        </w:r>
      </w:hyperlink>
      <w:r>
        <w:t xml:space="preserve">.</w:t>
      </w:r>
    </w:p>
    <w:bookmarkEnd w:id="224"/>
    <w:bookmarkStart w:id="226"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25">
        <w:r>
          <w:rPr>
            <w:rStyle w:val="Hyperlink"/>
          </w:rPr>
          <w:t xml:space="preserve">https://doi.org/10.1073/pnas.0905620106</w:t>
        </w:r>
      </w:hyperlink>
      <w:r>
        <w:t xml:space="preserve">.</w:t>
      </w:r>
    </w:p>
    <w:bookmarkEnd w:id="226"/>
    <w:bookmarkStart w:id="228"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27">
        <w:r>
          <w:rPr>
            <w:rStyle w:val="Hyperlink"/>
          </w:rPr>
          <w:t xml:space="preserve">https://doi.org/10.1111/1365-2745.13648</w:t>
        </w:r>
      </w:hyperlink>
      <w:r>
        <w:t xml:space="preserve">.</w:t>
      </w:r>
    </w:p>
    <w:bookmarkEnd w:id="228"/>
    <w:bookmarkStart w:id="230"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29">
        <w:r>
          <w:rPr>
            <w:rStyle w:val="Hyperlink"/>
          </w:rPr>
          <w:t xml:space="preserve">https://doi.org/10.1002/ehs2.1258</w:t>
        </w:r>
      </w:hyperlink>
      <w:r>
        <w:t xml:space="preserve">.</w:t>
      </w:r>
    </w:p>
    <w:bookmarkEnd w:id="230"/>
    <w:bookmarkStart w:id="231"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31"/>
    <w:bookmarkStart w:id="233"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32">
        <w:r>
          <w:rPr>
            <w:rStyle w:val="Hyperlink"/>
          </w:rPr>
          <w:t xml:space="preserve">https://doi.org/10.1016/j.marpolbul.2023.115043</w:t>
        </w:r>
      </w:hyperlink>
      <w:r>
        <w:t xml:space="preserve">.</w:t>
      </w:r>
    </w:p>
    <w:bookmarkEnd w:id="233"/>
    <w:bookmarkStart w:id="235"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34">
        <w:r>
          <w:rPr>
            <w:rStyle w:val="Hyperlink"/>
          </w:rPr>
          <w:t xml:space="preserve">https://doi.org/10.1016/0304-3770(75)90016-9</w:t>
        </w:r>
      </w:hyperlink>
      <w:r>
        <w:t xml:space="preserve">.</w:t>
      </w:r>
    </w:p>
    <w:bookmarkEnd w:id="235"/>
    <w:bookmarkStart w:id="237"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36">
        <w:r>
          <w:rPr>
            <w:rStyle w:val="Hyperlink"/>
          </w:rPr>
          <w:t xml:space="preserve">https://doi.org/10.1007/978-0-387-87458-6</w:t>
        </w:r>
      </w:hyperlink>
      <w:r>
        <w:t xml:space="preserve">.</w:t>
      </w:r>
    </w:p>
    <w:bookmarkEnd w:id="237"/>
    <w:bookmarkEnd w:id="238"/>
    <w:bookmarkEnd w:id="239"/>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65" Target="media/rId65.png" /><Relationship Type="http://schemas.openxmlformats.org/officeDocument/2006/relationships/hyperlink" Id="rId91" Target="https://CRAN.R-project.org/package=SPEI" TargetMode="External" /><Relationship Type="http://schemas.openxmlformats.org/officeDocument/2006/relationships/hyperlink" Id="rId107"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29" Target="https://doi.org/10.1002/ehs2.1258" TargetMode="External" /><Relationship Type="http://schemas.openxmlformats.org/officeDocument/2006/relationships/hyperlink" Id="rId93" Target="https://doi.org/10.1002/joc.3887" TargetMode="External" /><Relationship Type="http://schemas.openxmlformats.org/officeDocument/2006/relationships/hyperlink" Id="rId219" Target="https://doi.org/10.1002/lol2.10098" TargetMode="External" /><Relationship Type="http://schemas.openxmlformats.org/officeDocument/2006/relationships/hyperlink" Id="rId217" Target="https://doi.org/10.1002/nt.2620020503" TargetMode="External" /><Relationship Type="http://schemas.openxmlformats.org/officeDocument/2006/relationships/hyperlink" Id="rId223" Target="https://doi.org/10.1007/978-0-387-21706-2" TargetMode="External" /><Relationship Type="http://schemas.openxmlformats.org/officeDocument/2006/relationships/hyperlink" Id="rId236" Target="https://doi.org/10.1007/978-0-387-87458-6" TargetMode="External" /><Relationship Type="http://schemas.openxmlformats.org/officeDocument/2006/relationships/hyperlink" Id="rId153" Target="https://doi.org/10.1007/bf02691700" TargetMode="External" /><Relationship Type="http://schemas.openxmlformats.org/officeDocument/2006/relationships/hyperlink" Id="rId125" Target="https://doi.org/10.1007/s00267-005-0079-4" TargetMode="External" /><Relationship Type="http://schemas.openxmlformats.org/officeDocument/2006/relationships/hyperlink" Id="rId198" Target="https://doi.org/10.1007/s00267-013-0179-5" TargetMode="External" /><Relationship Type="http://schemas.openxmlformats.org/officeDocument/2006/relationships/hyperlink" Id="rId113" Target="https://doi.org/10.1007/s12237-008-9038-7" TargetMode="External" /><Relationship Type="http://schemas.openxmlformats.org/officeDocument/2006/relationships/hyperlink" Id="rId89" Target="https://doi.org/10.1007/s12237-019-00619-w" TargetMode="External" /><Relationship Type="http://schemas.openxmlformats.org/officeDocument/2006/relationships/hyperlink" Id="rId178" Target="https://doi.org/10.1007/s12237-023-01252-4" TargetMode="External" /><Relationship Type="http://schemas.openxmlformats.org/officeDocument/2006/relationships/hyperlink" Id="rId234" Target="https://doi.org/10.1016/0304-3770(75)90016-9" TargetMode="External" /><Relationship Type="http://schemas.openxmlformats.org/officeDocument/2006/relationships/hyperlink" Id="rId170" Target="https://doi.org/10.1016/j.dsr2.2023.105321" TargetMode="External" /><Relationship Type="http://schemas.openxmlformats.org/officeDocument/2006/relationships/hyperlink" Id="rId192" Target="https://doi.org/10.1016/j.ecolind.2015.12.007" TargetMode="External" /><Relationship Type="http://schemas.openxmlformats.org/officeDocument/2006/relationships/hyperlink" Id="rId195" Target="https://doi.org/10.1016/j.ecolind.2020.107310" TargetMode="External" /><Relationship Type="http://schemas.openxmlformats.org/officeDocument/2006/relationships/hyperlink" Id="rId127" Target="https://doi.org/10.1016/j.ecss.2014.10.003" TargetMode="External" /><Relationship Type="http://schemas.openxmlformats.org/officeDocument/2006/relationships/hyperlink" Id="rId155" Target="https://doi.org/10.1016/j.ecss.2022.108134" TargetMode="External" /><Relationship Type="http://schemas.openxmlformats.org/officeDocument/2006/relationships/hyperlink" Id="rId105" Target="https://doi.org/10.1016/j.jembe.2007.06.024" TargetMode="External" /><Relationship Type="http://schemas.openxmlformats.org/officeDocument/2006/relationships/hyperlink" Id="rId109" Target="https://doi.org/10.1016/j.jenvman.2018.01.025" TargetMode="External" /><Relationship Type="http://schemas.openxmlformats.org/officeDocument/2006/relationships/hyperlink" Id="rId123" Target="https://doi.org/10.1016/j.marpolbul.2010.11.017" TargetMode="External" /><Relationship Type="http://schemas.openxmlformats.org/officeDocument/2006/relationships/hyperlink" Id="rId215" Target="https://doi.org/10.1016/j.marpolbul.2020.111247" TargetMode="External" /><Relationship Type="http://schemas.openxmlformats.org/officeDocument/2006/relationships/hyperlink" Id="rId83" Target="https://doi.org/10.1016/j.marpolbul.2022.113598" TargetMode="External" /><Relationship Type="http://schemas.openxmlformats.org/officeDocument/2006/relationships/hyperlink" Id="rId232" Target="https://doi.org/10.1016/j.marpolbul.2023.115043" TargetMode="External" /><Relationship Type="http://schemas.openxmlformats.org/officeDocument/2006/relationships/hyperlink" Id="rId75" Target="https://doi.org/10.1016/j.ocecoaman.2023.106929" TargetMode="External" /><Relationship Type="http://schemas.openxmlformats.org/officeDocument/2006/relationships/hyperlink" Id="rId202" Target="https://doi.org/10.1016/j.rsma.2015.05.005" TargetMode="External" /><Relationship Type="http://schemas.openxmlformats.org/officeDocument/2006/relationships/hyperlink" Id="rId212" Target="https://doi.org/10.1016/j.rsma.2015.11.010" TargetMode="External" /><Relationship Type="http://schemas.openxmlformats.org/officeDocument/2006/relationships/hyperlink" Id="rId208" Target="https://doi.org/10.1016/j.scitotenv.2011.09.088" TargetMode="External" /><Relationship Type="http://schemas.openxmlformats.org/officeDocument/2006/relationships/hyperlink" Id="rId162" Target="https://doi.org/10.1016/j.seares.2012.03.002" TargetMode="External" /><Relationship Type="http://schemas.openxmlformats.org/officeDocument/2006/relationships/hyperlink" Id="rId133" Target="https://doi.org/10.1029/wr018i001p00107" TargetMode="External" /><Relationship Type="http://schemas.openxmlformats.org/officeDocument/2006/relationships/hyperlink" Id="rId121" Target="https://doi.org/10.1038/ngeo1477" TargetMode="External" /><Relationship Type="http://schemas.openxmlformats.org/officeDocument/2006/relationships/hyperlink" Id="rId172" Target="https://doi.org/10.1038/s41467-018-03732-9" TargetMode="External" /><Relationship Type="http://schemas.openxmlformats.org/officeDocument/2006/relationships/hyperlink" Id="rId225" Target="https://doi.org/10.1073/pnas.0905620106" TargetMode="External" /><Relationship Type="http://schemas.openxmlformats.org/officeDocument/2006/relationships/hyperlink" Id="rId147" Target="https://doi.org/10.1073/pnas.1715798115" TargetMode="External" /><Relationship Type="http://schemas.openxmlformats.org/officeDocument/2006/relationships/hyperlink" Id="rId131" Target="https://doi.org/10.1073/pnas.2220678120" TargetMode="External" /><Relationship Type="http://schemas.openxmlformats.org/officeDocument/2006/relationships/hyperlink" Id="rId111" Target="https://doi.org/10.1080/00785236.1995.10422039" TargetMode="External" /><Relationship Type="http://schemas.openxmlformats.org/officeDocument/2006/relationships/hyperlink" Id="rId176" Target="https://doi.org/10.1093/biosci/bix058" TargetMode="External" /><Relationship Type="http://schemas.openxmlformats.org/officeDocument/2006/relationships/hyperlink" Id="rId135" Target="https://doi.org/10.1101/sqb.1957.022.01.039" TargetMode="External" /><Relationship Type="http://schemas.openxmlformats.org/officeDocument/2006/relationships/hyperlink" Id="rId101" Target="https://doi.org/10.1111/1365-2664.13169" TargetMode="External" /><Relationship Type="http://schemas.openxmlformats.org/officeDocument/2006/relationships/hyperlink" Id="rId227" Target="https://doi.org/10.1111/1365-2745.13648" TargetMode="External" /><Relationship Type="http://schemas.openxmlformats.org/officeDocument/2006/relationships/hyperlink" Id="rId164" Target="https://doi.org/10.1111/brv.12294" TargetMode="External" /><Relationship Type="http://schemas.openxmlformats.org/officeDocument/2006/relationships/hyperlink" Id="rId119" Target="https://doi.org/10.1111/conl.12938" TargetMode="External" /><Relationship Type="http://schemas.openxmlformats.org/officeDocument/2006/relationships/hyperlink" Id="rId182" Target="https://doi.org/10.1111/gcb.13084" TargetMode="External" /><Relationship Type="http://schemas.openxmlformats.org/officeDocument/2006/relationships/hyperlink" Id="rId149" Target="https://doi.org/10.1111/gcb.13623" TargetMode="External" /><Relationship Type="http://schemas.openxmlformats.org/officeDocument/2006/relationships/hyperlink" Id="rId117" Target="https://doi.org/10.1111/gcb.15684" TargetMode="External" /><Relationship Type="http://schemas.openxmlformats.org/officeDocument/2006/relationships/hyperlink" Id="rId180" Target="https://doi.org/10.1126/sciadv.abc6434" TargetMode="External" /><Relationship Type="http://schemas.openxmlformats.org/officeDocument/2006/relationships/hyperlink" Id="rId221" Target="https://doi.org/10.1146/annurev.es.03.110172.000543" TargetMode="External" /><Relationship Type="http://schemas.openxmlformats.org/officeDocument/2006/relationships/hyperlink" Id="rId204" Target="https://doi.org/10.1353/sgo.2017.0026" TargetMode="External" /><Relationship Type="http://schemas.openxmlformats.org/officeDocument/2006/relationships/hyperlink" Id="rId174" Target="https://doi.org/10.1641/0006-3568(2006)56[987:agcfse]2.0.co;2" TargetMode="External" /><Relationship Type="http://schemas.openxmlformats.org/officeDocument/2006/relationships/hyperlink" Id="rId77" Target="https://doi.org/10.18637/jss.v067.i01" TargetMode="External" /><Relationship Type="http://schemas.openxmlformats.org/officeDocument/2006/relationships/hyperlink" Id="rId87" Target="https://doi.org/10.21105/joss.03485" TargetMode="External" /><Relationship Type="http://schemas.openxmlformats.org/officeDocument/2006/relationships/hyperlink" Id="rId206" Target="https://doi.org/10.21203/rs.3.rs-3528678/v1" TargetMode="External" /><Relationship Type="http://schemas.openxmlformats.org/officeDocument/2006/relationships/hyperlink" Id="rId99" Target="https://doi.org/10.2134/jeq2001.302303x" TargetMode="External" /><Relationship Type="http://schemas.openxmlformats.org/officeDocument/2006/relationships/hyperlink" Id="rId103" Target="https://doi.org/10.2307/1352383" TargetMode="External" /><Relationship Type="http://schemas.openxmlformats.org/officeDocument/2006/relationships/hyperlink" Id="rId166" Target="https://doi.org/10.2307/1932688" TargetMode="External" /><Relationship Type="http://schemas.openxmlformats.org/officeDocument/2006/relationships/hyperlink" Id="rId187" Target="https://doi.org/10.3354/meps08925" TargetMode="External" /><Relationship Type="http://schemas.openxmlformats.org/officeDocument/2006/relationships/hyperlink" Id="rId129" Target="https://doi.org/10.3354/meps11923" TargetMode="External" /><Relationship Type="http://schemas.openxmlformats.org/officeDocument/2006/relationships/hyperlink" Id="rId95" Target="https://doi.org/10.3354/meps147277" TargetMode="External" /><Relationship Type="http://schemas.openxmlformats.org/officeDocument/2006/relationships/hyperlink" Id="rId185" Target="https://doi.org/10.3354/meps322099" TargetMode="External" /><Relationship Type="http://schemas.openxmlformats.org/officeDocument/2006/relationships/hyperlink" Id="rId85" Target="https://doi.org/10.3389/fevo.2023.1070266" TargetMode="External" /><Relationship Type="http://schemas.openxmlformats.org/officeDocument/2006/relationships/hyperlink" Id="rId210" Target="https://doi.org/10.3389/fevo.2023.1134069" TargetMode="External" /><Relationship Type="http://schemas.openxmlformats.org/officeDocument/2006/relationships/hyperlink" Id="rId115" Target="https://doi.org/10.3389/fpls.2021.612947" TargetMode="External" /><Relationship Type="http://schemas.openxmlformats.org/officeDocument/2006/relationships/hyperlink" Id="rId79" Target="https://doi.org/10.5281/zenodo.3648664" TargetMode="External" /><Relationship Type="http://schemas.openxmlformats.org/officeDocument/2006/relationships/hyperlink" Id="rId81" Target="https://doi.org/10.5281/zenodo.4319936" TargetMode="External" /><Relationship Type="http://schemas.openxmlformats.org/officeDocument/2006/relationships/hyperlink" Id="rId160" Target="https://drive.google.com/file/d/1-1Jq9vly5EvVwEp698brlBucXjSMDbNn/view?usp=sharing" TargetMode="External" /><Relationship Type="http://schemas.openxmlformats.org/officeDocument/2006/relationships/hyperlink" Id="rId145" Target="https://drive.google.com/file/d/19bNEs2qy6z0hXa1IE7OtbFTjqk1LarFN/view?usp=drivesdk" TargetMode="External" /><Relationship Type="http://schemas.openxmlformats.org/officeDocument/2006/relationships/hyperlink" Id="rId200" Target="https://drive.google.com/file/d/1BCviGfLykVX-p1tA3b0306deP3pKMagr/view?usp=drivesdk" TargetMode="External" /><Relationship Type="http://schemas.openxmlformats.org/officeDocument/2006/relationships/hyperlink" Id="rId190" Target="https://drive.google.com/file/d/1Hp0l_qtbxp1JxKJoGatdyuANSzQrpL0I/view?usp=drivesdk" TargetMode="External" /><Relationship Type="http://schemas.openxmlformats.org/officeDocument/2006/relationships/hyperlink" Id="rId141" Target="https://drive.google.com/file/d/1KARuSC5fGx05MuT1wiOQFWNXysBokkQl/view?usp=share_link" TargetMode="External" /><Relationship Type="http://schemas.openxmlformats.org/officeDocument/2006/relationships/hyperlink" Id="rId143" Target="https://drive.google.com/file/d/1Z_8L9sYQWSl1hon1tP1Y8zBo7MHQK9zC/view?usp=drivesdk" TargetMode="External" /><Relationship Type="http://schemas.openxmlformats.org/officeDocument/2006/relationships/hyperlink" Id="rId157" Target="https://drive.google.com/file/d/1iXX_JZP5fLS3ORIkFb7WwNYv8HjpHyKw/view?usp=sharing" TargetMode="External" /><Relationship Type="http://schemas.openxmlformats.org/officeDocument/2006/relationships/hyperlink" Id="rId137" Target="https://drive.google.com/file/d/1kZkvuprvsMyN9nPS5PHYvXHyo1KQxKTr/view?usp=drivesdk" TargetMode="External" /><Relationship Type="http://schemas.openxmlformats.org/officeDocument/2006/relationships/hyperlink" Id="rId151" Target="https://drive.google.com/file/d/1sNp3FpjdeOjATZ9nDRRAiXEOqQen9W_p/view?usp=sharing" TargetMode="External" /><Relationship Type="http://schemas.openxmlformats.org/officeDocument/2006/relationships/hyperlink" Id="rId97" Target="https://drive.google.com/file/d/1tUkGW7TRAJ_skWj-UemDVIJnUAsy0ITf/view?usp=drivesdk" TargetMode="External" /><Relationship Type="http://schemas.openxmlformats.org/officeDocument/2006/relationships/hyperlink" Id="rId13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68"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1" Target="https://CRAN.R-project.org/package=SPEI" TargetMode="External" /><Relationship Type="http://schemas.openxmlformats.org/officeDocument/2006/relationships/hyperlink" Id="rId107"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29" Target="https://doi.org/10.1002/ehs2.1258" TargetMode="External" /><Relationship Type="http://schemas.openxmlformats.org/officeDocument/2006/relationships/hyperlink" Id="rId93" Target="https://doi.org/10.1002/joc.3887" TargetMode="External" /><Relationship Type="http://schemas.openxmlformats.org/officeDocument/2006/relationships/hyperlink" Id="rId219" Target="https://doi.org/10.1002/lol2.10098" TargetMode="External" /><Relationship Type="http://schemas.openxmlformats.org/officeDocument/2006/relationships/hyperlink" Id="rId217" Target="https://doi.org/10.1002/nt.2620020503" TargetMode="External" /><Relationship Type="http://schemas.openxmlformats.org/officeDocument/2006/relationships/hyperlink" Id="rId223" Target="https://doi.org/10.1007/978-0-387-21706-2" TargetMode="External" /><Relationship Type="http://schemas.openxmlformats.org/officeDocument/2006/relationships/hyperlink" Id="rId236" Target="https://doi.org/10.1007/978-0-387-87458-6" TargetMode="External" /><Relationship Type="http://schemas.openxmlformats.org/officeDocument/2006/relationships/hyperlink" Id="rId153" Target="https://doi.org/10.1007/bf02691700" TargetMode="External" /><Relationship Type="http://schemas.openxmlformats.org/officeDocument/2006/relationships/hyperlink" Id="rId125" Target="https://doi.org/10.1007/s00267-005-0079-4" TargetMode="External" /><Relationship Type="http://schemas.openxmlformats.org/officeDocument/2006/relationships/hyperlink" Id="rId198" Target="https://doi.org/10.1007/s00267-013-0179-5" TargetMode="External" /><Relationship Type="http://schemas.openxmlformats.org/officeDocument/2006/relationships/hyperlink" Id="rId113" Target="https://doi.org/10.1007/s12237-008-9038-7" TargetMode="External" /><Relationship Type="http://schemas.openxmlformats.org/officeDocument/2006/relationships/hyperlink" Id="rId89" Target="https://doi.org/10.1007/s12237-019-00619-w" TargetMode="External" /><Relationship Type="http://schemas.openxmlformats.org/officeDocument/2006/relationships/hyperlink" Id="rId178" Target="https://doi.org/10.1007/s12237-023-01252-4" TargetMode="External" /><Relationship Type="http://schemas.openxmlformats.org/officeDocument/2006/relationships/hyperlink" Id="rId234" Target="https://doi.org/10.1016/0304-3770(75)90016-9" TargetMode="External" /><Relationship Type="http://schemas.openxmlformats.org/officeDocument/2006/relationships/hyperlink" Id="rId170" Target="https://doi.org/10.1016/j.dsr2.2023.105321" TargetMode="External" /><Relationship Type="http://schemas.openxmlformats.org/officeDocument/2006/relationships/hyperlink" Id="rId192" Target="https://doi.org/10.1016/j.ecolind.2015.12.007" TargetMode="External" /><Relationship Type="http://schemas.openxmlformats.org/officeDocument/2006/relationships/hyperlink" Id="rId195" Target="https://doi.org/10.1016/j.ecolind.2020.107310" TargetMode="External" /><Relationship Type="http://schemas.openxmlformats.org/officeDocument/2006/relationships/hyperlink" Id="rId127" Target="https://doi.org/10.1016/j.ecss.2014.10.003" TargetMode="External" /><Relationship Type="http://schemas.openxmlformats.org/officeDocument/2006/relationships/hyperlink" Id="rId155" Target="https://doi.org/10.1016/j.ecss.2022.108134" TargetMode="External" /><Relationship Type="http://schemas.openxmlformats.org/officeDocument/2006/relationships/hyperlink" Id="rId105" Target="https://doi.org/10.1016/j.jembe.2007.06.024" TargetMode="External" /><Relationship Type="http://schemas.openxmlformats.org/officeDocument/2006/relationships/hyperlink" Id="rId109" Target="https://doi.org/10.1016/j.jenvman.2018.01.025" TargetMode="External" /><Relationship Type="http://schemas.openxmlformats.org/officeDocument/2006/relationships/hyperlink" Id="rId123" Target="https://doi.org/10.1016/j.marpolbul.2010.11.017" TargetMode="External" /><Relationship Type="http://schemas.openxmlformats.org/officeDocument/2006/relationships/hyperlink" Id="rId215" Target="https://doi.org/10.1016/j.marpolbul.2020.111247" TargetMode="External" /><Relationship Type="http://schemas.openxmlformats.org/officeDocument/2006/relationships/hyperlink" Id="rId83" Target="https://doi.org/10.1016/j.marpolbul.2022.113598" TargetMode="External" /><Relationship Type="http://schemas.openxmlformats.org/officeDocument/2006/relationships/hyperlink" Id="rId232" Target="https://doi.org/10.1016/j.marpolbul.2023.115043" TargetMode="External" /><Relationship Type="http://schemas.openxmlformats.org/officeDocument/2006/relationships/hyperlink" Id="rId75" Target="https://doi.org/10.1016/j.ocecoaman.2023.106929" TargetMode="External" /><Relationship Type="http://schemas.openxmlformats.org/officeDocument/2006/relationships/hyperlink" Id="rId202" Target="https://doi.org/10.1016/j.rsma.2015.05.005" TargetMode="External" /><Relationship Type="http://schemas.openxmlformats.org/officeDocument/2006/relationships/hyperlink" Id="rId212" Target="https://doi.org/10.1016/j.rsma.2015.11.010" TargetMode="External" /><Relationship Type="http://schemas.openxmlformats.org/officeDocument/2006/relationships/hyperlink" Id="rId208" Target="https://doi.org/10.1016/j.scitotenv.2011.09.088" TargetMode="External" /><Relationship Type="http://schemas.openxmlformats.org/officeDocument/2006/relationships/hyperlink" Id="rId162" Target="https://doi.org/10.1016/j.seares.2012.03.002" TargetMode="External" /><Relationship Type="http://schemas.openxmlformats.org/officeDocument/2006/relationships/hyperlink" Id="rId133" Target="https://doi.org/10.1029/wr018i001p00107" TargetMode="External" /><Relationship Type="http://schemas.openxmlformats.org/officeDocument/2006/relationships/hyperlink" Id="rId121" Target="https://doi.org/10.1038/ngeo1477" TargetMode="External" /><Relationship Type="http://schemas.openxmlformats.org/officeDocument/2006/relationships/hyperlink" Id="rId172" Target="https://doi.org/10.1038/s41467-018-03732-9" TargetMode="External" /><Relationship Type="http://schemas.openxmlformats.org/officeDocument/2006/relationships/hyperlink" Id="rId225" Target="https://doi.org/10.1073/pnas.0905620106" TargetMode="External" /><Relationship Type="http://schemas.openxmlformats.org/officeDocument/2006/relationships/hyperlink" Id="rId147" Target="https://doi.org/10.1073/pnas.1715798115" TargetMode="External" /><Relationship Type="http://schemas.openxmlformats.org/officeDocument/2006/relationships/hyperlink" Id="rId131" Target="https://doi.org/10.1073/pnas.2220678120" TargetMode="External" /><Relationship Type="http://schemas.openxmlformats.org/officeDocument/2006/relationships/hyperlink" Id="rId111" Target="https://doi.org/10.1080/00785236.1995.10422039" TargetMode="External" /><Relationship Type="http://schemas.openxmlformats.org/officeDocument/2006/relationships/hyperlink" Id="rId176" Target="https://doi.org/10.1093/biosci/bix058" TargetMode="External" /><Relationship Type="http://schemas.openxmlformats.org/officeDocument/2006/relationships/hyperlink" Id="rId135" Target="https://doi.org/10.1101/sqb.1957.022.01.039" TargetMode="External" /><Relationship Type="http://schemas.openxmlformats.org/officeDocument/2006/relationships/hyperlink" Id="rId101" Target="https://doi.org/10.1111/1365-2664.13169" TargetMode="External" /><Relationship Type="http://schemas.openxmlformats.org/officeDocument/2006/relationships/hyperlink" Id="rId227" Target="https://doi.org/10.1111/1365-2745.13648" TargetMode="External" /><Relationship Type="http://schemas.openxmlformats.org/officeDocument/2006/relationships/hyperlink" Id="rId164" Target="https://doi.org/10.1111/brv.12294" TargetMode="External" /><Relationship Type="http://schemas.openxmlformats.org/officeDocument/2006/relationships/hyperlink" Id="rId119" Target="https://doi.org/10.1111/conl.12938" TargetMode="External" /><Relationship Type="http://schemas.openxmlformats.org/officeDocument/2006/relationships/hyperlink" Id="rId182" Target="https://doi.org/10.1111/gcb.13084" TargetMode="External" /><Relationship Type="http://schemas.openxmlformats.org/officeDocument/2006/relationships/hyperlink" Id="rId149" Target="https://doi.org/10.1111/gcb.13623" TargetMode="External" /><Relationship Type="http://schemas.openxmlformats.org/officeDocument/2006/relationships/hyperlink" Id="rId117" Target="https://doi.org/10.1111/gcb.15684" TargetMode="External" /><Relationship Type="http://schemas.openxmlformats.org/officeDocument/2006/relationships/hyperlink" Id="rId180" Target="https://doi.org/10.1126/sciadv.abc6434" TargetMode="External" /><Relationship Type="http://schemas.openxmlformats.org/officeDocument/2006/relationships/hyperlink" Id="rId221" Target="https://doi.org/10.1146/annurev.es.03.110172.000543" TargetMode="External" /><Relationship Type="http://schemas.openxmlformats.org/officeDocument/2006/relationships/hyperlink" Id="rId204" Target="https://doi.org/10.1353/sgo.2017.0026" TargetMode="External" /><Relationship Type="http://schemas.openxmlformats.org/officeDocument/2006/relationships/hyperlink" Id="rId174" Target="https://doi.org/10.1641/0006-3568(2006)56[987:agcfse]2.0.co;2" TargetMode="External" /><Relationship Type="http://schemas.openxmlformats.org/officeDocument/2006/relationships/hyperlink" Id="rId77" Target="https://doi.org/10.18637/jss.v067.i01" TargetMode="External" /><Relationship Type="http://schemas.openxmlformats.org/officeDocument/2006/relationships/hyperlink" Id="rId87" Target="https://doi.org/10.21105/joss.03485" TargetMode="External" /><Relationship Type="http://schemas.openxmlformats.org/officeDocument/2006/relationships/hyperlink" Id="rId206" Target="https://doi.org/10.21203/rs.3.rs-3528678/v1" TargetMode="External" /><Relationship Type="http://schemas.openxmlformats.org/officeDocument/2006/relationships/hyperlink" Id="rId99" Target="https://doi.org/10.2134/jeq2001.302303x" TargetMode="External" /><Relationship Type="http://schemas.openxmlformats.org/officeDocument/2006/relationships/hyperlink" Id="rId103" Target="https://doi.org/10.2307/1352383" TargetMode="External" /><Relationship Type="http://schemas.openxmlformats.org/officeDocument/2006/relationships/hyperlink" Id="rId166" Target="https://doi.org/10.2307/1932688" TargetMode="External" /><Relationship Type="http://schemas.openxmlformats.org/officeDocument/2006/relationships/hyperlink" Id="rId187" Target="https://doi.org/10.3354/meps08925" TargetMode="External" /><Relationship Type="http://schemas.openxmlformats.org/officeDocument/2006/relationships/hyperlink" Id="rId129" Target="https://doi.org/10.3354/meps11923" TargetMode="External" /><Relationship Type="http://schemas.openxmlformats.org/officeDocument/2006/relationships/hyperlink" Id="rId95" Target="https://doi.org/10.3354/meps147277" TargetMode="External" /><Relationship Type="http://schemas.openxmlformats.org/officeDocument/2006/relationships/hyperlink" Id="rId185" Target="https://doi.org/10.3354/meps322099" TargetMode="External" /><Relationship Type="http://schemas.openxmlformats.org/officeDocument/2006/relationships/hyperlink" Id="rId85" Target="https://doi.org/10.3389/fevo.2023.1070266" TargetMode="External" /><Relationship Type="http://schemas.openxmlformats.org/officeDocument/2006/relationships/hyperlink" Id="rId210" Target="https://doi.org/10.3389/fevo.2023.1134069" TargetMode="External" /><Relationship Type="http://schemas.openxmlformats.org/officeDocument/2006/relationships/hyperlink" Id="rId115" Target="https://doi.org/10.3389/fpls.2021.612947" TargetMode="External" /><Relationship Type="http://schemas.openxmlformats.org/officeDocument/2006/relationships/hyperlink" Id="rId79" Target="https://doi.org/10.5281/zenodo.3648664" TargetMode="External" /><Relationship Type="http://schemas.openxmlformats.org/officeDocument/2006/relationships/hyperlink" Id="rId81" Target="https://doi.org/10.5281/zenodo.4319936" TargetMode="External" /><Relationship Type="http://schemas.openxmlformats.org/officeDocument/2006/relationships/hyperlink" Id="rId160" Target="https://drive.google.com/file/d/1-1Jq9vly5EvVwEp698brlBucXjSMDbNn/view?usp=sharing" TargetMode="External" /><Relationship Type="http://schemas.openxmlformats.org/officeDocument/2006/relationships/hyperlink" Id="rId145" Target="https://drive.google.com/file/d/19bNEs2qy6z0hXa1IE7OtbFTjqk1LarFN/view?usp=drivesdk" TargetMode="External" /><Relationship Type="http://schemas.openxmlformats.org/officeDocument/2006/relationships/hyperlink" Id="rId200" Target="https://drive.google.com/file/d/1BCviGfLykVX-p1tA3b0306deP3pKMagr/view?usp=drivesdk" TargetMode="External" /><Relationship Type="http://schemas.openxmlformats.org/officeDocument/2006/relationships/hyperlink" Id="rId190" Target="https://drive.google.com/file/d/1Hp0l_qtbxp1JxKJoGatdyuANSzQrpL0I/view?usp=drivesdk" TargetMode="External" /><Relationship Type="http://schemas.openxmlformats.org/officeDocument/2006/relationships/hyperlink" Id="rId141" Target="https://drive.google.com/file/d/1KARuSC5fGx05MuT1wiOQFWNXysBokkQl/view?usp=share_link" TargetMode="External" /><Relationship Type="http://schemas.openxmlformats.org/officeDocument/2006/relationships/hyperlink" Id="rId143" Target="https://drive.google.com/file/d/1Z_8L9sYQWSl1hon1tP1Y8zBo7MHQK9zC/view?usp=drivesdk" TargetMode="External" /><Relationship Type="http://schemas.openxmlformats.org/officeDocument/2006/relationships/hyperlink" Id="rId157" Target="https://drive.google.com/file/d/1iXX_JZP5fLS3ORIkFb7WwNYv8HjpHyKw/view?usp=sharing" TargetMode="External" /><Relationship Type="http://schemas.openxmlformats.org/officeDocument/2006/relationships/hyperlink" Id="rId137" Target="https://drive.google.com/file/d/1kZkvuprvsMyN9nPS5PHYvXHyo1KQxKTr/view?usp=drivesdk" TargetMode="External" /><Relationship Type="http://schemas.openxmlformats.org/officeDocument/2006/relationships/hyperlink" Id="rId151" Target="https://drive.google.com/file/d/1sNp3FpjdeOjATZ9nDRRAiXEOqQen9W_p/view?usp=sharing" TargetMode="External" /><Relationship Type="http://schemas.openxmlformats.org/officeDocument/2006/relationships/hyperlink" Id="rId97" Target="https://drive.google.com/file/d/1tUkGW7TRAJ_skWj-UemDVIJnUAsy0ITf/view?usp=drivesdk" TargetMode="External" /><Relationship Type="http://schemas.openxmlformats.org/officeDocument/2006/relationships/hyperlink" Id="rId13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68"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 Kerry Flaherty-Walia1, Sheila Scolaro1, Maya C Burke1, and Edward T Sherwood1</dc:creator>
  <cp:keywords/>
  <dcterms:created xsi:type="dcterms:W3CDTF">2023-12-13T21:23:23Z</dcterms:created>
  <dcterms:modified xsi:type="dcterms:W3CDTF">2023-12-13T21:23:23Z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