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png" ContentType="image/png"/>
  <Override PartName="/word/media/rId56.png" ContentType="image/png"/>
  <Override PartName="/word/media/rId40.png" ContentType="image/png"/>
  <Override PartName="/word/media/rId48.png" ContentType="image/png"/>
  <Override PartName="/word/media/rId60.png" ContentType="image/png"/>
  <Override PartName="/word/media/rId44.png" ContentType="image/png"/>
  <Override PartName="/word/media/rId6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at a global scale. Seagrasses are fundamental indicators of ecosystem health</w:t>
      </w:r>
      <w:r>
        <w:t xml:space="preserve"> </w:t>
      </w:r>
      <w:r>
        <w:t xml:space="preserve">(Roca et al. 2016; Orth et al. 2017)</w:t>
      </w:r>
      <w:r>
        <w:t xml:space="preserve">, while also serving as foundational species that provide numerous ecosystem services</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in areal cover since the 1980s</w:t>
      </w:r>
      <w:r>
        <w:t xml:space="preserve"> </w:t>
      </w:r>
      <w:r>
        <w:t xml:space="preserve">(Waycott et al. 2009)</w:t>
      </w:r>
      <w:r>
        <w:t xml:space="preserve">. These losses are comparable, if not more, than other critical coastal environments, which represents an existential threat to the natural and economic services that these habitats provide. Losses have been attributed to numerous stressors including decline in light environments with nutrient enrichment, sedimentation, and physical disturbance primarily from human activities, whereas natural disturbances such as storm events and disease have also been implicated. Management actions and interventions aimed at mitigating loss and ultimately supporting restoration require an adaptive approaches to address the effects of multiple stressors that have contributed to seagrass decline.</w:t>
      </w:r>
    </w:p>
    <w:p>
      <w:pPr>
        <w:pStyle w:val="BodyText"/>
      </w:pPr>
      <w:r>
        <w:t xml:space="preserve">The sustained coverage or restoration of seagrasses by means other than planting requires management actions that create suitable conditions supportive for growth. A long-standing approach adopted by numerous management entities has been the control of nutrient inputs in systems where excessive phytoplankton growth has created poor light environments for seagrasses. There are limited examples of successful recovery of seagrass through control of nutrient inputs, with notable exceptions including Tampa Bay... examples in Orth 2023. Lack of recovery of seagrasses through nutrient controls alone suggests insufficient reductions of nutrient inputs to promote restoration, such as for ecosystems where hysteresis may substantially limit the reverse of a trajectory deline. For coastal systems More likely, the role of alternative stressors may also be inadequately considered and addressed in management paradigms.</w:t>
      </w:r>
    </w:p>
    <w:p>
      <w:pPr>
        <w:pStyle w:val="BodyText"/>
      </w:pPr>
      <w:r>
        <w:t xml:space="preserve">Climate change has complicated the understanding of ecosystem response to conventational stressors, presenting new challenges and expectations for how ecological resources will respond to management actions. rising temperature</w:t>
      </w:r>
    </w:p>
    <w:p>
      <w:pPr>
        <w:pStyle w:val="BodyText"/>
      </w:pPr>
      <w:r>
        <w:t xml:space="preserve">el nino effects, see Greening and Janicki 2006</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This study focuses on Tampa Bay…</w:t>
      </w:r>
    </w:p>
    <w:p>
      <w:pPr>
        <w:pStyle w:val="BodyText"/>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Good CC references for FL: https://www.mdpi.com/2071-1050/15/14/11364</w:t>
      </w:r>
    </w:p>
    <w:p>
      <w:pPr>
        <w:pStyle w:val="BodyText"/>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pStyle w:val="BodyText"/>
      </w:pPr>
      <w:r>
        <w:t xml:space="preserve">Temp background for TB: NOAA coastwatch trends</w:t>
      </w:r>
    </w:p>
    <w:p>
      <w:pPr>
        <w:pStyle w:val="BodyText"/>
      </w:pPr>
      <w:r>
        <w:t xml:space="preserve">This paper describes a comprehensive assessment of long-term trends in water temperature and salinity in the Tampa Bay Estuary over the last fifty years. Three datasets of varying sample design and temporal coverage were used to assess the primary hypothesis that conditions in Tampa Bay are trending towards hotter and fresher conditions that are likely pushing seagrasses beyond their optimal tolerance ranges. This analysis was supported by 30-year seagrass datasets describing approximate biennial coverage of all seagrasses, annual transect monitoring data describing cover of individual species, and synoptic seagrass data collected with the water quality data. Specific focus was on the period from prior to and after 2016, when seagrasses recovered baywide and then declined by 28% despite water quality conditions remaining relatively stable, suggesting that additional stressors beyond light requirements may explain the recent decline. The long-term recovery of Tampa Bay as primarily shown through the recovery of seagrasses to 2016 is a nationally recognized success story. This analysis provides a more recent assessment of current conditions by examining climate-related stressors and seagrass loss. Our primary goal was to relate recent seagrass changes to climate stressors to provide a motivating example for the management community in the Tampa Bay region that a shifting ecological baseline presents new challenges beyond the known success story. The results are also provided as a cautionary example of the subtle but increasing role of climate-related stressors on the resiliency of estuarine systems, prompting a reassessment of existing management paradigms to accommodate current and anticipated future conditions.</w:t>
      </w:r>
    </w:p>
    <w:bookmarkEnd w:id="22"/>
    <w:bookmarkStart w:id="32"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temperate and tropical boundary of central Florida characterized by warm, humid conditions and a distinct rainy season during the summer months. The watershed is heavily developed and includes over 3 million people 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 Important subtidal habitats include seagrasses, hard bottom, tidal flats, and oyster reefs, where a majority of management efforts have historically focused on restoring and maintaining seagrass cover</w:t>
      </w:r>
      <w:r>
        <w:t xml:space="preserve"> </w:t>
      </w:r>
      <w:r>
        <w:t xml:space="preserve">(Sherwood et al. 2017)</w:t>
      </w:r>
      <w:r>
        <w:t xml:space="preserve">. Additional native habitats include intertidal wetlands (mangroves, salt marshes, salt barrens)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(Greening et al. 2014; J. O. R.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(Figure</w:t>
      </w:r>
      <w:r>
        <w:t xml:space="preserve"> </w:t>
      </w:r>
      <w:hyperlink w:anchor="fig-seagrasschg">
        <w:r>
          <w:rPr>
            <w:rStyle w:val="Hyperlink"/>
          </w:rPr>
          <w:t xml:space="preserve">2</w:t>
        </w:r>
      </w:hyperlink>
      <w:r>
        <w:t xml:space="preserve">a). Throughout this same period,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(Greening et al. 2014; Beck et al. 2019)</w:t>
      </w:r>
      <w:r>
        <w:t xml:space="preserve">. These reductions in nutrient loadings resulted in large scale reductions in chlorophyll concentrations and light attenuation in the water column, creating favorable environments for seagrass growth. The most dramatic improvements in seagrass cover were observed in Old Tampa Bay where coverage increased by 122% or 4,465 acres (2,477 ha) from 1988 estimates to a total of 11,247 acres (4,511 ha).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from the 2016 peak by 11,518 acres (4,661 ha) to a total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6"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w:t>
      </w:r>
      <w:r>
        <w:t xml:space="preserve"> </w:t>
      </w:r>
      <w:r>
        <w:t xml:space="preserve">(e.g., Southwest Florida Water Management District 2023)</w:t>
      </w:r>
      <w:r>
        <w:t xml:space="preserve">. These maps are created by photointerpretation of aerial images obtained at the end of the growing season, typically during November-December. The TBEP has used these maps to track progress towards achieving seagrass restoration goals as total cover in Tampa Bay. No species information is provided. A more detailed, but spatially-specific, data source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5">
        <w:r>
          <w:rPr>
            <w:rStyle w:val="Hyperlink"/>
          </w:rPr>
          <w:t xml:space="preserve">https://tampabay.wateratlas.usf.edu/seagrass-monitoring/</w:t>
        </w:r>
      </w:hyperlink>
      <w:r>
        <w:t xml:space="preserve">). Annual transect surveys have been conducted since 1998 at 61 fixed locations in Tampa Bay, many of which were chosen to target seagrass beds of interest</w:t>
      </w:r>
      <w:r>
        <w:t xml:space="preserve"> </w:t>
      </w:r>
      <w:r>
        <w:t xml:space="preserve">(R. Johansson 2016; Sherwood et al. 2017)</w:t>
      </w:r>
      <w:r>
        <w:t xml:space="preserve">. This dataset provides species information, including abundance, cover, frequency occurrence, and condition, collected at fixed meter marks along a transect extending from the shoreline to the deepwater edge of the seagrass bed. Although the areal maps provide the standard for assessment of restoration goals, the transect data allow for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6"/>
    <w:bookmarkStart w:id="28"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(Figure</w:t>
      </w:r>
      <w:r>
        <w:t xml:space="preserve"> </w:t>
      </w:r>
      <w:hyperlink w:anchor="fig-map">
        <w:r>
          <w:rPr>
            <w:rStyle w:val="Hyperlink"/>
          </w:rPr>
          <w:t xml:space="preserve">1</w:t>
        </w:r>
      </w:hyperlink>
      <w:r>
        <w:t xml:space="preserve">b). These data provide the basis for regulatory assessments and compliance reporting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for physical parameters (e.g., salinity, temperature) collected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where unique sites are sampled each month. We used data from the 21.3 meter center-bag nearshore seine that targets shallow habitats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by request.</w:t>
      </w:r>
    </w:p>
    <w:p>
      <w:pPr>
        <w:pStyle w:val="BodyText"/>
      </w:pPr>
      <w:r>
        <w:t xml:space="preserve">The third and final dataset evaluated was from the Pinellas County Department of Environmental Management (PCDEM). Surface waters in Pinellas county have been monitored since the 1990s, although a consistent stratified random sampling designed has been used in Tampa Bay since 2003 primarily to support robust statistical assessments for NPDES reporting. Data were obtained by request to PCDEM staff for the western portion of Old Tampa Bay where sampling occurs from 2003 to present (also available at</w:t>
      </w:r>
      <w:r>
        <w:t xml:space="preserve"> </w:t>
      </w:r>
      <w:hyperlink r:id="rId27">
        <w:r>
          <w:rPr>
            <w:rStyle w:val="Hyperlink"/>
          </w:rPr>
          <w:t xml:space="preserve">https://wateratlas.usf.edu/</w:t>
        </w:r>
      </w:hyperlink>
      <w:r>
        <w:t xml:space="preserve">). We focused primarily on OTB for the analysis of the PCDEM data given the length of record, consistency of sampling, and relative loss of seagrass compared to the other bay segments (Figure</w:t>
      </w:r>
      <w:r>
        <w:t xml:space="preserve"> </w:t>
      </w:r>
      <w:hyperlink w:anchor="fig-map">
        <w:r>
          <w:rPr>
            <w:rStyle w:val="Hyperlink"/>
          </w:rPr>
          <w:t xml:space="preserve">1</w:t>
        </w:r>
      </w:hyperlink>
      <w:r>
        <w:t xml:space="preserve">d).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8"/>
    <w:bookmarkStart w:id="29"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For comparison to water quality conditions,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each year for each bay segment. Linear trends for these data were evaluated based on averages of all stations and months within each year and bay segment, which allowed for comparable statistical power between datasets with different sample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The change per year was also evaluated for each parameter based on the slope estimates returned by each test. Kendall tests were also used to evaluate changes over time for each month to determine when the trends were most pronounced seasonally, e.g., all January estimates across years, all February estimates, etc. The percentage of stations in each bay segment with significant increasing temperature or decreasing salinity trends were evaluated for each month. All tests evaluated both surface and bottom measurements to assess potential differences by water depth.</w:t>
      </w:r>
    </w:p>
    <w:bookmarkEnd w:id="29"/>
    <w:bookmarkStart w:id="30"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with particular attention on differences between bay segments and the time periods before and after 2016 (pre/post seagrass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w:t>
      </w:r>
      <w:r>
        <w:t xml:space="preserve"> </w:t>
      </w:r>
      <w:hyperlink w:anchor="fig-concept">
        <w:r>
          <w:rPr>
            <w:rStyle w:val="Hyperlink"/>
          </w:rPr>
          <w:t xml:space="preserve">Figure 4</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4</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testudinium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both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and a single predictor for decimal year</w:t>
      </w:r>
      <w:r>
        <w:t xml:space="preserve"> </w:t>
      </w:r>
      <w:r>
        <w:t xml:space="preserve">(Wood 2017)</w:t>
      </w:r>
      <w:r>
        <w:t xml:space="preserve">. The smoothing spline for decimal year had sufficient knots to capture the seasonal signal within each year and the long-term inter-annual trends. Model fit for each station was sufficient to calculate daily predictions for assessing the stressor metrics (see supplement, R</w:t>
      </w:r>
      <m:oMath>
        <m:sSup>
          <m:e>
            <m:r>
              <m:t>​</m:t>
            </m:r>
          </m:e>
          <m:sup>
            <m:r>
              <m:t>2</m:t>
            </m:r>
          </m:sup>
        </m:sSup>
      </m:oMath>
      <w:r>
        <w:t xml:space="preserve"> </w:t>
      </w:r>
      <w:r>
        <w:t xml:space="preserve">ranged from 0.85 to 0.95 for temperature models, 0.71 to 0.96 for salinity models).</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30"/>
    <w:bookmarkStart w:id="31" w:name="links-to-seagrass"/>
    <w:p>
      <w:pPr>
        <w:pStyle w:val="Heading3"/>
      </w:pPr>
      <w:r>
        <w:t xml:space="preserve">2.7 Links to seagrass</w:t>
      </w:r>
    </w:p>
    <w:p>
      <w:pPr>
        <w:pStyle w:val="FirstParagraph"/>
      </w:pPr>
      <w:r>
        <w:t xml:space="preserve">For comparison to seagrass, the annual metrics were also referenced to approximate periods of time between the annual seagrass transect surveys, as opposed to the calendar year as above. Transect surveys are typically done in the fall at the end of the growing season. The average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and another with the both metric given that the latter was a combined metric of the former.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(no bay segment interaction) and the seagrass response variable was presence/absence (i.e., a binomial distribution was used) to model the probability of observing seagrass. Input data for models for the FIM and PDEM datasets were further subset to include only months from July to November to describe seagrasses during the growing season and to reduce potential seasonal effects.</w:t>
      </w:r>
    </w:p>
    <w:bookmarkEnd w:id="31"/>
    <w:bookmarkEnd w:id="32"/>
    <w:bookmarkStart w:id="36" w:name="results"/>
    <w:p>
      <w:pPr>
        <w:pStyle w:val="Heading2"/>
      </w:pPr>
      <w:r>
        <w:t xml:space="preserve">3 Results</w:t>
      </w:r>
    </w:p>
    <w:bookmarkStart w:id="33" w:name="temperature-and-salinity-trends"/>
    <w:p>
      <w:pPr>
        <w:pStyle w:val="Heading3"/>
      </w:pPr>
      <w:r>
        <w:t xml:space="preserve">3.1 Temperature and salinity trends</w:t>
      </w:r>
    </w:p>
    <w:p>
      <w:pPr>
        <w:pStyle w:val="FirstParagraph"/>
      </w:pPr>
      <w:r>
        <w:t xml:space="preserve">Long-term meteorological data from Tampa International Airport showed significantly increasing trends for air temperature and precipitation</w:t>
      </w:r>
      <w:r>
        <w:t xml:space="preserve"> </w:t>
      </w:r>
      <w:hyperlink w:anchor="fig-meteowqraw">
        <w:r>
          <w:rPr>
            <w:rStyle w:val="Hyperlink"/>
          </w:rPr>
          <w:t xml:space="preserve">Figure 3</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 whereas current mean annual air temperature in 2022 was 24.1 (+/-0.17 st. err.), showing an overall increase in the period of record of 2</w:t>
      </w:r>
      <w:r>
        <w:t xml:space="preserve"> </w:t>
      </w:r>
      <m:oMath>
        <m:sSup>
          <m:e>
            <m:r>
              <m:t>​</m:t>
            </m:r>
          </m:e>
          <m:sup>
            <m:r>
              <m:rPr>
                <m:sty m:val="p"/>
              </m:rPr>
              <m:t>∘</m:t>
            </m:r>
          </m:sup>
        </m:sSup>
      </m:oMath>
      <w:r>
        <w:t xml:space="preserve">C. Similarly, total precipitation has increased by 6.45 mm per year (p &lt; 0.05,</w:t>
      </w:r>
      <w:r>
        <w:t xml:space="preserve"> </w:t>
      </w:r>
      <m:oMath>
        <m:sSup>
          <m:e>
            <m:r>
              <m:t>R</m:t>
            </m:r>
          </m:e>
          <m:sup>
            <m:r>
              <m:t>2</m:t>
            </m:r>
          </m:sup>
        </m:sSup>
      </m:oMath>
      <w:r>
        <w:t xml:space="preserve"> </w:t>
      </w:r>
      <w:r>
        <w:t xml:space="preserve">0.11). Total precipitation in 1975 was 1072.4 (+/-67.68 st. err.), whereas current total precipitation in 2022 was 1375.7 (+/-67.68 st. err.), showing an overall increase in the period of record of 303.3 mm. Trends in total annual hydrologic load from 1985 to present followed total annual precipitation, although the linear model was not significant likely due to a shorter period of record. The SPI showed notable anomalies in precipitation, with pronounced rainy periods in 1980, the late 1990s, 2005, and the last ten years.</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3</w:t>
        </w:r>
      </w:hyperlink>
      <w:r>
        <w:t xml:space="preserve">,</w:t>
      </w:r>
      <w:r>
        <w:t xml:space="preserve"> </w:t>
      </w:r>
      <w:hyperlink w:anchor="tbl-temptrndtab">
        <w:r>
          <w:rPr>
            <w:rStyle w:val="Hyperlink"/>
          </w:rPr>
          <w:t xml:space="preserve">Table 1</w:t>
        </w:r>
      </w:hyperlink>
      <w:r>
        <w:t xml:space="preserve">,</w:t>
      </w:r>
      <w:r>
        <w:t xml:space="preserve"> </w:t>
      </w:r>
      <w:hyperlink w:anchor="tbl-saltrndtab">
        <w:r>
          <w:rPr>
            <w:rStyle w:val="Hyperlink"/>
          </w:rPr>
          <w:t xml:space="preserve">Table 2</w:t>
        </w:r>
      </w:hyperlink>
      <w:r>
        <w:t xml:space="preserve">, figures in supplement).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 and minimal stratification in Tampa Bay (</w:t>
      </w:r>
      <w:hyperlink w:anchor="fig-meteowqraw">
        <w:r>
          <w:rPr>
            <w:rStyle w:val="Hyperlink"/>
          </w:rPr>
          <w:t xml:space="preserve">Figure 3</w:t>
        </w:r>
      </w:hyperlink>
      <w:r>
        <w:t xml:space="preserve">). Trends in water temperature were similar across bay segments with significant increases varying from 0.3 to 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with a total decrease of 2.7 (OTB) and 2.0 (LTB) ppt from 1975 to present. As expected, intra-annual variability of water temperature was much higher than salinity following the larger seasonal variation in temperature (</w:t>
      </w:r>
      <w:hyperlink w:anchor="fig-meteowqraw">
        <w:r>
          <w:rPr>
            <w:rStyle w:val="Hyperlink"/>
          </w:rPr>
          <w:t xml:space="preserve">Figure 3</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(see figures in supplement).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All stations had significantly increasing temperature and decreasing salinity from 1975 to present in both the top and bottom of the water column, excluding one station in HB that did not have significantly decreasing bottom salinity (Figure</w:t>
      </w:r>
      <w:r>
        <w:t xml:space="preserve"> </w:t>
      </w:r>
      <w:hyperlink w:anchor="fig-kendall">
        <w:r>
          <w:rPr>
            <w:rStyle w:val="Hyperlink"/>
          </w:rPr>
          <w:t xml:space="preserve">5</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5</w:t>
        </w:r>
      </w:hyperlink>
      <w:r>
        <w:t xml:space="preserve">b,</w:t>
      </w:r>
      <w:r>
        <w:t xml:space="preserve"> </w:t>
      </w:r>
      <w:hyperlink w:anchor="fig-kendall">
        <w:r>
          <w:rPr>
            <w:rStyle w:val="Hyperlink"/>
          </w:rPr>
          <w:t xml:space="preserve">5</w:t>
        </w:r>
      </w:hyperlink>
      <w:r>
        <w:t xml:space="preserve">c), although some variation was observed between bay segments. Temperature trends were more often observed in the summer, early fall for the upper bay segments (OTB, HB), whereas the lower bay segments (MTB, LTB) had more significant trends during the spring. Seasonal trends in salinity did not vary as much between segments, although OTB and LTB had more stations with significantly decreasing trends than the other bay segments. Again, differences between top or bottom trends did not differ seasonally.</w:t>
      </w:r>
    </w:p>
    <w:bookmarkEnd w:id="33"/>
    <w:bookmarkStart w:id="34" w:name="stressor-metrics"/>
    <w:p>
      <w:pPr>
        <w:pStyle w:val="Heading3"/>
      </w:pPr>
      <w:r>
        <w:t xml:space="preserve">3.2 Stressor metrics</w:t>
      </w:r>
    </w:p>
    <w:p>
      <w:pPr>
        <w:pStyle w:val="FirstParagraph"/>
      </w:pPr>
      <w:r>
        <w:t xml:space="preserve">Linear mixed-effects models showed varying trends in the potential stressor metrics for the number of days when temperature was above, salinity was below, or both occurred relative to different thresholds. All of the temperature models for each of the three thresholds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(see supplement). The estimated slopes for the number of days when temperature was above 30</w:t>
      </w:r>
      <w:r>
        <w:t xml:space="preserve"> </w:t>
      </w:r>
      <m:oMath>
        <m:sSup>
          <m:e>
            <m:r>
              <m:t>​</m:t>
            </m:r>
          </m:e>
          <m:sup>
            <m:r>
              <m:rPr>
                <m:sty m:val="p"/>
              </m:rPr>
              <m:t>∘</m:t>
            </m:r>
          </m:sup>
        </m:sSup>
      </m:oMath>
      <w:r>
        <w:t xml:space="preserve">C were similar among bay segments, varying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w:t>
      </w:r>
    </w:p>
    <w:p>
      <w:pPr>
        <w:pStyle w:val="BodyText"/>
      </w:pPr>
      <w:r>
        <w:t xml:space="preserve">The salinity models were less similar between bay segments compared to the temperature models, primarily because of the natural variation in salinity along the bay’s longitudinal axis (see supplement). None of the bay segments had significantly increasing number of days when salinity was below 15 ppt. For MTB, only the number of days when salinity was below 25 ppt was significantly increasing at a rate of 0.67 days per year. Both HB and OTB had significantly increasing number of days per year when salinity was below 20 and 25 ppt, although the slopes varied such that the rates in OTB were nearly double those in HB. The number of days per year when salinity was below 20 ppt in OTB increased by 1 day per year, whereas the number of days in HB increased by 0.5 days per year from 1975 to present. Likewise, the average number of days when salinity was 20 ppt at the beginning and end of the period of record varied from 11 (HB) to 23 (OTB) days in 1975 to 25 (HB) to 68 (LTB) days in 2022.</w:t>
      </w:r>
    </w:p>
    <w:p>
      <w:pPr>
        <w:pStyle w:val="BodyText"/>
      </w:pPr>
      <w:r>
        <w:t xml:space="preserve">Times when both temperature was above a threshold and salinity was below a threshold also varied by bay segment. None of the models were significant for LTB, four were significant for MTB, seven were significant for HB, and four were significant for OTB.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24 days in 2022 for OTB, HB, and MTB, respectively.</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when temperature was above 30</w:t>
      </w:r>
      <m:oMath>
        <m:sSup>
          <m:e>
            <m:r>
              <m:t>​</m:t>
            </m:r>
          </m:e>
          <m:sup>
            <m:r>
              <m:rPr>
                <m:sty m:val="p"/>
              </m:rPr>
              <m:t>∘</m:t>
            </m:r>
          </m:sup>
        </m:sSup>
      </m:oMath>
      <w:r>
        <w:t xml:space="preserve">, salinity was below 25 ppt, and when both occurred. Temperature trends were similar among segments, whereas the number of days when salinity was below the threshold varied by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although the slopes varied. These thresholds were used for comparison to seagrass changes described below, based primarily on the statistical strength of the trends and the variance of counts among bay segments. That is, more restrictive thresholds did not provide sufficient counts of days per year to develop models and the chosen thresholds were based primarily on statistical considerations. The thresholds likely have minimal ecological significance, but rather provide a useful metric for tracking physical changes in the water column that are likely correlated with seagrass change.</w:t>
      </w:r>
    </w:p>
    <w:bookmarkEnd w:id="34"/>
    <w:bookmarkStart w:id="35" w:name="seagrass-response"/>
    <w:p>
      <w:pPr>
        <w:pStyle w:val="Heading3"/>
      </w:pPr>
      <w:r>
        <w:t xml:space="preserve">3.3 Seagrass response</w:t>
      </w:r>
    </w:p>
    <w:p>
      <w:pPr>
        <w:pStyle w:val="FirstParagraph"/>
      </w:pPr>
      <w:r>
        <w:t xml:space="preserve">Linear models to assess the potential effects of temperature and salinity on seagrass changes provided modest evidence that seagrass loss after 2016 was driven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(p &lt; 0.01,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shape of the relationship of temperature with time period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5"/>
    <w:bookmarkEnd w:id="36"/>
    <w:bookmarkStart w:id="38"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w:t>
      </w:r>
      <w:r>
        <w:t xml:space="preserve"> </w:t>
      </w:r>
      <w:r>
        <w:t xml:space="preserve">(Osland et al. 2015; Oliver et al. 2018)</w:t>
      </w:r>
      <w:r>
        <w:t xml:space="preserve">. At a local scale, these changes have been demonstrated herein for Tampa Bay where the evaluation of long-term trends in water temperature and salinity showed clear changes mirrored by long-term changes in air temperature and precipitation. Over the previous fifty years, the Bay has demonstrated a consistent trend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EPC dataset with the longest period of record covering nearly fifty years of monthly observations, with the most dramatic changes occurring during the summer rainy season at locations farther from the mouth of the Bay. These long-term changes manifested into consistent trends in the stressor metrics, where the continuous number of days each year when temperature was above, salinity was below, or both crossed thresholds showed consistent increases across the period of record. Notably, bottom and surface trends for water temperature and salinity in the EPC dataset were similar, suggesting that any potential stress on biotic resources related to these factors are likely occurring throughout the water column.</w:t>
      </w:r>
    </w:p>
    <w:p>
      <w:pPr>
        <w:pStyle w:val="BodyText"/>
      </w:pPr>
      <w:r>
        <w:t xml:space="preserve">Similar regional, long-term changes in coastal waters and estuaries have been observed by others</w:t>
      </w:r>
      <w:r>
        <w:t xml:space="preserve"> </w:t>
      </w:r>
      <w:r>
        <w:t xml:space="preserve">(Nickerson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for Tampa Bay (the EPC dataset was also used), although the power to detect trends decreased for shorter time periods, as independently verified with the FIM and PDEM datasets herein.</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OTB and HB segments.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 larger spatial area. These differences are understandable given the analysis goals and methods for data synthesis.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estimates for Tampa Bay is comparable.</w:t>
      </w:r>
    </w:p>
    <w:p>
      <w:pPr>
        <w:pStyle w:val="BodyText"/>
      </w:pPr>
      <w:r>
        <w:t xml:space="preserve">Our relatively simple modeling approach provided some evidence that climate-related stressors can explain the recent loss in seagrass in Tampa Bay. The models did not provide a consistent, nor statistically powerful, explanation that increasing temperature and decreasing salinity were key drivers. However, evaluating all models together does suggest a pattern that demonstrates the value of considering multiple datasets and models to explain noisy ecological patterns.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was observed post-2016 as compared to pre-2016 where frequency occurrence of seagrass declined with the increasing number of days when salinity was below 25 ppt. Likewise, the FIM models had a significant interaction term for the association of the temperature with time period and a marginally significant interaction term for the association of salinity with time period, such that percent cover of seagrasses showed a decline with increasing temperature and decreasing salinity post-2016. An important distinction between the EPC and FIM models is that the former evaluated the number of days above/below thresholds each year to quantify increases in annual stress associated with temperature and salinity,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programs.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as shown by the mixed-effects linear models for each bay segment. That is, sufficient change and variation in the independent variables for the models of seagrass change were needed to statistically describe potential relationships. These thresholds are likely not ecologically significant since most of the reported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(i.e., higher temperature, lower salinity),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temperature and salinity suggest that conditions are very likely to become more stressful in the future. Moreover, the GAMs used to model continuous temperature and salinity at each EPC monitoring station likely did not fully describe the current extent of stress given that extreme low or high values were often not captured by the daily predictions (see supplement). Regardless of the above limitations, the role of climate stressors on seagrass change is likely to continue in the future as suggested by our results.</w:t>
      </w:r>
    </w:p>
    <w:p>
      <w:pPr>
        <w:pStyle w:val="BodyText"/>
      </w:pPr>
      <w:r>
        <w:t xml:space="preserve">Additional limitations of our model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nutrients, nitrogen in particular,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Our use of time period (pre-/post-2016) as a categorical variable partially addressed this issue. Modeling seagrass change as related to temperature or salinity for the entire record would have shown a spurious correlation of both with seagrass given the long-term recovery of seagrass. Thus, time period was necessary to control for these confounding relationships. Additionally, light attenuation has been relatively consistent since 2016 and within the limits estimated to be supportive of seagrass growth in Tampa Bay (OTB in particular where the most losses have been seen)</w:t>
      </w:r>
      <w:r>
        <w:t xml:space="preserve"> </w:t>
      </w:r>
      <w:r>
        <w:t xml:space="preserve">(Janicki and Wade 1996; Beck 2020a)</w:t>
      </w:r>
      <w:r>
        <w:t xml:space="preserve">. This suggests that other factors are influencing seagrass growth and the inclusion of light attenuation in the models was likely not critical for describing the roles of temperature and salinity. A final consideration for our models relates to how seagrasses may influence their environment, particularly for the EPC and PDEM datasets where temperature and salinity were measured at the same locations as seagrass. For example, temperature may simply be higher in locations where seagrasses are present, i.e., seagrasses may be influencing their environment rather than the environment influencing seagrasses. This explanation cannot be ruled out with the existing datasets, although the trend analyses showing the consistent long-term changes and our models suggest that climate-related stressors driving seagrass loss is a more likely scenario.</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explain the change in Tampa Bay. Based on our results, the losses elsewhere may potentially be explained by temperature and salinity and are worth exploring in other southwest Florida coastal regions and estuaries where long-term datasets exist. Additional factors that could explain these changes are also likely co-occurring with climate stress, some of which are unique to Tampa Bay and others that are likely more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(e.g., Stelling et al. 2023)</w:t>
      </w:r>
      <w:r>
        <w:t xml:space="preserve">.</w:t>
      </w:r>
    </w:p>
    <w:p>
      <w:pPr>
        <w:pStyle w:val="BodyText"/>
      </w:pPr>
      <w:r>
        <w:t xml:space="preserve">Additional biotic factors could be influencing regional patterns in seagrass growth. In Tampa Bay and elsewhere, the presence of macroalgal species and how these may influence seagrass growth and recovery has been a concern</w:t>
      </w:r>
      <w:r>
        <w:t xml:space="preserve"> </w:t>
      </w:r>
      <w:r>
        <w:t xml:space="preserve">(Janicki Environmental, Inc. 2022; Scolaro et al. 2023)</w:t>
      </w:r>
      <w:r>
        <w:t xml:space="preserve">.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w:t>
      </w:r>
      <w:r>
        <w:t xml:space="preserve">, in addition to insufficient data in Tampa Bay to clearly describe growth patterns and nutrient cycling related to macroalgae. Discrete pollutant loading events in Tampa Bay have been documented to promote macroalgae growth</w:t>
      </w:r>
      <w:r>
        <w:t xml:space="preserve"> </w:t>
      </w:r>
      <w:r>
        <w:t xml:space="preserve">(Beck et al. 2022; Scolaro et al. 2023; Tomasko 2023)</w:t>
      </w:r>
      <w:r>
        <w:t xml:space="preserve">, whereas the role of chronic nutrient loading and changing climatic conditions in promoting growth and interactions with seagrasses is less understood, particularly in recent years.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(Alarcon et al. 2024)</w:t>
      </w:r>
      <w:r>
        <w:t xml:space="preserve">. Salinity changes with sea-level rise have been documented to contribute to numerous alterations of subtidal and nearshore habitats</w:t>
      </w:r>
      <w:r>
        <w:t xml:space="preserve"> </w:t>
      </w:r>
      <w:r>
        <w:t xml:space="preserve">(Brinson et al. 1995; White and Kaplan 2017)</w:t>
      </w:r>
      <w:r>
        <w:t xml:space="preserve">. In southwest Florida, the most common ecological example is migration of tidal wetlands, primary mangroves, upland as porewater salinity and water levels have gradually changed over the past few decades</w:t>
      </w:r>
      <w:r>
        <w:t xml:space="preserve"> </w:t>
      </w:r>
      <w:r>
        <w:t xml:space="preserve">(Borchert et al. 2018)</w:t>
      </w:r>
      <w:r>
        <w:t xml:space="preserve">.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(Hall et al. 2016)</w:t>
      </w:r>
      <w:r>
        <w:t xml:space="preserve">. Although drought has been implicated in the hypersaline conditions observed in Florida Bay, sea level rise is expected to further alter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Greater Florida Everglades, emphasizing that measured salinity represents the relative contributions of oceanic and freshwater surface waters. In Tampa Bay, the long-term trends of decreasing salinity suggest that the hydrologic load into the system has had a greater influence on salinity regimes than the effects of sea-level rise. This hypothesis is supported by our assessment of precipitation patterns over time, where the long-term increase is inversely correlated with the decrease in salinity.</w:t>
      </w:r>
    </w:p>
    <w:bookmarkStart w:id="37"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are additively affecting seagrasses, rather than multiplicatively as evidenced by lack of significant interactions of these stressors. Future analyses may show more significant associations between physical habitat conditions and seagrass change as the trends are very likely to continue to push seagrass further outside of their tolerance ranges. These analyses should be supported by additional data, particularly high-resolution continuous monitoring data that provide a more precise assessment of stress at multiple time-scales.</w:t>
      </w:r>
    </w:p>
    <w:p>
      <w:pPr>
        <w:pStyle w:val="BodyText"/>
      </w:pPr>
      <w:r>
        <w:t xml:space="preserve">Area managers should consider how these climate-related stressors may alter the effectiveness of intervention activities aimed at protecting ecological resources in Tampa Bay. Management actions that have historically been effective may have inadequate capacity to maintain ecosystem status due to changing resilience of ecological resources with climate change. For example, nitrogen load reductions have been effective at restoring Tampa Bay, primarily due to wastewater load allocations considered to be within the nutrient assimilative capacity of Tampa Bay</w:t>
      </w:r>
      <w:r>
        <w:t xml:space="preserve"> </w:t>
      </w:r>
      <w:r>
        <w:t xml:space="preserve">(Greening and Janicki 2006; Greening et al. 2014)</w:t>
      </w:r>
      <w:r>
        <w:t xml:space="preserve">. As Tampa Bay becomes hotter and fresher, similar load allocations may no longer be effectively assimilated. Strategies can be pursued to reduce allowable load inputs from regulated entities and to create additional resilience through more aggressive management strategies (e.g., additional stormwater controls, hydrological modifications). These considerations are especially critical for upper parts of Tampa Bay where a majority of seagrass loss has occurred and where temperature and salinity trends have been most pronounced. Reversal of recent trends may be more likely to occur if aggressive actions and controls are pursued sooner rather than later, given the challenges of restoring degraded systems due to hysteresis.</w:t>
      </w:r>
    </w:p>
    <w:bookmarkEnd w:id="37"/>
    <w:bookmarkEnd w:id="38"/>
    <w:bookmarkStart w:id="39"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hundreds of field and administrative staff for collecting and maintaining the valuable long-term monitoring data used in this study.</w:t>
      </w:r>
    </w:p>
    <w:p>
      <w:r>
        <w:br w:type="page"/>
      </w:r>
    </w:p>
    <w:bookmarkEnd w:id="39"/>
    <w:bookmarkStart w:id="68"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3" w:name="fig-map"/>
          <w:p>
            <w:pPr>
              <w:pStyle w:val="Figure"/>
              <w:jc w:val="center"/>
            </w:pPr>
            <w:r>
              <w:drawing>
                <wp:inline>
                  <wp:extent cx="3899197" cy="6422207"/>
                  <wp:effectExtent b="0" l="0" r="0" t="0"/>
                  <wp:docPr descr="" title="" id="41" name="Picture"/>
                  <a:graphic>
                    <a:graphicData uri="http://schemas.openxmlformats.org/drawingml/2006/picture">
                      <pic:pic>
                        <pic:nvPicPr>
                          <pic:cNvPr descr="figs/map.png" id="42" name="Picture"/>
                          <pic:cNvPicPr>
                            <a:picLocks noChangeArrowheads="1" noChangeAspect="1"/>
                          </pic:cNvPicPr>
                        </pic:nvPicPr>
                        <pic:blipFill>
                          <a:blip r:embed="rId40"/>
                          <a:stretch>
                            <a:fillRect/>
                          </a:stretch>
                        </pic:blipFill>
                        <pic:spPr bwMode="auto">
                          <a:xfrm>
                            <a:off x="0" y="0"/>
                            <a:ext cx="3899197" cy="64222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Tampa Bay and the three datasets used for trend analysis, including (a) bay segments, 2022 seagrass coverage (green), and transect starting points (red), (b) Environmental Protection Commissions (EPC) long-term monitoring sites, (c) Fisheries Independent Monitoring (FIM) random sampling for near-shore seine hauls, and (d) OTB portion of Pinellas County Department of Environmental Management (PDEM) random sampling. OTB: Old Tampa Bay, HB: Hillsborough Bay, MTB: Middle Tampa Bay, LTB: Lower Tampa Bay.</w:t>
            </w:r>
          </w:p>
          <w:bookmarkEnd w:id="43"/>
        </w:tc>
      </w:tr>
    </w:tbl>
    <w:p>
      <w:r>
        <w:br w:type="page"/>
      </w:r>
    </w:p>
    <w:tbl>
      <w:tblPr>
        <w:tblStyle w:val="Table"/>
        <w:tblW w:type="pct" w:w="5000"/>
        <w:tblLook w:firstRow="0" w:lastRow="0" w:firstColumn="0" w:lastColumn="0" w:noHBand="0" w:noVBand="0" w:val="0000"/>
      </w:tblPr>
      <w:tblGrid>
        <w:gridCol w:w="7920"/>
      </w:tblGrid>
      <w:tr>
        <w:tc>
          <w:tcPr/>
          <w:bookmarkStart w:id="47" w:name="fig-seagrasschg"/>
          <w:p>
            <w:pPr>
              <w:pStyle w:val="Figure"/>
              <w:jc w:val="center"/>
            </w:pPr>
            <w:r>
              <w:drawing>
                <wp:inline>
                  <wp:extent cx="5943600" cy="4457699"/>
                  <wp:effectExtent b="0" l="0" r="0" t="0"/>
                  <wp:docPr descr="" title="" id="45" name="Picture"/>
                  <a:graphic>
                    <a:graphicData uri="http://schemas.openxmlformats.org/drawingml/2006/picture">
                      <pic:pic>
                        <pic:nvPicPr>
                          <pic:cNvPr descr="figs/seagrasschg.png" id="46" name="Picture"/>
                          <pic:cNvPicPr>
                            <a:picLocks noChangeArrowheads="1" noChangeAspect="1"/>
                          </pic:cNvPicPr>
                        </pic:nvPicPr>
                        <pic:blipFill>
                          <a:blip r:embed="rId44"/>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47"/>
        </w:tc>
      </w:tr>
    </w:tbl>
    <w:p>
      <w:r>
        <w:br w:type="page"/>
      </w:r>
    </w:p>
    <w:tbl>
      <w:tblPr>
        <w:tblStyle w:val="Table"/>
        <w:tblW w:type="pct" w:w="5000"/>
        <w:tblLook w:firstRow="0" w:lastRow="0" w:firstColumn="0" w:lastColumn="0" w:noHBand="0" w:noVBand="0" w:val="0000"/>
      </w:tblPr>
      <w:tblGrid>
        <w:gridCol w:w="7920"/>
      </w:tblGrid>
      <w:tr>
        <w:tc>
          <w:tcPr/>
          <w:bookmarkStart w:id="51" w:name="fig-meteowqraw"/>
          <w:p>
            <w:pPr>
              <w:pStyle w:val="Figure"/>
              <w:jc w:val="center"/>
            </w:pPr>
            <w:r>
              <w:drawing>
                <wp:inline>
                  <wp:extent cx="5943600" cy="6792685"/>
                  <wp:effectExtent b="0" l="0" r="0" t="0"/>
                  <wp:docPr descr="" title="" id="49" name="Picture"/>
                  <a:graphic>
                    <a:graphicData uri="http://schemas.openxmlformats.org/drawingml/2006/picture">
                      <pic:pic>
                        <pic:nvPicPr>
                          <pic:cNvPr descr="figs/meteowqraw.png" id="50" name="Picture"/>
                          <pic:cNvPicPr>
                            <a:picLocks noChangeArrowheads="1" noChangeAspect="1"/>
                          </pic:cNvPicPr>
                        </pic:nvPicPr>
                        <pic:blipFill>
                          <a:blip r:embed="rId48"/>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51"/>
        </w:tc>
      </w:tr>
    </w:tbl>
    <w:p>
      <w:r>
        <w:br w:type="page"/>
      </w:r>
    </w:p>
    <w:tbl>
      <w:tblPr>
        <w:tblStyle w:val="Table"/>
        <w:tblW w:type="pct" w:w="5000"/>
        <w:tblLook w:firstRow="0" w:lastRow="0" w:firstColumn="0" w:lastColumn="0" w:noHBand="0" w:noVBand="0" w:val="0000"/>
      </w:tblPr>
      <w:tblGrid>
        <w:gridCol w:w="7920"/>
      </w:tblGrid>
      <w:tr>
        <w:tc>
          <w:tcPr/>
          <w:bookmarkStart w:id="55" w:name="fig-concept"/>
          <w:p>
            <w:pPr>
              <w:pStyle w:val="Figure"/>
              <w:jc w:val="center"/>
            </w:pPr>
            <w:r>
              <w:drawing>
                <wp:inline>
                  <wp:extent cx="4905519" cy="5002796"/>
                  <wp:effectExtent b="0" l="0" r="0" t="0"/>
                  <wp:docPr descr="" title="" id="53" name="Picture"/>
                  <a:graphic>
                    <a:graphicData uri="http://schemas.openxmlformats.org/drawingml/2006/picture">
                      <pic:pic>
                        <pic:nvPicPr>
                          <pic:cNvPr descr="figs/concept.png" id="54" name="Picture"/>
                          <pic:cNvPicPr>
                            <a:picLocks noChangeArrowheads="1" noChangeAspect="1"/>
                          </pic:cNvPicPr>
                        </pic:nvPicPr>
                        <pic:blipFill>
                          <a:blip r:embed="rId52"/>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Conceptual stressor diagram demonstrating a two-dimensional niche space for temperature and salinity.</w:t>
            </w:r>
          </w:p>
          <w:bookmarkEnd w:id="55"/>
        </w:tc>
      </w:tr>
    </w:tbl>
    <w:p>
      <w:r>
        <w:br w:type="page"/>
      </w:r>
    </w:p>
    <w:tbl>
      <w:tblPr>
        <w:tblStyle w:val="Table"/>
        <w:tblW w:type="pct" w:w="5000"/>
        <w:tblLook w:firstRow="0" w:lastRow="0" w:firstColumn="0" w:lastColumn="0" w:noHBand="0" w:noVBand="0" w:val="0000"/>
      </w:tblPr>
      <w:tblGrid>
        <w:gridCol w:w="7920"/>
      </w:tblGrid>
      <w:tr>
        <w:tc>
          <w:tcPr/>
          <w:bookmarkStart w:id="59" w:name="fig-kendall"/>
          <w:p>
            <w:pPr>
              <w:pStyle w:val="Figure"/>
              <w:jc w:val="center"/>
            </w:pPr>
            <w:r>
              <w:drawing>
                <wp:inline>
                  <wp:extent cx="5943600" cy="4379494"/>
                  <wp:effectExtent b="0" l="0" r="0" t="0"/>
                  <wp:docPr descr="" title="" id="57" name="Picture"/>
                  <a:graphic>
                    <a:graphicData uri="http://schemas.openxmlformats.org/drawingml/2006/picture">
                      <pic:pic>
                        <pic:nvPicPr>
                          <pic:cNvPr descr="figs/kendall.png" id="58" name="Picture"/>
                          <pic:cNvPicPr>
                            <a:picLocks noChangeArrowheads="1" noChangeAspect="1"/>
                          </pic:cNvPicPr>
                        </pic:nvPicPr>
                        <pic:blipFill>
                          <a:blip r:embed="rId56"/>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59"/>
        </w:tc>
      </w:tr>
    </w:tbl>
    <w:p>
      <w:r>
        <w:br w:type="page"/>
      </w:r>
    </w:p>
    <w:tbl>
      <w:tblPr>
        <w:tblStyle w:val="Table"/>
        <w:tblW w:type="pct" w:w="5000"/>
        <w:tblLook w:firstRow="0" w:lastRow="0" w:firstColumn="0" w:lastColumn="0" w:noHBand="0" w:noVBand="0" w:val="0000"/>
      </w:tblPr>
      <w:tblGrid>
        <w:gridCol w:w="7920"/>
      </w:tblGrid>
      <w:tr>
        <w:tc>
          <w:tcPr/>
          <w:bookmarkStart w:id="63" w:name="fig-mixeff"/>
          <w:p>
            <w:pPr>
              <w:pStyle w:val="Figure"/>
              <w:jc w:val="center"/>
            </w:pPr>
            <w:r>
              <w:drawing>
                <wp:inline>
                  <wp:extent cx="5943600" cy="5094514"/>
                  <wp:effectExtent b="0" l="0" r="0" t="0"/>
                  <wp:docPr descr="" title="" id="61" name="Picture"/>
                  <a:graphic>
                    <a:graphicData uri="http://schemas.openxmlformats.org/drawingml/2006/picture">
                      <pic:pic>
                        <pic:nvPicPr>
                          <pic:cNvPr descr="figs/mixeff.png" id="62" name="Picture"/>
                          <pic:cNvPicPr>
                            <a:picLocks noChangeArrowheads="1" noChangeAspect="1"/>
                          </pic:cNvPicPr>
                        </pic:nvPicPr>
                        <pic:blipFill>
                          <a:blip r:embed="rId60"/>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63"/>
        </w:tc>
      </w:tr>
    </w:tbl>
    <w:p>
      <w:r>
        <w:br w:type="page"/>
      </w:r>
    </w:p>
    <w:tbl>
      <w:tblPr>
        <w:tblStyle w:val="Table"/>
        <w:tblW w:type="pct" w:w="5000"/>
        <w:tblLook w:firstRow="0" w:lastRow="0" w:firstColumn="0" w:lastColumn="0" w:noHBand="0" w:noVBand="0" w:val="0000"/>
      </w:tblPr>
      <w:tblGrid>
        <w:gridCol w:w="7920"/>
      </w:tblGrid>
      <w:tr>
        <w:tc>
          <w:tcPr/>
          <w:bookmarkStart w:id="67" w:name="fig-sgmod"/>
          <w:p>
            <w:pPr>
              <w:pStyle w:val="Figure"/>
              <w:jc w:val="center"/>
            </w:pPr>
            <w:r>
              <w:drawing>
                <wp:inline>
                  <wp:extent cx="5943600" cy="5094514"/>
                  <wp:effectExtent b="0" l="0" r="0" t="0"/>
                  <wp:docPr descr="" title="" id="65" name="Picture"/>
                  <a:graphic>
                    <a:graphicData uri="http://schemas.openxmlformats.org/drawingml/2006/picture">
                      <pic:pic>
                        <pic:nvPicPr>
                          <pic:cNvPr descr="figs/sgmods.png" id="66" name="Picture"/>
                          <pic:cNvPicPr>
                            <a:picLocks noChangeArrowheads="1" noChangeAspect="1"/>
                          </pic:cNvPicPr>
                        </pic:nvPicPr>
                        <pic:blipFill>
                          <a:blip r:embed="rId64"/>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changes versus temperature or salinity predictors for the (a) EPC and (b) FIM datasets. The predictors for the (a) were the number of days when temperature was above the threshold and the number of days when temperature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7"/>
        </w:tc>
      </w:tr>
    </w:tbl>
    <w:p>
      <w:r>
        <w:br w:type="page"/>
      </w:r>
    </w:p>
    <w:bookmarkEnd w:id="68"/>
    <w:bookmarkStart w:id="73" w:name="tables"/>
    <w:p>
      <w:pPr>
        <w:pStyle w:val="Heading2"/>
      </w:pPr>
      <w:r>
        <w:t xml:space="preserve">Tables</w:t>
      </w:r>
    </w:p>
    <w:bookmarkStart w:id="69" w:name="tbl-temptrndtab"/>
    <w:p>
      <w:pPr>
        <w:pStyle w:val="Tabl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tblCaption w:val="Table 1: Bottom temperature trends (^\circ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24.7</w:t>
            </w:r>
          </w:p>
        </w:tc>
        <w:tc>
          <w:tcPr/>
          <w:p>
            <w:pPr>
              <w:pStyle w:val="Compact"/>
              <w:jc w:val="right"/>
            </w:pPr>
            <w:r>
              <w:t xml:space="preserve">1.4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23.3</w:t>
            </w:r>
          </w:p>
        </w:tc>
        <w:tc>
          <w:tcPr/>
          <w:p>
            <w:pPr>
              <w:pStyle w:val="Compact"/>
              <w:jc w:val="right"/>
            </w:pPr>
            <w:r>
              <w:t xml:space="preserve">24.9</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23.6</w:t>
            </w:r>
          </w:p>
        </w:tc>
        <w:tc>
          <w:tcPr/>
          <w:p>
            <w:pPr>
              <w:pStyle w:val="Compact"/>
              <w:jc w:val="right"/>
            </w:pPr>
            <w:r>
              <w:t xml:space="preserve">24.8</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23.5</w:t>
            </w:r>
          </w:p>
        </w:tc>
        <w:tc>
          <w:tcPr/>
          <w:p>
            <w:pPr>
              <w:pStyle w:val="Compact"/>
              <w:jc w:val="right"/>
            </w:pPr>
            <w:r>
              <w:t xml:space="preserve">24.7</w:t>
            </w:r>
          </w:p>
        </w:tc>
        <w:tc>
          <w:tcPr/>
          <w:p>
            <w:pPr>
              <w:pStyle w:val="Compact"/>
              <w:jc w:val="right"/>
            </w:pPr>
            <w:r>
              <w:t xml:space="preserve">1.2</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25.3</w:t>
            </w:r>
          </w:p>
        </w:tc>
        <w:tc>
          <w:tcPr/>
          <w:p>
            <w:pPr>
              <w:pStyle w:val="Compact"/>
              <w:jc w:val="right"/>
            </w:pPr>
            <w:r>
              <w:t xml:space="preserve">1.5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24.1</w:t>
            </w:r>
          </w:p>
        </w:tc>
        <w:tc>
          <w:tcPr/>
          <w:p>
            <w:pPr>
              <w:pStyle w:val="Compact"/>
              <w:jc w:val="right"/>
            </w:pPr>
            <w:r>
              <w:t xml:space="preserve">25.0</w:t>
            </w:r>
          </w:p>
        </w:tc>
        <w:tc>
          <w:tcPr/>
          <w:p>
            <w:pPr>
              <w:pStyle w:val="Compact"/>
              <w:jc w:val="right"/>
            </w:pPr>
            <w:r>
              <w:t xml:space="preserve">0.9</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23.8</w:t>
            </w:r>
          </w:p>
        </w:tc>
        <w:tc>
          <w:tcPr/>
          <w:p>
            <w:pPr>
              <w:pStyle w:val="Compact"/>
              <w:jc w:val="right"/>
            </w:pPr>
            <w:r>
              <w:t xml:space="preserve">24.8</w:t>
            </w:r>
          </w:p>
        </w:tc>
        <w:tc>
          <w:tcPr/>
          <w:p>
            <w:pPr>
              <w:pStyle w:val="Compact"/>
              <w:jc w:val="right"/>
            </w:pPr>
            <w:r>
              <w:t xml:space="preserve">1.0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24.7</w:t>
            </w:r>
          </w:p>
        </w:tc>
        <w:tc>
          <w:tcPr/>
          <w:p>
            <w:pPr>
              <w:pStyle w:val="Compact"/>
              <w:jc w:val="right"/>
            </w:pPr>
            <w:r>
              <w:t xml:space="preserve">0.7</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24.6</w:t>
            </w:r>
          </w:p>
        </w:tc>
        <w:tc>
          <w:tcPr/>
          <w:p>
            <w:pPr>
              <w:pStyle w:val="Compact"/>
              <w:jc w:val="right"/>
            </w:pPr>
            <w:r>
              <w:t xml:space="preserve">0.6</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23.6</w:t>
            </w:r>
          </w:p>
        </w:tc>
        <w:tc>
          <w:tcPr/>
          <w:p>
            <w:pPr>
              <w:pStyle w:val="Compact"/>
              <w:jc w:val="right"/>
            </w:pPr>
            <w:r>
              <w:t xml:space="preserve">24.9</w:t>
            </w:r>
          </w:p>
        </w:tc>
        <w:tc>
          <w:tcPr/>
          <w:p>
            <w:pPr>
              <w:pStyle w:val="Compact"/>
              <w:jc w:val="right"/>
            </w:pPr>
            <w:r>
              <w:t xml:space="preserve">1.3</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0.05</w:t>
            </w:r>
          </w:p>
        </w:tc>
        <w:tc>
          <w:tcPr/>
          <w:p>
            <w:pPr>
              <w:pStyle w:val="Compact"/>
              <w:jc w:val="right"/>
            </w:pPr>
            <w:r>
              <w:t xml:space="preserve">24.4</w:t>
            </w:r>
          </w:p>
        </w:tc>
        <w:tc>
          <w:tcPr/>
          <w:p>
            <w:pPr>
              <w:pStyle w:val="Compact"/>
              <w:jc w:val="right"/>
            </w:pPr>
            <w:r>
              <w:t xml:space="preserve">25.2</w:t>
            </w:r>
          </w:p>
        </w:tc>
        <w:tc>
          <w:tcPr/>
          <w:p>
            <w:pPr>
              <w:pStyle w:val="Compact"/>
              <w:jc w:val="right"/>
            </w:pPr>
            <w:r>
              <w:t xml:space="preserve">0.8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23.9</w:t>
            </w:r>
          </w:p>
        </w:tc>
        <w:tc>
          <w:tcPr/>
          <w:p>
            <w:pPr>
              <w:pStyle w:val="Compact"/>
              <w:jc w:val="right"/>
            </w:pPr>
            <w:r>
              <w:t xml:space="preserve">25.5</w:t>
            </w:r>
          </w:p>
        </w:tc>
        <w:tc>
          <w:tcPr/>
          <w:p>
            <w:pPr>
              <w:pStyle w:val="Compact"/>
              <w:jc w:val="right"/>
            </w:pPr>
            <w:r>
              <w:t xml:space="preserve">1.6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w:t>
            </w:r>
          </w:p>
        </w:tc>
        <w:tc>
          <w:tcPr/>
          <w:p>
            <w:pPr>
              <w:pStyle w:val="Compact"/>
              <w:jc w:val="right"/>
            </w:pPr>
            <w:r>
              <w:t xml:space="preserve">23.7</w:t>
            </w:r>
          </w:p>
        </w:tc>
        <w:tc>
          <w:tcPr/>
          <w:p>
            <w:pPr>
              <w:pStyle w:val="Compact"/>
              <w:jc w:val="right"/>
            </w:pPr>
            <w:r>
              <w:t xml:space="preserve">25.4</w:t>
            </w:r>
          </w:p>
        </w:tc>
        <w:tc>
          <w:tcPr/>
          <w:p>
            <w:pPr>
              <w:pStyle w:val="Compact"/>
              <w:jc w:val="right"/>
            </w:pPr>
            <w:r>
              <w:t xml:space="preserve">1.7</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bl>
    <w:bookmarkEnd w:id="69"/>
    <w:p>
      <w:r>
        <w:br w:type="page"/>
      </w:r>
    </w:p>
    <w:bookmarkStart w:id="70" w:name="tbl-saltrndtab"/>
    <w:p>
      <w:pPr>
        <w:pStyle w:val="TableCaption"/>
      </w:pPr>
      <w:r>
        <w:t xml:space="preserve">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tblCaption w:val="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25.8</w:t>
            </w:r>
          </w:p>
        </w:tc>
        <w:tc>
          <w:tcPr/>
          <w:p>
            <w:pPr>
              <w:pStyle w:val="Compact"/>
              <w:jc w:val="right"/>
            </w:pPr>
            <w:r>
              <w:t xml:space="preserve">23.1</w:t>
            </w:r>
          </w:p>
        </w:tc>
        <w:tc>
          <w:tcPr/>
          <w:p>
            <w:pPr>
              <w:pStyle w:val="Compact"/>
              <w:jc w:val="right"/>
            </w:pPr>
            <w:r>
              <w:t xml:space="preserve">-2.7</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-0.02</w:t>
            </w:r>
          </w:p>
        </w:tc>
        <w:tc>
          <w:tcPr/>
          <w:p>
            <w:pPr>
              <w:pStyle w:val="Compact"/>
              <w:jc w:val="right"/>
            </w:pPr>
            <w:r>
              <w:t xml:space="preserve">25.6</w:t>
            </w:r>
          </w:p>
        </w:tc>
        <w:tc>
          <w:tcPr/>
          <w:p>
            <w:pPr>
              <w:pStyle w:val="Compact"/>
              <w:jc w:val="right"/>
            </w:pPr>
            <w:r>
              <w:t xml:space="preserve">24.6</w:t>
            </w:r>
          </w:p>
        </w:tc>
        <w:tc>
          <w:tcPr/>
          <w:p>
            <w:pPr>
              <w:pStyle w:val="Compact"/>
              <w:jc w:val="right"/>
            </w:pPr>
            <w:r>
              <w:t xml:space="preserve">-1.0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28.2</w:t>
            </w:r>
          </w:p>
        </w:tc>
        <w:tc>
          <w:tcPr/>
          <w:p>
            <w:pPr>
              <w:pStyle w:val="Compact"/>
              <w:jc w:val="right"/>
            </w:pPr>
            <w:r>
              <w:t xml:space="preserve">26.6</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33.4</w:t>
            </w:r>
          </w:p>
        </w:tc>
        <w:tc>
          <w:tcPr/>
          <w:p>
            <w:pPr>
              <w:pStyle w:val="Compact"/>
              <w:jc w:val="right"/>
            </w:pPr>
            <w:r>
              <w:t xml:space="preserve">31.3</w:t>
            </w:r>
          </w:p>
        </w:tc>
        <w:tc>
          <w:tcPr/>
          <w:p>
            <w:pPr>
              <w:pStyle w:val="Compact"/>
              <w:jc w:val="right"/>
            </w:pPr>
            <w:r>
              <w:t xml:space="preserve">-2.1</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24.9</w:t>
            </w:r>
          </w:p>
        </w:tc>
        <w:tc>
          <w:tcPr/>
          <w:p>
            <w:pPr>
              <w:pStyle w:val="Compact"/>
              <w:jc w:val="right"/>
            </w:pPr>
            <w:r>
              <w:t xml:space="preserve">22.8</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-0.06</w:t>
            </w:r>
          </w:p>
        </w:tc>
        <w:tc>
          <w:tcPr/>
          <w:p>
            <w:pPr>
              <w:pStyle w:val="Compact"/>
              <w:jc w:val="right"/>
            </w:pPr>
            <w:r>
              <w:t xml:space="preserve">24.1</w:t>
            </w:r>
          </w:p>
        </w:tc>
        <w:tc>
          <w:tcPr/>
          <w:p>
            <w:pPr>
              <w:pStyle w:val="Compact"/>
              <w:jc w:val="right"/>
            </w:pPr>
            <w:r>
              <w:t xml:space="preserve">22.6</w:t>
            </w:r>
          </w:p>
        </w:tc>
        <w:tc>
          <w:tcPr/>
          <w:p>
            <w:pPr>
              <w:pStyle w:val="Compact"/>
              <w:jc w:val="right"/>
            </w:pPr>
            <w:r>
              <w:t xml:space="preserve">-1.5</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26.1</w:t>
            </w:r>
          </w:p>
        </w:tc>
        <w:tc>
          <w:tcPr/>
          <w:p>
            <w:pPr>
              <w:pStyle w:val="Compact"/>
              <w:jc w:val="right"/>
            </w:pPr>
            <w:r>
              <w:t xml:space="preserve">23.9</w:t>
            </w:r>
          </w:p>
        </w:tc>
        <w:tc>
          <w:tcPr/>
          <w:p>
            <w:pPr>
              <w:pStyle w:val="Compact"/>
              <w:jc w:val="right"/>
            </w:pPr>
            <w:r>
              <w:t xml:space="preserve">-2.2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w:t>
            </w:r>
          </w:p>
        </w:tc>
        <w:tc>
          <w:tcPr/>
          <w:p>
            <w:pPr>
              <w:pStyle w:val="Compact"/>
              <w:jc w:val="right"/>
            </w:pPr>
            <w:r>
              <w:t xml:space="preserve">24.0</w:t>
            </w:r>
          </w:p>
        </w:tc>
        <w:tc>
          <w:tcPr/>
          <w:p>
            <w:pPr>
              <w:pStyle w:val="Compact"/>
              <w:jc w:val="right"/>
            </w:pPr>
            <w:r>
              <w:t xml:space="preserve">24.0</w:t>
            </w:r>
          </w:p>
        </w:tc>
        <w:tc>
          <w:tcPr/>
          <w:p>
            <w:pPr>
              <w:pStyle w:val="Compact"/>
              <w:jc w:val="right"/>
            </w:pPr>
            <w:r>
              <w:t xml:space="preserve">0.0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28.0</w:t>
            </w:r>
          </w:p>
        </w:tc>
        <w:tc>
          <w:tcPr/>
          <w:p>
            <w:pPr>
              <w:pStyle w:val="Compact"/>
              <w:jc w:val="right"/>
            </w:pPr>
            <w:r>
              <w:t xml:space="preserve">26.3</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-0.03</w:t>
            </w:r>
          </w:p>
        </w:tc>
        <w:tc>
          <w:tcPr/>
          <w:p>
            <w:pPr>
              <w:pStyle w:val="Compact"/>
              <w:jc w:val="right"/>
            </w:pPr>
            <w:r>
              <w:t xml:space="preserve">26.6</w:t>
            </w:r>
          </w:p>
        </w:tc>
        <w:tc>
          <w:tcPr/>
          <w:p>
            <w:pPr>
              <w:pStyle w:val="Compact"/>
              <w:jc w:val="right"/>
            </w:pPr>
            <w:r>
              <w:t xml:space="preserve">25.8</w:t>
            </w:r>
          </w:p>
        </w:tc>
        <w:tc>
          <w:tcPr/>
          <w:p>
            <w:pPr>
              <w:pStyle w:val="Compact"/>
              <w:jc w:val="right"/>
            </w:pPr>
            <w:r>
              <w:t xml:space="preserve">-0.8</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32.5</w:t>
            </w:r>
          </w:p>
        </w:tc>
        <w:tc>
          <w:tcPr/>
          <w:p>
            <w:pPr>
              <w:pStyle w:val="Compact"/>
              <w:jc w:val="right"/>
            </w:pPr>
            <w:r>
              <w:t xml:space="preserve">31.4</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0.01</w:t>
            </w:r>
          </w:p>
        </w:tc>
        <w:tc>
          <w:tcPr/>
          <w:p>
            <w:pPr>
              <w:pStyle w:val="Compact"/>
              <w:jc w:val="right"/>
            </w:pPr>
            <w:r>
              <w:t xml:space="preserve">31.6</w:t>
            </w:r>
          </w:p>
        </w:tc>
        <w:tc>
          <w:tcPr/>
          <w:p>
            <w:pPr>
              <w:pStyle w:val="Compact"/>
              <w:jc w:val="right"/>
            </w:pPr>
            <w:r>
              <w:t xml:space="preserve">32.0</w:t>
            </w:r>
          </w:p>
        </w:tc>
        <w:tc>
          <w:tcPr/>
          <w:p>
            <w:pPr>
              <w:pStyle w:val="Compact"/>
              <w:jc w:val="right"/>
            </w:pPr>
            <w:r>
              <w:t xml:space="preserve">0.4</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-0.2*</w:t>
            </w:r>
          </w:p>
        </w:tc>
        <w:tc>
          <w:tcPr/>
          <w:p>
            <w:pPr>
              <w:pStyle w:val="Compact"/>
              <w:jc w:val="right"/>
            </w:pPr>
            <w:r>
              <w:t xml:space="preserve">25.5</w:t>
            </w:r>
          </w:p>
        </w:tc>
        <w:tc>
          <w:tcPr/>
          <w:p>
            <w:pPr>
              <w:pStyle w:val="Compact"/>
              <w:jc w:val="right"/>
            </w:pPr>
            <w:r>
              <w:t xml:space="preserve">22.0</w:t>
            </w:r>
          </w:p>
        </w:tc>
        <w:tc>
          <w:tcPr/>
          <w:p>
            <w:pPr>
              <w:pStyle w:val="Compact"/>
              <w:jc w:val="right"/>
            </w:pPr>
            <w:r>
              <w:t xml:space="preserve">-3.5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-0.15</w:t>
            </w:r>
          </w:p>
        </w:tc>
        <w:tc>
          <w:tcPr/>
          <w:p>
            <w:pPr>
              <w:pStyle w:val="Compact"/>
              <w:jc w:val="right"/>
            </w:pPr>
            <w:r>
              <w:t xml:space="preserve">24.7</w:t>
            </w:r>
          </w:p>
        </w:tc>
        <w:tc>
          <w:tcPr/>
          <w:p>
            <w:pPr>
              <w:pStyle w:val="Compact"/>
              <w:jc w:val="right"/>
            </w:pPr>
            <w:r>
              <w:t xml:space="preserve">21.9</w:t>
            </w:r>
          </w:p>
        </w:tc>
        <w:tc>
          <w:tcPr/>
          <w:p>
            <w:pPr>
              <w:pStyle w:val="Compact"/>
              <w:jc w:val="right"/>
            </w:pPr>
            <w:r>
              <w:t xml:space="preserve">-2.8</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-0.19</w:t>
            </w:r>
          </w:p>
        </w:tc>
        <w:tc>
          <w:tcPr/>
          <w:p>
            <w:pPr>
              <w:pStyle w:val="Compact"/>
              <w:jc w:val="right"/>
            </w:pPr>
            <w:r>
              <w:t xml:space="preserve">24.3</w:t>
            </w:r>
          </w:p>
        </w:tc>
        <w:tc>
          <w:tcPr/>
          <w:p>
            <w:pPr>
              <w:pStyle w:val="Compact"/>
              <w:jc w:val="right"/>
            </w:pPr>
            <w:r>
              <w:t xml:space="preserve">20.9</w:t>
            </w:r>
          </w:p>
        </w:tc>
        <w:tc>
          <w:tcPr/>
          <w:p>
            <w:pPr>
              <w:pStyle w:val="Compact"/>
              <w:jc w:val="right"/>
            </w:pPr>
            <w:r>
              <w:t xml:space="preserve">-3.4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-0.19*</w:t>
            </w:r>
          </w:p>
        </w:tc>
        <w:tc>
          <w:tcPr/>
          <w:p>
            <w:pPr>
              <w:pStyle w:val="Compact"/>
              <w:jc w:val="right"/>
            </w:pPr>
            <w:r>
              <w:t xml:space="preserve">26.5</w:t>
            </w:r>
          </w:p>
        </w:tc>
        <w:tc>
          <w:tcPr/>
          <w:p>
            <w:pPr>
              <w:pStyle w:val="Compact"/>
              <w:jc w:val="right"/>
            </w:pPr>
            <w:r>
              <w:t xml:space="preserve">23.1</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24.8</w:t>
            </w:r>
          </w:p>
        </w:tc>
        <w:tc>
          <w:tcPr/>
          <w:p>
            <w:pPr>
              <w:pStyle w:val="Compact"/>
              <w:jc w:val="right"/>
            </w:pPr>
            <w:r>
              <w:t xml:space="preserve">23.4</w:t>
            </w:r>
          </w:p>
        </w:tc>
        <w:tc>
          <w:tcPr/>
          <w:p>
            <w:pPr>
              <w:pStyle w:val="Compact"/>
              <w:jc w:val="right"/>
            </w:pPr>
            <w:r>
              <w:t xml:space="preserve">-1.4</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-0.17*</w:t>
            </w:r>
          </w:p>
        </w:tc>
        <w:tc>
          <w:tcPr/>
          <w:p>
            <w:pPr>
              <w:pStyle w:val="Compact"/>
              <w:jc w:val="right"/>
            </w:pPr>
            <w:r>
              <w:t xml:space="preserve">28.6</w:t>
            </w:r>
          </w:p>
        </w:tc>
        <w:tc>
          <w:tcPr/>
          <w:p>
            <w:pPr>
              <w:pStyle w:val="Compact"/>
              <w:jc w:val="right"/>
            </w:pPr>
            <w:r>
              <w:t xml:space="preserve">25.6</w:t>
            </w:r>
          </w:p>
        </w:tc>
        <w:tc>
          <w:tcPr/>
          <w:p>
            <w:pPr>
              <w:pStyle w:val="Compact"/>
              <w:jc w:val="right"/>
            </w:pPr>
            <w:r>
              <w:t xml:space="preserve">-3.0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-0.11</w:t>
            </w:r>
          </w:p>
        </w:tc>
        <w:tc>
          <w:tcPr/>
          <w:p>
            <w:pPr>
              <w:pStyle w:val="Compact"/>
              <w:jc w:val="right"/>
            </w:pPr>
            <w:r>
              <w:t xml:space="preserve">27.2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-0.12*</w:t>
            </w:r>
          </w:p>
        </w:tc>
        <w:tc>
          <w:tcPr/>
          <w:p>
            <w:pPr>
              <w:pStyle w:val="Compact"/>
              <w:jc w:val="right"/>
            </w:pPr>
            <w:r>
              <w:t xml:space="preserve">33.0</w:t>
            </w:r>
          </w:p>
        </w:tc>
        <w:tc>
          <w:tcPr/>
          <w:p>
            <w:pPr>
              <w:pStyle w:val="Compact"/>
              <w:jc w:val="right"/>
            </w:pPr>
            <w:r>
              <w:t xml:space="preserve">30.9</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32.5</w:t>
            </w:r>
          </w:p>
        </w:tc>
        <w:tc>
          <w:tcPr/>
          <w:p>
            <w:pPr>
              <w:pStyle w:val="Compact"/>
              <w:jc w:val="right"/>
            </w:pPr>
            <w:r>
              <w:t xml:space="preserve">31.5</w:t>
            </w:r>
          </w:p>
        </w:tc>
        <w:tc>
          <w:tcPr/>
          <w:p>
            <w:pPr>
              <w:pStyle w:val="Compact"/>
              <w:jc w:val="right"/>
            </w:pPr>
            <w:r>
              <w:t xml:space="preserve">-1.0</w:t>
            </w:r>
          </w:p>
        </w:tc>
      </w:tr>
    </w:tbl>
    <w:bookmarkEnd w:id="70"/>
    <w:p>
      <w:r>
        <w:br w:type="page"/>
      </w:r>
    </w:p>
    <w:bookmarkStart w:id="71" w:name="tbl-mixdaytab"/>
    <w:p>
      <w:pPr>
        <w:pStyle w:val="Tabl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tblCaption w:val="Table 3: Summary of mixed-effects models evaluating increases in the number of days each year from 1975 to 2022 when temperature was above 30 ^\circ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
      </w:tblPr>
      <w:tblGrid>
        <w:gridCol w:w="1584"/>
        <w:gridCol w:w="1584"/>
        <w:gridCol w:w="1584"/>
        <w:gridCol w:w="1584"/>
        <w:gridCol w:w="1584"/>
      </w:tblGrid>
      <w:tr>
        <w:trPr>
          <w:tblHeader w:val="true"/>
        </w:trPr>
        <w:tc>
          <w:tcPr/>
          <w:p>
            <w:pPr>
              <w:pStyle w:val="Compact"/>
              <w:jc w:val="left"/>
            </w:pPr>
            <w:r>
              <w:t xml:space="preserve">Bay Segment</w:t>
            </w:r>
          </w:p>
        </w:tc>
        <w:tc>
          <w:tcPr/>
          <w:p>
            <w:pPr>
              <w:pStyle w:val="Compact"/>
              <w:jc w:val="left"/>
            </w:pPr>
            <w:r>
              <w:t xml:space="preserve">Threshold</w:t>
            </w:r>
          </w:p>
        </w:tc>
        <w:tc>
          <w:tcPr/>
          <w:p>
            <w:pPr>
              <w:pStyle w:val="Compact"/>
              <w:jc w:val="left"/>
            </w:pPr>
            <w:r>
              <w:t xml:space="preserve">Slope</w:t>
            </w:r>
          </w:p>
        </w:tc>
        <w:tc>
          <w:tcPr/>
          <w:p>
            <w:pPr>
              <w:pStyle w:val="Compact"/>
              <w:jc w:val="left"/>
            </w:pPr>
            <w:r>
              <w:t xml:space="preserve">Start</w:t>
            </w:r>
          </w:p>
        </w:tc>
        <w:tc>
          <w:tcPr/>
          <w:p>
            <w:pPr>
              <w:pStyle w:val="Compact"/>
              <w:jc w:val="left"/>
            </w:pPr>
            <w:r>
              <w:t xml:space="preserve">End</w:t>
            </w:r>
          </w:p>
        </w:tc>
      </w:tr>
      <w:tr>
        <w:tc>
          <w:tcPr/>
          <w:p>
            <w:pPr>
              <w:pStyle w:val="Compact"/>
              <w:jc w:val="left"/>
            </w:pPr>
            <w:r>
              <w:t xml:space="preserve">OTB</w:t>
            </w:r>
          </w:p>
        </w:tc>
        <w:tc>
          <w:tcPr/>
          <w:p>
            <w:pPr>
              <w:pStyle w:val="Compact"/>
              <w:jc w:val="left"/>
            </w:pPr>
            <w:r>
              <w:t xml:space="preserve">Temperature &gt; 30</w:t>
            </w:r>
          </w:p>
        </w:tc>
        <w:tc>
          <w:tcPr/>
          <w:p>
            <w:pPr>
              <w:pStyle w:val="Compact"/>
              <w:jc w:val="left"/>
            </w:pPr>
            <w:r>
              <w:t xml:space="preserve">1.04**</w:t>
            </w:r>
          </w:p>
        </w:tc>
        <w:tc>
          <w:tcPr/>
          <w:p>
            <w:pPr>
              <w:pStyle w:val="Compact"/>
              <w:jc w:val="left"/>
            </w:pPr>
            <w:r>
              <w:t xml:space="preserve">8 (3.3)</w:t>
            </w:r>
          </w:p>
        </w:tc>
        <w:tc>
          <w:tcPr/>
          <w:p>
            <w:pPr>
              <w:pStyle w:val="Compact"/>
              <w:jc w:val="left"/>
            </w:pPr>
            <w:r>
              <w:t xml:space="preserve">56 (3.3)</w:t>
            </w:r>
          </w:p>
        </w:tc>
      </w:tr>
      <w:tr>
        <w:tc>
          <w:tcPr/>
          <w:p>
            <w:pPr>
              <w:pStyle w:val="Compact"/>
            </w:pPr>
          </w:p>
        </w:tc>
        <w:tc>
          <w:tcPr/>
          <w:p>
            <w:pPr>
              <w:pStyle w:val="Compact"/>
              <w:jc w:val="left"/>
            </w:pPr>
            <w:r>
              <w:t xml:space="preserve">Salinity &lt; 25</w:t>
            </w:r>
          </w:p>
        </w:tc>
        <w:tc>
          <w:tcPr/>
          <w:p>
            <w:pPr>
              <w:pStyle w:val="Compact"/>
              <w:jc w:val="left"/>
            </w:pPr>
            <w:r>
              <w:t xml:space="preserve">1.96**</w:t>
            </w:r>
          </w:p>
        </w:tc>
        <w:tc>
          <w:tcPr/>
          <w:p>
            <w:pPr>
              <w:pStyle w:val="Compact"/>
              <w:jc w:val="left"/>
            </w:pPr>
            <w:r>
              <w:t xml:space="preserve">128 (13.2)</w:t>
            </w:r>
          </w:p>
        </w:tc>
        <w:tc>
          <w:tcPr/>
          <w:p>
            <w:pPr>
              <w:pStyle w:val="Compact"/>
              <w:jc w:val="left"/>
            </w:pPr>
            <w:r>
              <w:t xml:space="preserve">219 (13.2)</w:t>
            </w:r>
          </w:p>
        </w:tc>
      </w:tr>
      <w:tr>
        <w:tc>
          <w:tcPr/>
          <w:p>
            <w:pPr>
              <w:pStyle w:val="Compact"/>
            </w:pPr>
          </w:p>
        </w:tc>
        <w:tc>
          <w:tcPr/>
          <w:p>
            <w:pPr>
              <w:pStyle w:val="Compact"/>
              <w:jc w:val="left"/>
            </w:pPr>
            <w:r>
              <w:t xml:space="preserve">Both</w:t>
            </w:r>
          </w:p>
        </w:tc>
        <w:tc>
          <w:tcPr/>
          <w:p>
            <w:pPr>
              <w:pStyle w:val="Compact"/>
              <w:jc w:val="left"/>
            </w:pPr>
            <w:r>
              <w:t xml:space="preserve">0.81**</w:t>
            </w:r>
          </w:p>
        </w:tc>
        <w:tc>
          <w:tcPr/>
          <w:p>
            <w:pPr>
              <w:pStyle w:val="Compact"/>
              <w:jc w:val="left"/>
            </w:pPr>
            <w:r>
              <w:t xml:space="preserve">0 (2.8)</w:t>
            </w:r>
          </w:p>
        </w:tc>
        <w:tc>
          <w:tcPr/>
          <w:p>
            <w:pPr>
              <w:pStyle w:val="Compact"/>
              <w:jc w:val="left"/>
            </w:pPr>
            <w:r>
              <w:t xml:space="preserve">37 (2.7)</w:t>
            </w:r>
          </w:p>
        </w:tc>
      </w:tr>
      <w:tr>
        <w:tc>
          <w:tcPr/>
          <w:p>
            <w:pPr>
              <w:pStyle w:val="Compact"/>
              <w:jc w:val="left"/>
            </w:pPr>
            <w:r>
              <w:t xml:space="preserve">HB</w:t>
            </w:r>
          </w:p>
        </w:tc>
        <w:tc>
          <w:tcPr/>
          <w:p>
            <w:pPr>
              <w:pStyle w:val="Compact"/>
              <w:jc w:val="left"/>
            </w:pPr>
            <w:r>
              <w:t xml:space="preserve">Temperature &gt; 30</w:t>
            </w:r>
          </w:p>
        </w:tc>
        <w:tc>
          <w:tcPr/>
          <w:p>
            <w:pPr>
              <w:pStyle w:val="Compact"/>
              <w:jc w:val="left"/>
            </w:pPr>
            <w:r>
              <w:t xml:space="preserve">1.01**</w:t>
            </w:r>
          </w:p>
        </w:tc>
        <w:tc>
          <w:tcPr/>
          <w:p>
            <w:pPr>
              <w:pStyle w:val="Compact"/>
              <w:jc w:val="left"/>
            </w:pPr>
            <w:r>
              <w:t xml:space="preserve">8 (4.9)</w:t>
            </w:r>
          </w:p>
        </w:tc>
        <w:tc>
          <w:tcPr/>
          <w:p>
            <w:pPr>
              <w:pStyle w:val="Compact"/>
              <w:jc w:val="left"/>
            </w:pPr>
            <w:r>
              <w:t xml:space="preserve">55 (4.8)</w:t>
            </w:r>
          </w:p>
        </w:tc>
      </w:tr>
      <w:tr>
        <w:tc>
          <w:tcPr/>
          <w:p>
            <w:pPr>
              <w:pStyle w:val="Compact"/>
            </w:pPr>
          </w:p>
        </w:tc>
        <w:tc>
          <w:tcPr/>
          <w:p>
            <w:pPr>
              <w:pStyle w:val="Compact"/>
              <w:jc w:val="left"/>
            </w:pPr>
            <w:r>
              <w:t xml:space="preserve">Salinity &lt; 25</w:t>
            </w:r>
          </w:p>
        </w:tc>
        <w:tc>
          <w:tcPr/>
          <w:p>
            <w:pPr>
              <w:pStyle w:val="Compact"/>
              <w:jc w:val="left"/>
            </w:pPr>
            <w:r>
              <w:t xml:space="preserve">0.86*</w:t>
            </w:r>
          </w:p>
        </w:tc>
        <w:tc>
          <w:tcPr/>
          <w:p>
            <w:pPr>
              <w:pStyle w:val="Compact"/>
              <w:jc w:val="left"/>
            </w:pPr>
            <w:r>
              <w:t xml:space="preserve">131 (12.5)</w:t>
            </w:r>
          </w:p>
        </w:tc>
        <w:tc>
          <w:tcPr/>
          <w:p>
            <w:pPr>
              <w:pStyle w:val="Compact"/>
              <w:jc w:val="left"/>
            </w:pPr>
            <w:r>
              <w:t xml:space="preserve">171 (11.8)</w:t>
            </w:r>
          </w:p>
        </w:tc>
      </w:tr>
      <w:tr>
        <w:tc>
          <w:tcPr/>
          <w:p>
            <w:pPr>
              <w:pStyle w:val="Compact"/>
            </w:pPr>
          </w:p>
        </w:tc>
        <w:tc>
          <w:tcPr/>
          <w:p>
            <w:pPr>
              <w:pStyle w:val="Compact"/>
              <w:jc w:val="left"/>
            </w:pPr>
            <w:r>
              <w:t xml:space="preserve">Both</w:t>
            </w:r>
          </w:p>
        </w:tc>
        <w:tc>
          <w:tcPr/>
          <w:p>
            <w:pPr>
              <w:pStyle w:val="Compact"/>
              <w:jc w:val="left"/>
            </w:pPr>
            <w:r>
              <w:t xml:space="preserve">0.8**</w:t>
            </w:r>
          </w:p>
        </w:tc>
        <w:tc>
          <w:tcPr/>
          <w:p>
            <w:pPr>
              <w:pStyle w:val="Compact"/>
              <w:jc w:val="left"/>
            </w:pPr>
            <w:r>
              <w:t xml:space="preserve">-2 (2.8)</w:t>
            </w:r>
          </w:p>
        </w:tc>
        <w:tc>
          <w:tcPr/>
          <w:p>
            <w:pPr>
              <w:pStyle w:val="Compact"/>
              <w:jc w:val="left"/>
            </w:pPr>
            <w:r>
              <w:t xml:space="preserve">35 (2.7)</w:t>
            </w:r>
          </w:p>
        </w:tc>
      </w:tr>
      <w:tr>
        <w:tc>
          <w:tcPr/>
          <w:p>
            <w:pPr>
              <w:pStyle w:val="Compact"/>
              <w:jc w:val="left"/>
            </w:pPr>
            <w:r>
              <w:t xml:space="preserve">MTB</w:t>
            </w:r>
          </w:p>
        </w:tc>
        <w:tc>
          <w:tcPr/>
          <w:p>
            <w:pPr>
              <w:pStyle w:val="Compact"/>
              <w:jc w:val="left"/>
            </w:pPr>
            <w:r>
              <w:t xml:space="preserve">Temperature &gt; 30</w:t>
            </w:r>
          </w:p>
        </w:tc>
        <w:tc>
          <w:tcPr/>
          <w:p>
            <w:pPr>
              <w:pStyle w:val="Compact"/>
              <w:jc w:val="left"/>
            </w:pPr>
            <w:r>
              <w:t xml:space="preserve">1.06**</w:t>
            </w:r>
          </w:p>
        </w:tc>
        <w:tc>
          <w:tcPr/>
          <w:p>
            <w:pPr>
              <w:pStyle w:val="Compact"/>
              <w:jc w:val="left"/>
            </w:pPr>
            <w:r>
              <w:t xml:space="preserve">9 (3.1)</w:t>
            </w:r>
          </w:p>
        </w:tc>
        <w:tc>
          <w:tcPr/>
          <w:p>
            <w:pPr>
              <w:pStyle w:val="Compact"/>
              <w:jc w:val="left"/>
            </w:pPr>
            <w:r>
              <w:t xml:space="preserve">57 (3.1)</w:t>
            </w:r>
          </w:p>
        </w:tc>
      </w:tr>
      <w:tr>
        <w:tc>
          <w:tcPr/>
          <w:p>
            <w:pPr>
              <w:pStyle w:val="Compact"/>
            </w:pPr>
          </w:p>
        </w:tc>
        <w:tc>
          <w:tcPr/>
          <w:p>
            <w:pPr>
              <w:pStyle w:val="Compact"/>
              <w:jc w:val="left"/>
            </w:pPr>
            <w:r>
              <w:t xml:space="preserve">Salinity &lt; 25</w:t>
            </w:r>
          </w:p>
        </w:tc>
        <w:tc>
          <w:tcPr/>
          <w:p>
            <w:pPr>
              <w:pStyle w:val="Compact"/>
              <w:jc w:val="left"/>
            </w:pPr>
            <w:r>
              <w:t xml:space="preserve">0.67**</w:t>
            </w:r>
          </w:p>
        </w:tc>
        <w:tc>
          <w:tcPr/>
          <w:p>
            <w:pPr>
              <w:pStyle w:val="Compact"/>
              <w:jc w:val="left"/>
            </w:pPr>
            <w:r>
              <w:t xml:space="preserve">51 (11)</w:t>
            </w:r>
          </w:p>
        </w:tc>
        <w:tc>
          <w:tcPr/>
          <w:p>
            <w:pPr>
              <w:pStyle w:val="Compact"/>
              <w:jc w:val="left"/>
            </w:pPr>
            <w:r>
              <w:t xml:space="preserve">82 (11)</w:t>
            </w:r>
          </w:p>
        </w:tc>
      </w:tr>
      <w:tr>
        <w:tc>
          <w:tcPr/>
          <w:p>
            <w:pPr>
              <w:pStyle w:val="Compact"/>
            </w:pPr>
          </w:p>
        </w:tc>
        <w:tc>
          <w:tcPr/>
          <w:p>
            <w:pPr>
              <w:pStyle w:val="Compact"/>
              <w:jc w:val="left"/>
            </w:pPr>
            <w:r>
              <w:t xml:space="preserve">Both</w:t>
            </w:r>
          </w:p>
        </w:tc>
        <w:tc>
          <w:tcPr/>
          <w:p>
            <w:pPr>
              <w:pStyle w:val="Compact"/>
              <w:jc w:val="left"/>
            </w:pPr>
            <w:r>
              <w:t xml:space="preserve">0.37**</w:t>
            </w:r>
          </w:p>
        </w:tc>
        <w:tc>
          <w:tcPr/>
          <w:p>
            <w:pPr>
              <w:pStyle w:val="Compact"/>
              <w:jc w:val="left"/>
            </w:pPr>
            <w:r>
              <w:t xml:space="preserve">-1 (1.7)</w:t>
            </w:r>
          </w:p>
        </w:tc>
        <w:tc>
          <w:tcPr/>
          <w:p>
            <w:pPr>
              <w:pStyle w:val="Compact"/>
              <w:jc w:val="left"/>
            </w:pPr>
            <w:r>
              <w:t xml:space="preserve">16 (1.7)</w:t>
            </w:r>
          </w:p>
        </w:tc>
      </w:tr>
      <w:tr>
        <w:tc>
          <w:tcPr/>
          <w:p>
            <w:pPr>
              <w:pStyle w:val="Compact"/>
              <w:jc w:val="left"/>
            </w:pPr>
            <w:r>
              <w:t xml:space="preserve">LTB</w:t>
            </w:r>
          </w:p>
        </w:tc>
        <w:tc>
          <w:tcPr/>
          <w:p>
            <w:pPr>
              <w:pStyle w:val="Compact"/>
              <w:jc w:val="left"/>
            </w:pPr>
            <w:r>
              <w:t xml:space="preserve">Temperature &gt; 30</w:t>
            </w:r>
          </w:p>
        </w:tc>
        <w:tc>
          <w:tcPr/>
          <w:p>
            <w:pPr>
              <w:pStyle w:val="Compact"/>
              <w:jc w:val="left"/>
            </w:pPr>
            <w:r>
              <w:t xml:space="preserve">0.92**</w:t>
            </w:r>
          </w:p>
        </w:tc>
        <w:tc>
          <w:tcPr/>
          <w:p>
            <w:pPr>
              <w:pStyle w:val="Compact"/>
              <w:jc w:val="left"/>
            </w:pPr>
            <w:r>
              <w:t xml:space="preserve">21 (3.5)</w:t>
            </w:r>
          </w:p>
        </w:tc>
        <w:tc>
          <w:tcPr/>
          <w:p>
            <w:pPr>
              <w:pStyle w:val="Compact"/>
              <w:jc w:val="left"/>
            </w:pPr>
            <w:r>
              <w:t xml:space="preserve">63 (3.5)</w:t>
            </w:r>
          </w:p>
        </w:tc>
      </w:tr>
      <w:tr>
        <w:tc>
          <w:tcPr/>
          <w:p>
            <w:pPr>
              <w:pStyle w:val="Compact"/>
            </w:pPr>
          </w:p>
        </w:tc>
        <w:tc>
          <w:tcPr/>
          <w:p>
            <w:pPr>
              <w:pStyle w:val="Compact"/>
              <w:jc w:val="left"/>
            </w:pPr>
            <w:r>
              <w:t xml:space="preserve">Salinity &lt; 25</w:t>
            </w:r>
          </w:p>
        </w:tc>
        <w:tc>
          <w:tcPr/>
          <w:p>
            <w:pPr>
              <w:pStyle w:val="Compact"/>
              <w:jc w:val="left"/>
            </w:pPr>
            <w:r>
              <w:t xml:space="preserve">-0.06</w:t>
            </w:r>
          </w:p>
        </w:tc>
        <w:tc>
          <w:tcPr/>
          <w:p>
            <w:pPr>
              <w:pStyle w:val="Compact"/>
              <w:jc w:val="left"/>
            </w:pPr>
            <w:r>
              <w:t xml:space="preserve">4 (1.3)</w:t>
            </w:r>
          </w:p>
        </w:tc>
        <w:tc>
          <w:tcPr/>
          <w:p>
            <w:pPr>
              <w:pStyle w:val="Compact"/>
              <w:jc w:val="left"/>
            </w:pPr>
            <w:r>
              <w:t xml:space="preserve">1 (1.3)</w:t>
            </w:r>
          </w:p>
        </w:tc>
      </w:tr>
      <w:tr>
        <w:tc>
          <w:tcPr/>
          <w:p>
            <w:pPr>
              <w:pStyle w:val="Compact"/>
            </w:pPr>
          </w:p>
        </w:tc>
        <w:tc>
          <w:tcPr/>
          <w:p>
            <w:pPr>
              <w:pStyle w:val="Compact"/>
              <w:jc w:val="left"/>
            </w:pPr>
            <w:r>
              <w:t xml:space="preserve">Both</w:t>
            </w:r>
          </w:p>
        </w:tc>
        <w:tc>
          <w:tcPr/>
          <w:p>
            <w:pPr>
              <w:pStyle w:val="Compact"/>
              <w:jc w:val="left"/>
            </w:pPr>
            <w:r>
              <w:t xml:space="preserve">0</w:t>
            </w:r>
          </w:p>
        </w:tc>
        <w:tc>
          <w:tcPr/>
          <w:p>
            <w:pPr>
              <w:pStyle w:val="Compact"/>
              <w:jc w:val="left"/>
            </w:pPr>
            <w:r>
              <w:t xml:space="preserve">0 (0)</w:t>
            </w:r>
          </w:p>
        </w:tc>
        <w:tc>
          <w:tcPr/>
          <w:p>
            <w:pPr>
              <w:pStyle w:val="Compact"/>
              <w:jc w:val="left"/>
            </w:pPr>
            <w:r>
              <w:t xml:space="preserve">0 (0)</w:t>
            </w:r>
          </w:p>
        </w:tc>
      </w:tr>
    </w:tbl>
    <w:bookmarkEnd w:id="71"/>
    <w:p>
      <w:r>
        <w:br w:type="page"/>
      </w:r>
    </w:p>
    <w:bookmarkStart w:id="72" w:name="tbl-modtab"/>
    <w:p>
      <w:pPr>
        <w:pStyle w:val="Tabl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tblCaption w:val="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 “Temp” and “Sal” terms for the EPC models describe metrics that measure the number of days when temperature was above or salinity was below a threshold value, whereas the terms in all other models describe observed temperature or salinity (see text for description). ** p &lt; 0.005, * p &lt; 0.05, ^. p &lt; 0.1. EPC: Environmental Protection Commission, FIM: Fisheries Independent Monitoring, PDEM: Pinellas County Department of Environmental Management. OTB: Old Tampa Bay, HB: Hillsborough Bay, MTB: Middle Tampa Bay."/>
      </w:tblPr>
      <w:tblGrid>
        <w:gridCol w:w="1980"/>
        <w:gridCol w:w="1980"/>
        <w:gridCol w:w="1980"/>
        <w:gridCol w:w="1980"/>
      </w:tblGrid>
      <w:tr>
        <w:trPr>
          <w:tblHeader w:val="true"/>
        </w:trPr>
        <w:tc>
          <w:tcPr/>
          <w:p>
            <w:pPr>
              <w:pStyle w:val="Compact"/>
              <w:jc w:val="left"/>
            </w:pPr>
            <w:r>
              <w:t xml:space="preserve">Model</w:t>
            </w:r>
          </w:p>
        </w:tc>
        <w:tc>
          <w:tcPr/>
          <w:p>
            <w:pPr>
              <w:pStyle w:val="Compact"/>
              <w:jc w:val="left"/>
            </w:pPr>
            <w:r>
              <w:t xml:space="preserve">Term</w:t>
            </w:r>
          </w:p>
        </w:tc>
        <w:tc>
          <w:tcPr/>
          <w:p>
            <w:pPr>
              <w:pStyle w:val="Compact"/>
              <w:jc w:val="left"/>
            </w:pPr>
            <w:r>
              <w:t xml:space="preserve">Estimate</w:t>
            </w:r>
          </w:p>
        </w:tc>
        <w:tc>
          <w:tcPr/>
          <w:p>
            <w:pPr>
              <w:pStyle w:val="Compact"/>
              <w:jc w:val="left"/>
            </w:pPr>
            <w:r>
              <w:t xml:space="preserve">t-statistic</w:t>
            </w:r>
          </w:p>
        </w:tc>
      </w:tr>
      <w:tr>
        <w:tc>
          <w:tcPr/>
          <w:p>
            <w:pPr>
              <w:pStyle w:val="Compact"/>
              <w:jc w:val="left"/>
            </w:pPr>
            <w:r>
              <w:t xml:space="preserve">EPC 1</w:t>
            </w:r>
          </w:p>
        </w:tc>
        <w:tc>
          <w:tcPr/>
          <w:p>
            <w:pPr>
              <w:pStyle w:val="Compact"/>
              <w:jc w:val="left"/>
            </w:pPr>
            <w:r>
              <w:t xml:space="preserve">Sal</w:t>
            </w:r>
          </w:p>
        </w:tc>
        <w:tc>
          <w:tcPr/>
          <w:p>
            <w:pPr>
              <w:pStyle w:val="Compact"/>
              <w:jc w:val="left"/>
            </w:pPr>
            <w:r>
              <w:t xml:space="preserve">0.00069 (0.00037)</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w:t>
            </w:r>
          </w:p>
        </w:tc>
        <w:tc>
          <w:tcPr/>
          <w:p>
            <w:pPr>
              <w:pStyle w:val="Compact"/>
              <w:jc w:val="left"/>
            </w:pPr>
            <w:r>
              <w:t xml:space="preserve">0.0035 (0.0013)</w:t>
            </w:r>
          </w:p>
        </w:tc>
        <w:tc>
          <w:tcPr/>
          <w:p>
            <w:pPr>
              <w:pStyle w:val="Compact"/>
              <w:jc w:val="left"/>
            </w:pPr>
            <w:r>
              <w:t xml:space="preserve">2.6*</w:t>
            </w:r>
          </w:p>
        </w:tc>
      </w:tr>
      <w:tr>
        <w:tc>
          <w:tcPr/>
          <w:p>
            <w:pPr>
              <w:pStyle w:val="Compact"/>
            </w:pPr>
          </w:p>
        </w:tc>
        <w:tc>
          <w:tcPr/>
          <w:p>
            <w:pPr>
              <w:pStyle w:val="Compact"/>
              <w:jc w:val="left"/>
            </w:pPr>
            <w:r>
              <w:t xml:space="preserve">Time_post</w:t>
            </w:r>
          </w:p>
        </w:tc>
        <w:tc>
          <w:tcPr/>
          <w:p>
            <w:pPr>
              <w:pStyle w:val="Compact"/>
              <w:jc w:val="left"/>
            </w:pPr>
            <w:r>
              <w:t xml:space="preserve">0.48 (0.28)</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Baysegment_HB</w:t>
            </w:r>
          </w:p>
        </w:tc>
        <w:tc>
          <w:tcPr/>
          <w:p>
            <w:pPr>
              <w:pStyle w:val="Compact"/>
              <w:jc w:val="left"/>
            </w:pPr>
            <w:r>
              <w:t xml:space="preserve">-0.39 (0.042)</w:t>
            </w:r>
          </w:p>
        </w:tc>
        <w:tc>
          <w:tcPr/>
          <w:p>
            <w:pPr>
              <w:pStyle w:val="Compact"/>
              <w:jc w:val="left"/>
            </w:pPr>
            <w:r>
              <w:t xml:space="preserve">-9.3**</w:t>
            </w:r>
          </w:p>
        </w:tc>
      </w:tr>
      <w:tr>
        <w:tc>
          <w:tcPr/>
          <w:p>
            <w:pPr>
              <w:pStyle w:val="Compact"/>
            </w:pPr>
          </w:p>
        </w:tc>
        <w:tc>
          <w:tcPr/>
          <w:p>
            <w:pPr>
              <w:pStyle w:val="Compact"/>
              <w:jc w:val="left"/>
            </w:pPr>
            <w:r>
              <w:t xml:space="preserve">Baysegment_MTB</w:t>
            </w:r>
          </w:p>
        </w:tc>
        <w:tc>
          <w:tcPr/>
          <w:p>
            <w:pPr>
              <w:pStyle w:val="Compact"/>
              <w:jc w:val="left"/>
            </w:pPr>
            <w:r>
              <w:t xml:space="preserve">-0.12 (0.047)</w:t>
            </w:r>
          </w:p>
        </w:tc>
        <w:tc>
          <w:tcPr/>
          <w:p>
            <w:pPr>
              <w:pStyle w:val="Compact"/>
              <w:jc w:val="left"/>
            </w:pPr>
            <w:r>
              <w:t xml:space="preserve">-2.6*</w:t>
            </w:r>
          </w:p>
        </w:tc>
      </w:tr>
      <w:tr>
        <w:tc>
          <w:tcPr/>
          <w:p>
            <w:pPr>
              <w:pStyle w:val="Compact"/>
            </w:pPr>
          </w:p>
        </w:tc>
        <w:tc>
          <w:tcPr/>
          <w:p>
            <w:pPr>
              <w:pStyle w:val="Compact"/>
              <w:jc w:val="left"/>
            </w:pPr>
            <w:r>
              <w:t xml:space="preserve">Sal:Temp</w:t>
            </w:r>
          </w:p>
        </w:tc>
        <w:tc>
          <w:tcPr/>
          <w:p>
            <w:pPr>
              <w:pStyle w:val="Compact"/>
              <w:jc w:val="left"/>
            </w:pPr>
            <w:r>
              <w:t xml:space="preserve">-1.3e-05 (7.5e-06)</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Sal:Time_post</w:t>
            </w:r>
          </w:p>
        </w:tc>
        <w:tc>
          <w:tcPr/>
          <w:p>
            <w:pPr>
              <w:pStyle w:val="Compact"/>
              <w:jc w:val="left"/>
            </w:pPr>
            <w:r>
              <w:t xml:space="preserve">-0.0027 (0.0015)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-0.0056 (0.0052)</w:t>
            </w:r>
          </w:p>
        </w:tc>
        <w:tc>
          <w:tcPr/>
          <w:p>
            <w:pPr>
              <w:pStyle w:val="Compact"/>
              <w:jc w:val="left"/>
            </w:pPr>
            <w:r>
              <w:t xml:space="preserve">-1.1</w:t>
            </w:r>
          </w:p>
        </w:tc>
      </w:tr>
      <w:tr>
        <w:tc>
          <w:tcPr/>
          <w:p>
            <w:pPr>
              <w:pStyle w:val="Compact"/>
            </w:pPr>
          </w:p>
        </w:tc>
        <w:tc>
          <w:tcPr/>
          <w:p>
            <w:pPr>
              <w:pStyle w:val="Compact"/>
              <w:jc w:val="left"/>
            </w:pPr>
            <w:r>
              <w:t xml:space="preserve">Sal:Temp:Time_post</w:t>
            </w:r>
          </w:p>
        </w:tc>
        <w:tc>
          <w:tcPr/>
          <w:p>
            <w:pPr>
              <w:pStyle w:val="Compact"/>
              <w:jc w:val="left"/>
            </w:pPr>
            <w:r>
              <w:t xml:space="preserve">3.6e-05 (2.6e-05)</w:t>
            </w:r>
          </w:p>
        </w:tc>
        <w:tc>
          <w:tcPr/>
          <w:p>
            <w:pPr>
              <w:pStyle w:val="Compact"/>
              <w:jc w:val="left"/>
            </w:pPr>
            <w:r>
              <w:t xml:space="preserve">1.4</w:t>
            </w:r>
          </w:p>
        </w:tc>
      </w:tr>
      <w:tr>
        <w:tc>
          <w:tcPr/>
          <w:p>
            <w:pPr>
              <w:pStyle w:val="Compact"/>
              <w:jc w:val="left"/>
            </w:pPr>
            <w:r>
              <w:t xml:space="preserve">EPC 2</w:t>
            </w:r>
          </w:p>
        </w:tc>
        <w:tc>
          <w:tcPr/>
          <w:p>
            <w:pPr>
              <w:pStyle w:val="Compact"/>
              <w:jc w:val="left"/>
            </w:pPr>
            <w:r>
              <w:t xml:space="preserve">Both</w:t>
            </w:r>
          </w:p>
        </w:tc>
        <w:tc>
          <w:tcPr/>
          <w:p>
            <w:pPr>
              <w:pStyle w:val="Compact"/>
              <w:jc w:val="left"/>
            </w:pPr>
            <w:r>
              <w:t xml:space="preserve">0.0028 (0.00082)</w:t>
            </w:r>
          </w:p>
        </w:tc>
        <w:tc>
          <w:tcPr/>
          <w:p>
            <w:pPr>
              <w:pStyle w:val="Compact"/>
              <w:jc w:val="left"/>
            </w:pPr>
            <w:r>
              <w:t xml:space="preserve">3.4**</w:t>
            </w:r>
          </w:p>
        </w:tc>
      </w:tr>
      <w:tr>
        <w:tc>
          <w:tcPr/>
          <w:p>
            <w:pPr>
              <w:pStyle w:val="Compact"/>
            </w:pPr>
          </w:p>
        </w:tc>
        <w:tc>
          <w:tcPr/>
          <w:p>
            <w:pPr>
              <w:pStyle w:val="Compact"/>
              <w:jc w:val="left"/>
            </w:pPr>
            <w:r>
              <w:t xml:space="preserve">Time_post</w:t>
            </w:r>
          </w:p>
        </w:tc>
        <w:tc>
          <w:tcPr/>
          <w:p>
            <w:pPr>
              <w:pStyle w:val="Compact"/>
              <w:jc w:val="left"/>
            </w:pPr>
            <w:r>
              <w:t xml:space="preserve">0.059 (0.039)</w:t>
            </w:r>
          </w:p>
        </w:tc>
        <w:tc>
          <w:tcPr/>
          <w:p>
            <w:pPr>
              <w:pStyle w:val="Compact"/>
              <w:jc w:val="left"/>
            </w:pPr>
            <w:r>
              <w:t xml:space="preserve">1.5</w:t>
            </w:r>
          </w:p>
        </w:tc>
      </w:tr>
      <w:tr>
        <w:tc>
          <w:tcPr/>
          <w:p>
            <w:pPr>
              <w:pStyle w:val="Compact"/>
            </w:pPr>
          </w:p>
        </w:tc>
        <w:tc>
          <w:tcPr/>
          <w:p>
            <w:pPr>
              <w:pStyle w:val="Compact"/>
              <w:jc w:val="left"/>
            </w:pPr>
            <w:r>
              <w:t xml:space="preserve">Baysegment_HB</w:t>
            </w:r>
          </w:p>
        </w:tc>
        <w:tc>
          <w:tcPr/>
          <w:p>
            <w:pPr>
              <w:pStyle w:val="Compact"/>
              <w:jc w:val="left"/>
            </w:pPr>
            <w:r>
              <w:t xml:space="preserve">-0.38 (0.04)</w:t>
            </w:r>
          </w:p>
        </w:tc>
        <w:tc>
          <w:tcPr/>
          <w:p>
            <w:pPr>
              <w:pStyle w:val="Compact"/>
              <w:jc w:val="left"/>
            </w:pPr>
            <w:r>
              <w:t xml:space="preserve">-9.4**</w:t>
            </w:r>
          </w:p>
        </w:tc>
      </w:tr>
      <w:tr>
        <w:tc>
          <w:tcPr/>
          <w:p>
            <w:pPr>
              <w:pStyle w:val="Compact"/>
            </w:pPr>
          </w:p>
        </w:tc>
        <w:tc>
          <w:tcPr/>
          <w:p>
            <w:pPr>
              <w:pStyle w:val="Compact"/>
              <w:jc w:val="left"/>
            </w:pPr>
            <w:r>
              <w:t xml:space="preserve">Baysegment_MTB</w:t>
            </w:r>
          </w:p>
        </w:tc>
        <w:tc>
          <w:tcPr/>
          <w:p>
            <w:pPr>
              <w:pStyle w:val="Compact"/>
              <w:jc w:val="left"/>
            </w:pPr>
            <w:r>
              <w:t xml:space="preserve">-0.062 (0.042)</w:t>
            </w:r>
          </w:p>
        </w:tc>
        <w:tc>
          <w:tcPr/>
          <w:p>
            <w:pPr>
              <w:pStyle w:val="Compact"/>
              <w:jc w:val="left"/>
            </w:pPr>
            <w:r>
              <w:t xml:space="preserve">-1.5</w:t>
            </w:r>
          </w:p>
        </w:tc>
      </w:tr>
      <w:tr>
        <w:tc>
          <w:tcPr/>
          <w:p>
            <w:pPr>
              <w:pStyle w:val="Compact"/>
              <w:jc w:val="left"/>
            </w:pPr>
            <w:r>
              <w:t xml:space="preserve">FIM</w:t>
            </w:r>
          </w:p>
        </w:tc>
        <w:tc>
          <w:tcPr/>
          <w:p>
            <w:pPr>
              <w:pStyle w:val="Compact"/>
              <w:jc w:val="left"/>
            </w:pPr>
            <w:r>
              <w:t xml:space="preserve">Sal</w:t>
            </w:r>
          </w:p>
        </w:tc>
        <w:tc>
          <w:tcPr/>
          <w:p>
            <w:pPr>
              <w:pStyle w:val="Compact"/>
              <w:jc w:val="left"/>
            </w:pPr>
            <w:r>
              <w:t xml:space="preserve">0.043 (0.22)</w:t>
            </w:r>
          </w:p>
        </w:tc>
        <w:tc>
          <w:tcPr/>
          <w:p>
            <w:pPr>
              <w:pStyle w:val="Compact"/>
              <w:jc w:val="left"/>
            </w:pPr>
            <w:r>
              <w:t xml:space="preserve">0.2</w:t>
            </w:r>
          </w:p>
        </w:tc>
      </w:tr>
      <w:tr>
        <w:tc>
          <w:tcPr/>
          <w:p>
            <w:pPr>
              <w:pStyle w:val="Compact"/>
            </w:pPr>
          </w:p>
        </w:tc>
        <w:tc>
          <w:tcPr/>
          <w:p>
            <w:pPr>
              <w:pStyle w:val="Compact"/>
              <w:jc w:val="left"/>
            </w:pPr>
            <w:r>
              <w:t xml:space="preserve">Temp</w:t>
            </w:r>
          </w:p>
        </w:tc>
        <w:tc>
          <w:tcPr/>
          <w:p>
            <w:pPr>
              <w:pStyle w:val="Compact"/>
              <w:jc w:val="left"/>
            </w:pPr>
            <w:r>
              <w:t xml:space="preserve">0.052 (0.42)</w:t>
            </w:r>
          </w:p>
        </w:tc>
        <w:tc>
          <w:tcPr/>
          <w:p>
            <w:pPr>
              <w:pStyle w:val="Compact"/>
              <w:jc w:val="left"/>
            </w:pPr>
            <w:r>
              <w:t xml:space="preserve">0.12</w:t>
            </w:r>
          </w:p>
        </w:tc>
      </w:tr>
      <w:tr>
        <w:tc>
          <w:tcPr/>
          <w:p>
            <w:pPr>
              <w:pStyle w:val="Compact"/>
            </w:pPr>
          </w:p>
        </w:tc>
        <w:tc>
          <w:tcPr/>
          <w:p>
            <w:pPr>
              <w:pStyle w:val="Compact"/>
              <w:jc w:val="left"/>
            </w:pPr>
            <w:r>
              <w:t xml:space="preserve">Time_post</w:t>
            </w:r>
          </w:p>
        </w:tc>
        <w:tc>
          <w:tcPr/>
          <w:p>
            <w:pPr>
              <w:pStyle w:val="Compact"/>
              <w:jc w:val="left"/>
            </w:pPr>
            <w:r>
              <w:t xml:space="preserve">52 ( 32)</w:t>
            </w:r>
          </w:p>
        </w:tc>
        <w:tc>
          <w:tcPr/>
          <w:p>
            <w:pPr>
              <w:pStyle w:val="Compact"/>
              <w:jc w:val="left"/>
            </w:pPr>
            <w:r>
              <w:t xml:space="preserve">1.6</w:t>
            </w:r>
          </w:p>
        </w:tc>
      </w:tr>
      <w:tr>
        <w:tc>
          <w:tcPr/>
          <w:p>
            <w:pPr>
              <w:pStyle w:val="Compact"/>
            </w:pPr>
          </w:p>
        </w:tc>
        <w:tc>
          <w:tcPr/>
          <w:p>
            <w:pPr>
              <w:pStyle w:val="Compact"/>
              <w:jc w:val="left"/>
            </w:pPr>
            <w:r>
              <w:t xml:space="preserve">Baysegment_MTB</w:t>
            </w:r>
          </w:p>
        </w:tc>
        <w:tc>
          <w:tcPr/>
          <w:p>
            <w:pPr>
              <w:pStyle w:val="Compact"/>
              <w:jc w:val="left"/>
            </w:pPr>
            <w:r>
              <w:t xml:space="preserve">33 (2.5)</w:t>
            </w:r>
          </w:p>
        </w:tc>
        <w:tc>
          <w:tcPr/>
          <w:p>
            <w:pPr>
              <w:pStyle w:val="Compact"/>
              <w:jc w:val="left"/>
            </w:pPr>
            <w:r>
              <w:t xml:space="preserve">13**</w:t>
            </w:r>
          </w:p>
        </w:tc>
      </w:tr>
      <w:tr>
        <w:tc>
          <w:tcPr/>
          <w:p>
            <w:pPr>
              <w:pStyle w:val="Compact"/>
            </w:pPr>
          </w:p>
        </w:tc>
        <w:tc>
          <w:tcPr/>
          <w:p>
            <w:pPr>
              <w:pStyle w:val="Compact"/>
              <w:jc w:val="left"/>
            </w:pPr>
            <w:r>
              <w:t xml:space="preserve">Baysegment_OTB</w:t>
            </w:r>
          </w:p>
        </w:tc>
        <w:tc>
          <w:tcPr/>
          <w:p>
            <w:pPr>
              <w:pStyle w:val="Compact"/>
              <w:jc w:val="left"/>
            </w:pPr>
            <w:r>
              <w:t xml:space="preserve">28 (2.2)</w:t>
            </w:r>
          </w:p>
        </w:tc>
        <w:tc>
          <w:tcPr/>
          <w:p>
            <w:pPr>
              <w:pStyle w:val="Compact"/>
              <w:jc w:val="left"/>
            </w:pPr>
            <w:r>
              <w:t xml:space="preserve">13**</w:t>
            </w:r>
          </w:p>
        </w:tc>
      </w:tr>
      <w:tr>
        <w:tc>
          <w:tcPr/>
          <w:p>
            <w:pPr>
              <w:pStyle w:val="Compact"/>
            </w:pPr>
          </w:p>
        </w:tc>
        <w:tc>
          <w:tcPr/>
          <w:p>
            <w:pPr>
              <w:pStyle w:val="Compact"/>
              <w:jc w:val="left"/>
            </w:pPr>
            <w:r>
              <w:t xml:space="preserve">Sal:Time_post</w:t>
            </w:r>
          </w:p>
        </w:tc>
        <w:tc>
          <w:tcPr/>
          <w:p>
            <w:pPr>
              <w:pStyle w:val="Compact"/>
              <w:jc w:val="left"/>
            </w:pPr>
            <w:r>
              <w:t xml:space="preserve">0.93 (0.5)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-2.4 (1.1)</w:t>
            </w:r>
          </w:p>
        </w:tc>
        <w:tc>
          <w:tcPr/>
          <w:p>
            <w:pPr>
              <w:pStyle w:val="Compact"/>
              <w:jc w:val="left"/>
            </w:pPr>
            <w:r>
              <w:t xml:space="preserve">-2.2*</w:t>
            </w:r>
          </w:p>
        </w:tc>
      </w:tr>
      <w:tr>
        <w:tc>
          <w:tcPr/>
          <w:p>
            <w:pPr>
              <w:pStyle w:val="Compact"/>
              <w:jc w:val="left"/>
            </w:pPr>
            <w:r>
              <w:t xml:space="preserve">PDEM</w:t>
            </w:r>
          </w:p>
        </w:tc>
        <w:tc>
          <w:tcPr/>
          <w:p>
            <w:pPr>
              <w:pStyle w:val="Compact"/>
              <w:jc w:val="left"/>
            </w:pPr>
            <w:r>
              <w:t xml:space="preserve">Time_post</w:t>
            </w:r>
          </w:p>
        </w:tc>
        <w:tc>
          <w:tcPr/>
          <w:p>
            <w:pPr>
              <w:pStyle w:val="Compact"/>
              <w:jc w:val="left"/>
            </w:pPr>
            <w:r>
              <w:t xml:space="preserve">-0.45 (0.24)</w:t>
            </w:r>
          </w:p>
        </w:tc>
        <w:tc>
          <w:tcPr/>
          <w:p>
            <w:pPr>
              <w:pStyle w:val="Compact"/>
              <w:jc w:val="left"/>
            </w:pPr>
            <w:r>
              <w:t xml:space="preserve">-1.8</w:t>
            </w:r>
            <m:oMath>
              <m:sSup>
                <m:e>
                  <m:r>
                    <m:t>​</m:t>
                  </m:r>
                </m:e>
                <m:sup>
                  <m:r>
                    <m:rPr>
                      <m:sty m:val="p"/>
                    </m:rPr>
                    <m:t>.</m:t>
                  </m:r>
                </m:sup>
              </m:sSup>
            </m:oMath>
          </w:p>
        </w:tc>
      </w:tr>
    </w:tbl>
    <w:bookmarkEnd w:id="72"/>
    <w:p>
      <w:r>
        <w:br w:type="page"/>
      </w:r>
    </w:p>
    <w:bookmarkEnd w:id="73"/>
    <w:bookmarkStart w:id="201" w:name="references"/>
    <w:p>
      <w:pPr>
        <w:pStyle w:val="Heading2"/>
      </w:pPr>
      <w:r>
        <w:t xml:space="preserve">References</w:t>
      </w:r>
    </w:p>
    <w:bookmarkStart w:id="200" w:name="refs"/>
    <w:bookmarkStart w:id="75"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4">
        <w:r>
          <w:rPr>
            <w:rStyle w:val="Hyperlink"/>
          </w:rPr>
          <w:t xml:space="preserve">https://doi.org/10.1016/j.ocecoaman.2023.106929</w:t>
        </w:r>
      </w:hyperlink>
      <w:r>
        <w:t xml:space="preserve">.</w:t>
      </w:r>
    </w:p>
    <w:bookmarkEnd w:id="75"/>
    <w:bookmarkStart w:id="77"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6">
        <w:r>
          <w:rPr>
            <w:rStyle w:val="Hyperlink"/>
          </w:rPr>
          <w:t xml:space="preserve">https://doi.org/10.18637/jss.v067.i01</w:t>
        </w:r>
      </w:hyperlink>
      <w:r>
        <w:t xml:space="preserve">.</w:t>
      </w:r>
    </w:p>
    <w:bookmarkEnd w:id="77"/>
    <w:bookmarkStart w:id="79" w:name="ref-Beck20a"/>
    <w:p>
      <w:pPr>
        <w:pStyle w:val="Bibliography"/>
      </w:pPr>
      <w:r>
        <w:t xml:space="preserve">Beck, M. W. 2020a.</w:t>
      </w:r>
      <w:r>
        <w:t xml:space="preserve"> </w:t>
      </w:r>
      <w:r>
        <w:rPr>
          <w:iCs/>
          <w:i/>
        </w:rPr>
        <w:t xml:space="preserve">Tbep-tech/wq-dash: v1.0</w:t>
      </w:r>
      <w:r>
        <w:t xml:space="preserve"> </w:t>
      </w:r>
      <w:r>
        <w:t xml:space="preserve">(version v1.0). Zenodo.</w:t>
      </w:r>
      <w:r>
        <w:t xml:space="preserve"> </w:t>
      </w:r>
      <w:hyperlink r:id="rId78">
        <w:r>
          <w:rPr>
            <w:rStyle w:val="Hyperlink"/>
          </w:rPr>
          <w:t xml:space="preserve">https://doi.org/10.5281/zenodo.3648664</w:t>
        </w:r>
      </w:hyperlink>
      <w:r>
        <w:t xml:space="preserve">.</w:t>
      </w:r>
    </w:p>
    <w:bookmarkEnd w:id="79"/>
    <w:bookmarkStart w:id="81" w:name="ref-Beck20b"/>
    <w:p>
      <w:pPr>
        <w:pStyle w:val="Bibliography"/>
      </w:pPr>
      <w:r>
        <w:t xml:space="preserve">Beck, M. W. 2020b.</w:t>
      </w:r>
      <w:r>
        <w:t xml:space="preserve"> </w:t>
      </w:r>
      <w:r>
        <w:rPr>
          <w:iCs/>
          <w:i/>
        </w:rPr>
        <w:t xml:space="preserve">Tbep-tech/seagrasstransect-dash: v1.0</w:t>
      </w:r>
      <w:r>
        <w:t xml:space="preserve"> </w:t>
      </w:r>
      <w:r>
        <w:t xml:space="preserve">(version v1.0). Zenodo.</w:t>
      </w:r>
      <w:r>
        <w:t xml:space="preserve"> </w:t>
      </w:r>
      <w:hyperlink r:id="rId80">
        <w:r>
          <w:rPr>
            <w:rStyle w:val="Hyperlink"/>
          </w:rPr>
          <w:t xml:space="preserve">https://doi.org/10.5281/zenodo.4319936</w:t>
        </w:r>
      </w:hyperlink>
      <w:r>
        <w:t xml:space="preserve">.</w:t>
      </w:r>
    </w:p>
    <w:bookmarkEnd w:id="81"/>
    <w:bookmarkStart w:id="83"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2">
        <w:r>
          <w:rPr>
            <w:rStyle w:val="Hyperlink"/>
          </w:rPr>
          <w:t xml:space="preserve">https://doi.org/10.1016/j.marpolbul.2022.113598</w:t>
        </w:r>
      </w:hyperlink>
      <w:r>
        <w:t xml:space="preserve">.</w:t>
      </w:r>
    </w:p>
    <w:bookmarkEnd w:id="83"/>
    <w:bookmarkStart w:id="85"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4">
        <w:r>
          <w:rPr>
            <w:rStyle w:val="Hyperlink"/>
          </w:rPr>
          <w:t xml:space="preserve">https://doi.org/10.3389/fevo.2023.1070266</w:t>
        </w:r>
      </w:hyperlink>
      <w:r>
        <w:t xml:space="preserve">.</w:t>
      </w:r>
    </w:p>
    <w:bookmarkEnd w:id="85"/>
    <w:bookmarkStart w:id="87" w:name="ref-beck2021"/>
    <w:p>
      <w:pPr>
        <w:pStyle w:val="Bibliography"/>
      </w:pPr>
      <w:r>
        <w:t xml:space="preserve">Beck, M. W., M. Schrandt, M. Wessel, E. T. Sherwood, G. E. Raulerson, A. Prasad, and B. Best. 2021. Tbeptools: An r 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86">
        <w:r>
          <w:rPr>
            <w:rStyle w:val="Hyperlink"/>
          </w:rPr>
          <w:t xml:space="preserve">https://doi.org/10.21105/joss.03485</w:t>
        </w:r>
      </w:hyperlink>
      <w:r>
        <w:t xml:space="preserve">.</w:t>
      </w:r>
    </w:p>
    <w:bookmarkEnd w:id="87"/>
    <w:bookmarkStart w:id="89" w:name="ref-beck2019"/>
    <w:p>
      <w:pPr>
        <w:pStyle w:val="Bibliography"/>
      </w:pPr>
      <w:r>
        <w:t xml:space="preserve">Beck, M. W., E. T. Sherwood, J. R. Henkel, K. Dorans, K. Ireland, and P. Varela. 2019. Assessment of the Cumulative Effects of Restoration Activities on Water Quality in Tampa Bay, Florida.</w:t>
      </w:r>
      <w:r>
        <w:t xml:space="preserve"> </w:t>
      </w:r>
      <w:r>
        <w:rPr>
          <w:iCs/>
          <w:i/>
        </w:rPr>
        <w:t xml:space="preserve">Estuaries and Coasts</w:t>
      </w:r>
      <w:r>
        <w:t xml:space="preserve"> </w:t>
      </w:r>
      <w:r>
        <w:t xml:space="preserve">42: 1774–1791.</w:t>
      </w:r>
      <w:r>
        <w:t xml:space="preserve"> </w:t>
      </w:r>
      <w:hyperlink r:id="rId88">
        <w:r>
          <w:rPr>
            <w:rStyle w:val="Hyperlink"/>
          </w:rPr>
          <w:t xml:space="preserve">https://doi.org/10.1007/s12237-019-00619-w</w:t>
        </w:r>
      </w:hyperlink>
      <w:r>
        <w:t xml:space="preserve">.</w:t>
      </w:r>
    </w:p>
    <w:bookmarkEnd w:id="89"/>
    <w:bookmarkStart w:id="91" w:name="ref-begueria23"/>
    <w:p>
      <w:pPr>
        <w:pStyle w:val="Bibliography"/>
      </w:pPr>
      <w:r>
        <w:t xml:space="preserve">Beguería, S., and S. M. Vicente-Serrano. 2023.</w:t>
      </w:r>
      <w:r>
        <w:t xml:space="preserve"> </w:t>
      </w:r>
      <w:hyperlink r:id="rId90">
        <w:r>
          <w:rPr>
            <w:rStyle w:val="Hyperlink"/>
            <w:iCs/>
            <w:i/>
          </w:rPr>
          <w:t xml:space="preserve">SPEI</w:t>
        </w:r>
        <w:r>
          <w:rPr>
            <w:rStyle w:val="Hyperlink"/>
            <w:iCs/>
            <w:i/>
          </w:rPr>
          <w:t xml:space="preserve">: Calculation of the</w:t>
        </w:r>
        <w:r>
          <w:rPr>
            <w:rStyle w:val="Hyperlink"/>
            <w:iCs/>
            <w:i/>
          </w:rPr>
          <w:t xml:space="preserve"> </w:t>
        </w:r>
        <w:r>
          <w:rPr>
            <w:rStyle w:val="Hyperlink"/>
            <w:iCs/>
            <w:i/>
          </w:rPr>
          <w:t xml:space="preserve">S</w:t>
        </w:r>
        <w:r>
          <w:rPr>
            <w:rStyle w:val="Hyperlink"/>
            <w:iCs/>
            <w:i/>
          </w:rPr>
          <w:t xml:space="preserve">tandardized</w:t>
        </w:r>
        <w:r>
          <w:rPr>
            <w:rStyle w:val="Hyperlink"/>
            <w:iCs/>
            <w:i/>
          </w:rPr>
          <w:t xml:space="preserve"> </w:t>
        </w:r>
        <w:r>
          <w:rPr>
            <w:rStyle w:val="Hyperlink"/>
            <w:iCs/>
            <w:i/>
          </w:rPr>
          <w:t xml:space="preserve">P</w:t>
        </w:r>
        <w:r>
          <w:rPr>
            <w:rStyle w:val="Hyperlink"/>
            <w:iCs/>
            <w:i/>
          </w:rPr>
          <w:t xml:space="preserve">recipitation-</w:t>
        </w:r>
        <w:r>
          <w:rPr>
            <w:rStyle w:val="Hyperlink"/>
            <w:iCs/>
            <w:i/>
          </w:rPr>
          <w:t xml:space="preserve">E</w:t>
        </w:r>
        <w:r>
          <w:rPr>
            <w:rStyle w:val="Hyperlink"/>
            <w:iCs/>
            <w:i/>
          </w:rPr>
          <w:t xml:space="preserve">vapotranspiration</w:t>
        </w:r>
        <w:r>
          <w:rPr>
            <w:rStyle w:val="Hyperlink"/>
            <w:iCs/>
            <w:i/>
          </w:rPr>
          <w:t xml:space="preserve"> </w:t>
        </w:r>
        <w:r>
          <w:rPr>
            <w:rStyle w:val="Hyperlink"/>
            <w:iCs/>
            <w:i/>
          </w:rPr>
          <w:t xml:space="preserve">I</w:t>
        </w:r>
        <w:r>
          <w:rPr>
            <w:rStyle w:val="Hyperlink"/>
            <w:iCs/>
            <w:i/>
          </w:rPr>
          <w:t xml:space="preserve">ndex</w:t>
        </w:r>
      </w:hyperlink>
      <w:r>
        <w:t xml:space="preserve">.</w:t>
      </w:r>
    </w:p>
    <w:bookmarkEnd w:id="91"/>
    <w:bookmarkStart w:id="93"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2">
        <w:r>
          <w:rPr>
            <w:rStyle w:val="Hyperlink"/>
          </w:rPr>
          <w:t xml:space="preserve">https://doi.org/10.1002/joc.3887</w:t>
        </w:r>
      </w:hyperlink>
      <w:r>
        <w:t xml:space="preserve">.</w:t>
      </w:r>
    </w:p>
    <w:bookmarkEnd w:id="93"/>
    <w:bookmarkStart w:id="95" w:name="ref-bell1997"/>
    <w:p>
      <w:pPr>
        <w:pStyle w:val="Bibliography"/>
      </w:pPr>
      <w:r>
        <w:t xml:space="preserve">Bell, S., and M. Hall. 1997. Drift macroalgal abundance in seagrass beds:investigating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4">
        <w:r>
          <w:rPr>
            <w:rStyle w:val="Hyperlink"/>
          </w:rPr>
          <w:t xml:space="preserve">https://doi.org/10.3354/meps147277</w:t>
        </w:r>
      </w:hyperlink>
      <w:r>
        <w:t xml:space="preserve">.</w:t>
      </w:r>
    </w:p>
    <w:bookmarkEnd w:id="95"/>
    <w:bookmarkStart w:id="97" w:name="ref-blakesley2001"/>
    <w:p>
      <w:pPr>
        <w:pStyle w:val="Bibliography"/>
      </w:pPr>
      <w:r>
        <w:t xml:space="preserve">Blakesley, B., P. Hall, D. Berns, J. Hyniova, M. Merello, and R. Conroy. 2001.</w:t>
      </w:r>
      <w:r>
        <w:t xml:space="preserve"> </w:t>
      </w:r>
      <w:hyperlink r:id="rId96">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 In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97"/>
    <w:bookmarkStart w:id="99" w:name="ref-borchert2018"/>
    <w:p>
      <w:pPr>
        <w:pStyle w:val="Bibliography"/>
      </w:pPr>
      <w:r>
        <w:t xml:space="preserve">Borchert, S. M., M. J. Osland, N. M. Enwright, and K. T. Griffith. 2018. Coastal wetland adaptation to sea level rise: Quantifying potential for landward migration and coastal squeeze. Edited by Jason Rohr.</w:t>
      </w:r>
      <w:r>
        <w:t xml:space="preserve"> </w:t>
      </w:r>
      <w:r>
        <w:rPr>
          <w:iCs/>
          <w:i/>
        </w:rPr>
        <w:t xml:space="preserve">Journal of Applied Ecology</w:t>
      </w:r>
      <w:r>
        <w:t xml:space="preserve"> </w:t>
      </w:r>
      <w:r>
        <w:t xml:space="preserve">55: 2876–2887.</w:t>
      </w:r>
      <w:r>
        <w:t xml:space="preserve"> </w:t>
      </w:r>
      <w:hyperlink r:id="rId98">
        <w:r>
          <w:rPr>
            <w:rStyle w:val="Hyperlink"/>
          </w:rPr>
          <w:t xml:space="preserve">https://doi.org/10.1111/1365-2664.13169</w:t>
        </w:r>
      </w:hyperlink>
      <w:r>
        <w:t xml:space="preserve">.</w:t>
      </w:r>
    </w:p>
    <w:bookmarkEnd w:id="99"/>
    <w:bookmarkStart w:id="101"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w:t>
      </w:r>
      <w:r>
        <w:t xml:space="preserve"> </w:t>
      </w:r>
      <w:hyperlink r:id="rId100">
        <w:r>
          <w:rPr>
            <w:rStyle w:val="Hyperlink"/>
          </w:rPr>
          <w:t xml:space="preserve">https://doi.org/10.2307/1352383</w:t>
        </w:r>
      </w:hyperlink>
      <w:r>
        <w:t xml:space="preserve">.</w:t>
      </w:r>
    </w:p>
    <w:bookmarkEnd w:id="101"/>
    <w:bookmarkStart w:id="103" w:name="ref-chamberlain23"/>
    <w:p>
      <w:pPr>
        <w:pStyle w:val="Bibliography"/>
      </w:pPr>
      <w:r>
        <w:t xml:space="preserve">Chamberlain, S., and D. Hocking. 2023.</w:t>
      </w:r>
      <w:r>
        <w:t xml:space="preserve"> </w:t>
      </w:r>
      <w:hyperlink r:id="rId102">
        <w:r>
          <w:rPr>
            <w:rStyle w:val="Hyperlink"/>
            <w:iCs/>
            <w:i/>
          </w:rPr>
          <w:t xml:space="preserve">rnoaa</w:t>
        </w:r>
        <w:r>
          <w:rPr>
            <w:rStyle w:val="Hyperlink"/>
            <w:iCs/>
            <w:i/>
          </w:rPr>
          <w:t xml:space="preserve">:</w:t>
        </w:r>
        <w:r>
          <w:rPr>
            <w:rStyle w:val="Hyperlink"/>
            <w:iCs/>
            <w:i/>
          </w:rPr>
          <w:t xml:space="preserve"> </w:t>
        </w:r>
        <w:r>
          <w:rPr>
            <w:rStyle w:val="Hyperlink"/>
            <w:iCs/>
            <w:i/>
          </w:rPr>
          <w:t xml:space="preserve">’NOAA’</w:t>
        </w:r>
        <w:r>
          <w:rPr>
            <w:rStyle w:val="Hyperlink"/>
            <w:iCs/>
            <w:i/>
          </w:rPr>
          <w:t xml:space="preserve"> </w:t>
        </w:r>
        <w:r>
          <w:rPr>
            <w:rStyle w:val="Hyperlink"/>
            <w:iCs/>
            <w:i/>
          </w:rPr>
          <w:t xml:space="preserve">weather data from</w:t>
        </w:r>
        <w:r>
          <w:rPr>
            <w:rStyle w:val="Hyperlink"/>
            <w:iCs/>
            <w:i/>
          </w:rPr>
          <w:t xml:space="preserve"> </w:t>
        </w:r>
        <w:r>
          <w:rPr>
            <w:rStyle w:val="Hyperlink"/>
            <w:iCs/>
            <w:i/>
          </w:rPr>
          <w:t xml:space="preserve">R</w:t>
        </w:r>
      </w:hyperlink>
      <w:r>
        <w:t xml:space="preserve">.</w:t>
      </w:r>
    </w:p>
    <w:bookmarkEnd w:id="103"/>
    <w:bookmarkStart w:id="105"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04">
        <w:r>
          <w:rPr>
            <w:rStyle w:val="Hyperlink"/>
          </w:rPr>
          <w:t xml:space="preserve">https://doi.org/10.1016/j.jenvman.2018.01.025</w:t>
        </w:r>
      </w:hyperlink>
      <w:r>
        <w:t xml:space="preserve">.</w:t>
      </w:r>
    </w:p>
    <w:bookmarkEnd w:id="105"/>
    <w:bookmarkStart w:id="107"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 Load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06">
        <w:r>
          <w:rPr>
            <w:rStyle w:val="Hyperlink"/>
          </w:rPr>
          <w:t xml:space="preserve">https://doi.org/10.3389/fpls.2021.612947</w:t>
        </w:r>
      </w:hyperlink>
      <w:r>
        <w:t xml:space="preserve">.</w:t>
      </w:r>
    </w:p>
    <w:bookmarkEnd w:id="107"/>
    <w:bookmarkStart w:id="109"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08">
        <w:r>
          <w:rPr>
            <w:rStyle w:val="Hyperlink"/>
          </w:rPr>
          <w:t xml:space="preserve">https://doi.org/10.1038/ngeo1477</w:t>
        </w:r>
      </w:hyperlink>
      <w:r>
        <w:t xml:space="preserve">.</w:t>
      </w:r>
    </w:p>
    <w:bookmarkEnd w:id="109"/>
    <w:bookmarkStart w:id="111"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10">
        <w:r>
          <w:rPr>
            <w:rStyle w:val="Hyperlink"/>
          </w:rPr>
          <w:t xml:space="preserve">https://doi.org/10.1016/j.marpolbul.2010.11.017</w:t>
        </w:r>
      </w:hyperlink>
      <w:r>
        <w:t xml:space="preserve">.</w:t>
      </w:r>
    </w:p>
    <w:bookmarkEnd w:id="111"/>
    <w:bookmarkStart w:id="113" w:name="ref-greening2006"/>
    <w:p>
      <w:pPr>
        <w:pStyle w:val="Bibliography"/>
      </w:pPr>
      <w:r>
        <w:t xml:space="preserve">Greening, H. S., and A. Janicki. 2006. Toward Reversal of Eutrophic Conditions in a Subtropical Estuary: Water Quality and Seagrass Response to Nitrogen Loading Reductions in Tampa Bay, Florida, USA.</w:t>
      </w:r>
      <w:r>
        <w:t xml:space="preserve"> </w:t>
      </w:r>
      <w:r>
        <w:rPr>
          <w:iCs/>
          <w:i/>
        </w:rPr>
        <w:t xml:space="preserve">Environmental Management</w:t>
      </w:r>
      <w:r>
        <w:t xml:space="preserve"> </w:t>
      </w:r>
      <w:r>
        <w:t xml:space="preserve">38: 163–178.</w:t>
      </w:r>
      <w:r>
        <w:t xml:space="preserve"> </w:t>
      </w:r>
      <w:hyperlink r:id="rId112">
        <w:r>
          <w:rPr>
            <w:rStyle w:val="Hyperlink"/>
          </w:rPr>
          <w:t xml:space="preserve">https://doi.org/10.1007/s00267-005-0079-4</w:t>
        </w:r>
      </w:hyperlink>
      <w:r>
        <w:t xml:space="preserve">.</w:t>
      </w:r>
    </w:p>
    <w:bookmarkEnd w:id="113"/>
    <w:bookmarkStart w:id="115"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14">
        <w:r>
          <w:rPr>
            <w:rStyle w:val="Hyperlink"/>
          </w:rPr>
          <w:t xml:space="preserve">https://doi.org/10.1016/j.ecss.2014.10.003</w:t>
        </w:r>
      </w:hyperlink>
      <w:r>
        <w:t xml:space="preserve">.</w:t>
      </w:r>
    </w:p>
    <w:bookmarkEnd w:id="115"/>
    <w:bookmarkStart w:id="117" w:name="ref-hall2016"/>
    <w:p>
      <w:pPr>
        <w:pStyle w:val="Bibliography"/>
      </w:pPr>
      <w:r>
        <w:t xml:space="preserve">Hall, M.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16">
        <w:r>
          <w:rPr>
            <w:rStyle w:val="Hyperlink"/>
          </w:rPr>
          <w:t xml:space="preserve">https://doi.org/10.3354/meps11923</w:t>
        </w:r>
      </w:hyperlink>
      <w:r>
        <w:t xml:space="preserve">.</w:t>
      </w:r>
    </w:p>
    <w:bookmarkEnd w:id="117"/>
    <w:bookmarkStart w:id="119"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18">
        <w:r>
          <w:rPr>
            <w:rStyle w:val="Hyperlink"/>
          </w:rPr>
          <w:t xml:space="preserve">https://doi.org/10.1073/pnas.2220678120</w:t>
        </w:r>
      </w:hyperlink>
      <w:r>
        <w:t xml:space="preserve">.</w:t>
      </w:r>
    </w:p>
    <w:bookmarkEnd w:id="119"/>
    <w:bookmarkStart w:id="121"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20">
        <w:r>
          <w:rPr>
            <w:rStyle w:val="Hyperlink"/>
          </w:rPr>
          <w:t xml:space="preserve">https://doi.org/10.1029/wr018i001p00107</w:t>
        </w:r>
      </w:hyperlink>
      <w:r>
        <w:t xml:space="preserve">.</w:t>
      </w:r>
    </w:p>
    <w:bookmarkEnd w:id="121"/>
    <w:bookmarkStart w:id="123"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22">
        <w:r>
          <w:rPr>
            <w:rStyle w:val="Hyperlink"/>
          </w:rPr>
          <w:t xml:space="preserve">https://doi.org/10.1101/sqb.1957.022.01.039</w:t>
        </w:r>
      </w:hyperlink>
      <w:r>
        <w:t xml:space="preserve">.</w:t>
      </w:r>
    </w:p>
    <w:bookmarkEnd w:id="123"/>
    <w:bookmarkStart w:id="125" w:name="ref-tbep0696"/>
    <w:p>
      <w:pPr>
        <w:pStyle w:val="Bibliography"/>
      </w:pPr>
      <w:r>
        <w:t xml:space="preserve">Janicki, A. J., and D. L. Wade. 1996.</w:t>
      </w:r>
      <w:r>
        <w:t xml:space="preserve"> </w:t>
      </w:r>
      <w:hyperlink r:id="rId124">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25"/>
    <w:bookmarkStart w:id="127" w:name="ref-jei2022"/>
    <w:p>
      <w:pPr>
        <w:pStyle w:val="Bibliography"/>
      </w:pPr>
      <w:r>
        <w:t xml:space="preserve">Janicki Environmental, Inc. 2022.</w:t>
      </w:r>
      <w:r>
        <w:t xml:space="preserve"> </w:t>
      </w:r>
      <w:hyperlink r:id="rId126">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27"/>
    <w:bookmarkStart w:id="129" w:name="ref-tbep0623"/>
    <w:p>
      <w:pPr>
        <w:pStyle w:val="Bibliography"/>
      </w:pPr>
      <w:r>
        <w:t xml:space="preserve">Janicki Environmental, Inc. 2023.</w:t>
      </w:r>
      <w:r>
        <w:t xml:space="preserve"> </w:t>
      </w:r>
      <w:hyperlink r:id="rId128">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29"/>
    <w:bookmarkStart w:id="130" w:name="ref-johansson15"/>
    <w:p>
      <w:pPr>
        <w:pStyle w:val="Bibliography"/>
      </w:pPr>
      <w:r>
        <w:t xml:space="preserve">Johansson, J. O. R., and Janicki Environmental, Inc. 2015.</w:t>
      </w:r>
      <w:r>
        <w:t xml:space="preserve"> </w:t>
      </w:r>
      <w:r>
        <w:rPr>
          <w:iCs/>
          <w:i/>
        </w:rPr>
        <w:t xml:space="preserve">Long-term underwater light climate variation and submerged seagrass trends in</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F</w:t>
      </w:r>
      <w:r>
        <w:rPr>
          <w:iCs/>
          <w:i/>
        </w:rPr>
        <w:t xml:space="preserve">lorida: With a discussion of phytoplankton and</w:t>
      </w:r>
      <w:r>
        <w:rPr>
          <w:iCs/>
          <w:i/>
        </w:rPr>
        <w:t xml:space="preserve"> </w:t>
      </w:r>
      <w:r>
        <w:rPr>
          <w:iCs/>
          <w:i/>
        </w:rPr>
        <w:t xml:space="preserve">CDOM</w:t>
      </w:r>
      <w:r>
        <w:rPr>
          <w:iCs/>
          <w:i/>
        </w:rPr>
        <w:t xml:space="preserve"> </w:t>
      </w:r>
      <w:r>
        <w:rPr>
          <w:iCs/>
          <w:i/>
        </w:rPr>
        <w:t xml:space="preserve">interactions</w:t>
      </w:r>
      <w:r>
        <w:t xml:space="preserve">.</w:t>
      </w:r>
    </w:p>
    <w:bookmarkEnd w:id="130"/>
    <w:bookmarkStart w:id="131" w:name="ref-tbep0816"/>
    <w:p>
      <w:pPr>
        <w:pStyle w:val="Bibliography"/>
      </w:pPr>
      <w:r>
        <w:t xml:space="preserve">Johansson, R. 2016.</w:t>
      </w:r>
      <w:r>
        <w:t xml:space="preserve"> </w:t>
      </w:r>
      <w:r>
        <w:rPr>
          <w:iCs/>
          <w:i/>
        </w:rPr>
        <w:t xml:space="preserve">Seagrass transect monitoring in</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 A summary of findings from 1997 through 2015</w:t>
      </w:r>
      <w:r>
        <w:t xml:space="preserve">.</w:t>
      </w:r>
    </w:p>
    <w:bookmarkEnd w:id="131"/>
    <w:bookmarkStart w:id="133" w:name="ref-lewis1985"/>
    <w:p>
      <w:pPr>
        <w:pStyle w:val="Bibliography"/>
      </w:pPr>
      <w:r>
        <w:t xml:space="preserve">Lewis III, R. R., M. Durako, M. Moffler, and R. Phillips. 1985.</w:t>
      </w:r>
      <w:r>
        <w:t xml:space="preserve"> </w:t>
      </w:r>
      <w:hyperlink r:id="rId132">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 tampa bay area scientific information symposium, may 1982</w:t>
      </w:r>
      <w:r>
        <w:t xml:space="preserve">, ed. S. F. Treat, J. L. Simon, R. R. Lewis III, and R. L. Whitman Jr., 210–246. Tampa, Florida: Bellweather Press.</w:t>
      </w:r>
    </w:p>
    <w:bookmarkEnd w:id="133"/>
    <w:bookmarkStart w:id="135"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34">
        <w:r>
          <w:rPr>
            <w:rStyle w:val="Hyperlink"/>
          </w:rPr>
          <w:t xml:space="preserve">https://doi.org/10.1007/bf02691700</w:t>
        </w:r>
      </w:hyperlink>
      <w:r>
        <w:t xml:space="preserve">.</w:t>
      </w:r>
    </w:p>
    <w:bookmarkEnd w:id="135"/>
    <w:bookmarkStart w:id="137" w:name="ref-lizcano-sandoval2022"/>
    <w:p>
      <w:pPr>
        <w:pStyle w:val="Bibliography"/>
      </w:pPr>
      <w:r>
        <w:t xml:space="preserve">Lizcano-Sandoval, L., C. Anastasiou, E. Montes, G. E. Raulerson, E. T. Sherwood, and F. E. Muller-Karger. 2022. Seagrass distribution, areal cover, and changes (1990</w:t>
      </w:r>
      <w:r>
        <w:t xml:space="preserve">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36">
        <w:r>
          <w:rPr>
            <w:rStyle w:val="Hyperlink"/>
          </w:rPr>
          <w:t xml:space="preserve">https://doi.org/10.1016/j.ecss.2022.108134</w:t>
        </w:r>
      </w:hyperlink>
      <w:r>
        <w:t xml:space="preserve">.</w:t>
      </w:r>
    </w:p>
    <w:bookmarkEnd w:id="137"/>
    <w:bookmarkStart w:id="138" w:name="ref-lopez2021"/>
    <w:p>
      <w:pPr>
        <w:pStyle w:val="Bibliography"/>
      </w:pPr>
      <w:r>
        <w:t xml:space="preserve">Lopez, C. B., S. Shankar, S. G. Kaminski, M. Garrett, and K. A. Hubbard. 2021.</w:t>
      </w:r>
      <w:r>
        <w:t xml:space="preserve"> </w:t>
      </w:r>
      <w:r>
        <w:rPr>
          <w:iCs/>
          <w:i/>
        </w:rPr>
        <w:t xml:space="preserve">Linking</w:t>
      </w:r>
      <w:r>
        <w:rPr>
          <w:iCs/>
          <w:i/>
        </w:rPr>
        <w:t xml:space="preserve"> </w:t>
      </w:r>
      <w:r>
        <w:rPr>
          <w:iCs/>
          <w:i/>
          <w:iCs/>
          <w:i/>
        </w:rPr>
        <w:t xml:space="preserve">P</w:t>
      </w:r>
      <w:r>
        <w:rPr>
          <w:iCs/>
          <w:i/>
          <w:iCs/>
          <w:i/>
        </w:rPr>
        <w:t xml:space="preserve">yrodinium</w:t>
      </w:r>
      <w:r>
        <w:rPr>
          <w:iCs/>
          <w:i/>
          <w:iCs/>
          <w:i/>
        </w:rPr>
        <w:t xml:space="preserve"> </w:t>
      </w:r>
      <w:r>
        <w:rPr>
          <w:iCs/>
          <w:i/>
          <w:iCs/>
          <w:i/>
        </w:rPr>
        <w:t xml:space="preserve">b</w:t>
      </w:r>
      <w:r>
        <w:rPr>
          <w:iCs/>
          <w:i/>
          <w:iCs/>
          <w:i/>
        </w:rPr>
        <w:t xml:space="preserve">ahamense</w:t>
      </w:r>
      <w:r>
        <w:rPr>
          <w:iCs/>
          <w:i/>
        </w:rPr>
        <w:t xml:space="preserve"> </w:t>
      </w:r>
      <w:r>
        <w:rPr>
          <w:iCs/>
          <w:i/>
        </w:rPr>
        <w:t xml:space="preserve">physiology and behavior to population growth and loss in nature and implications for management</w:t>
      </w:r>
      <w:r>
        <w:t xml:space="preserve">.</w:t>
      </w:r>
    </w:p>
    <w:bookmarkEnd w:id="138"/>
    <w:bookmarkStart w:id="139"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39"/>
    <w:bookmarkStart w:id="141" w:name="ref-luther2022"/>
    <w:p>
      <w:pPr>
        <w:pStyle w:val="Bibliography"/>
      </w:pPr>
      <w:r>
        <w:t xml:space="preserve">Luther, M. E., and S. D. Meyers. 2022.</w:t>
      </w:r>
      <w:r>
        <w:t xml:space="preserve"> </w:t>
      </w:r>
      <w:hyperlink r:id="rId140">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41"/>
    <w:bookmarkStart w:id="143"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42">
        <w:r>
          <w:rPr>
            <w:rStyle w:val="Hyperlink"/>
          </w:rPr>
          <w:t xml:space="preserve">https://doi.org/10.2307/1932688</w:t>
        </w:r>
      </w:hyperlink>
      <w:r>
        <w:t xml:space="preserve">.</w:t>
      </w:r>
    </w:p>
    <w:bookmarkEnd w:id="143"/>
    <w:bookmarkStart w:id="145" w:name="ref-millard13"/>
    <w:p>
      <w:pPr>
        <w:pStyle w:val="Bibliography"/>
      </w:pPr>
      <w:r>
        <w:t xml:space="preserve">Millard, S. P. 2013.</w:t>
      </w:r>
      <w:r>
        <w:t xml:space="preserve"> </w:t>
      </w:r>
      <w:hyperlink r:id="rId144">
        <w:r>
          <w:rPr>
            <w:rStyle w:val="Hyperlink"/>
            <w:iCs/>
            <w:i/>
          </w:rPr>
          <w:t xml:space="preserve">EnvStats: An r package for environmental statistics</w:t>
        </w:r>
      </w:hyperlink>
      <w:r>
        <w:t xml:space="preserve">. New York: Springer.</w:t>
      </w:r>
    </w:p>
    <w:bookmarkEnd w:id="145"/>
    <w:bookmarkStart w:id="147"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46">
        <w:r>
          <w:rPr>
            <w:rStyle w:val="Hyperlink"/>
          </w:rPr>
          <w:t xml:space="preserve">https://doi.org/10.1016/j.dsr2.2023.105321</w:t>
        </w:r>
      </w:hyperlink>
      <w:r>
        <w:t xml:space="preserve">.</w:t>
      </w:r>
    </w:p>
    <w:bookmarkEnd w:id="147"/>
    <w:bookmarkStart w:id="149"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48">
        <w:r>
          <w:rPr>
            <w:rStyle w:val="Hyperlink"/>
          </w:rPr>
          <w:t xml:space="preserve">https://doi.org/10.1038/s41467-018-03732-9</w:t>
        </w:r>
      </w:hyperlink>
      <w:r>
        <w:t xml:space="preserve">.</w:t>
      </w:r>
    </w:p>
    <w:bookmarkEnd w:id="149"/>
    <w:bookmarkStart w:id="151"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150">
        <w:r>
          <w:rPr>
            <w:rStyle w:val="Hyperlink"/>
          </w:rPr>
          <w:t xml:space="preserve">https://doi.org/10.1093/biosci/bix058</w:t>
        </w:r>
      </w:hyperlink>
      <w:r>
        <w:t xml:space="preserve">.</w:t>
      </w:r>
    </w:p>
    <w:bookmarkEnd w:id="151"/>
    <w:bookmarkStart w:id="153"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152">
        <w:r>
          <w:rPr>
            <w:rStyle w:val="Hyperlink"/>
          </w:rPr>
          <w:t xml:space="preserve">https://doi.org/10.1007/s12237-023-01252-4</w:t>
        </w:r>
      </w:hyperlink>
      <w:r>
        <w:t xml:space="preserve">.</w:t>
      </w:r>
    </w:p>
    <w:bookmarkEnd w:id="153"/>
    <w:bookmarkStart w:id="155"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154">
        <w:r>
          <w:rPr>
            <w:rStyle w:val="Hyperlink"/>
          </w:rPr>
          <w:t xml:space="preserve">https://doi.org/10.1126/sciadv.abc6434</w:t>
        </w:r>
      </w:hyperlink>
      <w:r>
        <w:t xml:space="preserve">.</w:t>
      </w:r>
    </w:p>
    <w:bookmarkEnd w:id="155"/>
    <w:bookmarkStart w:id="157"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156">
        <w:r>
          <w:rPr>
            <w:rStyle w:val="Hyperlink"/>
          </w:rPr>
          <w:t xml:space="preserve">https://doi.org/10.1111/gcb.13084</w:t>
        </w:r>
      </w:hyperlink>
      <w:r>
        <w:t xml:space="preserve">.</w:t>
      </w:r>
    </w:p>
    <w:bookmarkEnd w:id="157"/>
    <w:bookmarkStart w:id="158"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158"/>
    <w:bookmarkStart w:id="160" w:name="ref-phlips2006"/>
    <w:p>
      <w:pPr>
        <w:pStyle w:val="Bibliography"/>
      </w:pPr>
      <w:r>
        <w:t xml:space="preserve">Phlips, J., S. Badylak, E. Bledsoe, and M. Cichra. 2006. Factors affecting the distribution of Pyrodinium bahamense var. bahamense in coastal waters of Florida.</w:t>
      </w:r>
      <w:r>
        <w:t xml:space="preserve"> </w:t>
      </w:r>
      <w:r>
        <w:rPr>
          <w:iCs/>
          <w:i/>
        </w:rPr>
        <w:t xml:space="preserve">Marine Ecology Progress Series</w:t>
      </w:r>
      <w:r>
        <w:t xml:space="preserve"> </w:t>
      </w:r>
      <w:r>
        <w:t xml:space="preserve">322: 99–115.</w:t>
      </w:r>
      <w:r>
        <w:t xml:space="preserve"> </w:t>
      </w:r>
      <w:hyperlink r:id="rId159">
        <w:r>
          <w:rPr>
            <w:rStyle w:val="Hyperlink"/>
          </w:rPr>
          <w:t xml:space="preserve">https://doi.org/10.3354/meps322099</w:t>
        </w:r>
      </w:hyperlink>
      <w:r>
        <w:t xml:space="preserve">.</w:t>
      </w:r>
    </w:p>
    <w:bookmarkEnd w:id="160"/>
    <w:bookmarkStart w:id="161"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161"/>
    <w:bookmarkStart w:id="163" w:name="ref-Robison20"/>
    <w:p>
      <w:pPr>
        <w:pStyle w:val="Bibliography"/>
      </w:pPr>
      <w:r>
        <w:t xml:space="preserve">Robison, D., T. Ries, J. Saarinen, D. Tomasko, and C. Sciarrino. 2020.</w:t>
      </w:r>
      <w:r>
        <w:t xml:space="preserve"> </w:t>
      </w:r>
      <w:hyperlink r:id="rId162">
        <w:r>
          <w:rPr>
            <w:rStyle w:val="Hyperlink"/>
            <w:iCs/>
            <w:i/>
          </w:rPr>
          <w:t xml:space="preserve">Tampa Bay Estuary Program: 2020 Habitat Master Plan Update</w:t>
        </w:r>
      </w:hyperlink>
      <w:r>
        <w:t xml:space="preserve">. Technical report. Tampa Bay Estuary Program, St. Petersburg, Florida.</w:t>
      </w:r>
    </w:p>
    <w:bookmarkEnd w:id="163"/>
    <w:bookmarkStart w:id="165"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164">
        <w:r>
          <w:rPr>
            <w:rStyle w:val="Hyperlink"/>
          </w:rPr>
          <w:t xml:space="preserve">https://doi.org/10.1016/j.ecolind.2015.12.007</w:t>
        </w:r>
      </w:hyperlink>
      <w:r>
        <w:t xml:space="preserve">.</w:t>
      </w:r>
    </w:p>
    <w:bookmarkEnd w:id="165"/>
    <w:bookmarkStart w:id="166"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166"/>
    <w:bookmarkStart w:id="168"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167">
        <w:r>
          <w:rPr>
            <w:rStyle w:val="Hyperlink"/>
          </w:rPr>
          <w:t xml:space="preserve">https://doi.org/10.1016/j.ecolind.2020.107310</w:t>
        </w:r>
      </w:hyperlink>
      <w:r>
        <w:t xml:space="preserve">.</w:t>
      </w:r>
    </w:p>
    <w:bookmarkEnd w:id="168"/>
    <w:bookmarkStart w:id="169" w:name="ref-scolaro2023"/>
    <w:p>
      <w:pPr>
        <w:pStyle w:val="Bibliography"/>
      </w:pPr>
      <w:r>
        <w:t xml:space="preserve">Scolaro, S., M. W. Beck, M. C. Burke, G. E. Raulerson, and E. T. Sherwood. 2023. Piney point, seagrass, and macroalgae: Impact assessment and a case for enhanced macroalgae monitoring.</w:t>
      </w:r>
      <w:r>
        <w:t xml:space="preserve"> </w:t>
      </w:r>
      <w:r>
        <w:rPr>
          <w:iCs/>
          <w:i/>
        </w:rPr>
        <w:t xml:space="preserve">Florida Scientist</w:t>
      </w:r>
      <w:r>
        <w:t xml:space="preserve"> </w:t>
      </w:r>
      <w:r>
        <w:t xml:space="preserve">86: 339–345.</w:t>
      </w:r>
    </w:p>
    <w:bookmarkEnd w:id="169"/>
    <w:bookmarkStart w:id="171"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170">
        <w:r>
          <w:rPr>
            <w:rStyle w:val="Hyperlink"/>
          </w:rPr>
          <w:t xml:space="preserve">https://doi.org/10.1353/sgo.2017.0026</w:t>
        </w:r>
      </w:hyperlink>
      <w:r>
        <w:t xml:space="preserve">.</w:t>
      </w:r>
    </w:p>
    <w:bookmarkEnd w:id="171"/>
    <w:bookmarkStart w:id="173" w:name="ref-sherwood2015"/>
    <w:p>
      <w:pPr>
        <w:pStyle w:val="Bibliography"/>
      </w:pPr>
      <w:r>
        <w:t xml:space="preserve">Sherwood, E. T., H. Greening, L. Garcia, K. Kaufman, T. Janicki, R. Pribble, B. Cunningham, et al. 2015.</w:t>
      </w:r>
      <w:r>
        <w:t xml:space="preserve"> </w:t>
      </w:r>
      <w:hyperlink r:id="rId172">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173"/>
    <w:bookmarkStart w:id="175"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 https://doi.org/</w:t>
      </w:r>
      <w:hyperlink r:id="rId174">
        <w:r>
          <w:rPr>
            <w:rStyle w:val="Hyperlink"/>
          </w:rPr>
          <w:t xml:space="preserve">https://doi.org/10.21203/rs.3.rs-3528678/v110.1016/j.jenvman.2018.01.025</w:t>
        </w:r>
      </w:hyperlink>
      <w:r>
        <w:t xml:space="preserve">.</w:t>
      </w:r>
    </w:p>
    <w:bookmarkEnd w:id="175"/>
    <w:bookmarkStart w:id="177" w:name="ref-SWFWMD23"/>
    <w:p>
      <w:pPr>
        <w:pStyle w:val="Bibliography"/>
      </w:pPr>
      <w:r>
        <w:t xml:space="preserve">Southwest Florida Water Management District. 2023.</w:t>
      </w:r>
      <w:r>
        <w:t xml:space="preserve"> </w:t>
      </w:r>
      <w:hyperlink r:id="rId176">
        <w:r>
          <w:rPr>
            <w:rStyle w:val="Hyperlink"/>
          </w:rPr>
          <w:t xml:space="preserve">Seagrass in 2022</w:t>
        </w:r>
      </w:hyperlink>
      <w:r>
        <w:t xml:space="preserve">.</w:t>
      </w:r>
    </w:p>
    <w:bookmarkEnd w:id="177"/>
    <w:bookmarkStart w:id="179" w:name="ref-stelling2023"/>
    <w:p>
      <w:pPr>
        <w:pStyle w:val="Bibliography"/>
      </w:pPr>
      <w:r>
        <w:t xml:space="preserve">Stelling, B., E. Phlips, S. Badylak, L. Landauer, M. Tate, and A. West-Valle. 2023. Seasonality of phytoplankton biomass and composition on the cape canaveral shelf of florida: Role of shifts in climate and coastal watershed influences.</w:t>
      </w:r>
      <w:r>
        <w:t xml:space="preserve"> </w:t>
      </w:r>
      <w:r>
        <w:rPr>
          <w:iCs/>
          <w:i/>
        </w:rPr>
        <w:t xml:space="preserve">Frontiers in Ecology and Evolution</w:t>
      </w:r>
      <w:r>
        <w:t xml:space="preserve"> </w:t>
      </w:r>
      <w:r>
        <w:t xml:space="preserve">11.</w:t>
      </w:r>
      <w:r>
        <w:t xml:space="preserve"> </w:t>
      </w:r>
      <w:hyperlink r:id="rId178">
        <w:r>
          <w:rPr>
            <w:rStyle w:val="Hyperlink"/>
          </w:rPr>
          <w:t xml:space="preserve">https://doi.org/10.3389/fevo.2023.1134069</w:t>
        </w:r>
      </w:hyperlink>
      <w:r>
        <w:t xml:space="preserve">.</w:t>
      </w:r>
    </w:p>
    <w:bookmarkEnd w:id="179"/>
    <w:bookmarkStart w:id="180" w:name="ref-tomasko2023"/>
    <w:p>
      <w:pPr>
        <w:pStyle w:val="Bibliography"/>
      </w:pPr>
      <w:r>
        <w:t xml:space="preserve">Tomasko, D.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180"/>
    <w:bookmarkStart w:id="182" w:name="ref-usup1994"/>
    <w:p>
      <w:pPr>
        <w:pStyle w:val="Bibliography"/>
      </w:pPr>
      <w:r>
        <w:t xml:space="preserve">Usup, G., D. M. Kulis, and D. M. Anderson. 1994. Growth and toxin production of the toxic dinoflagellatePyrodinium bahamense var.compressum in laboratory cultures.</w:t>
      </w:r>
      <w:r>
        <w:t xml:space="preserve"> </w:t>
      </w:r>
      <w:r>
        <w:rPr>
          <w:iCs/>
          <w:i/>
        </w:rPr>
        <w:t xml:space="preserve">Natural Toxins</w:t>
      </w:r>
      <w:r>
        <w:t xml:space="preserve"> </w:t>
      </w:r>
      <w:r>
        <w:t xml:space="preserve">2: 254–262.</w:t>
      </w:r>
      <w:r>
        <w:t xml:space="preserve"> </w:t>
      </w:r>
      <w:hyperlink r:id="rId181">
        <w:r>
          <w:rPr>
            <w:rStyle w:val="Hyperlink"/>
          </w:rPr>
          <w:t xml:space="preserve">https://doi.org/10.1002/nt.2620020503</w:t>
        </w:r>
      </w:hyperlink>
      <w:r>
        <w:t xml:space="preserve">.</w:t>
      </w:r>
    </w:p>
    <w:bookmarkEnd w:id="182"/>
    <w:bookmarkStart w:id="184"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183">
        <w:r>
          <w:rPr>
            <w:rStyle w:val="Hyperlink"/>
          </w:rPr>
          <w:t xml:space="preserve">https://doi.org/10.1002/lol2.10098</w:t>
        </w:r>
      </w:hyperlink>
      <w:r>
        <w:t xml:space="preserve">.</w:t>
      </w:r>
    </w:p>
    <w:bookmarkEnd w:id="184"/>
    <w:bookmarkStart w:id="186"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185">
        <w:r>
          <w:rPr>
            <w:rStyle w:val="Hyperlink"/>
          </w:rPr>
          <w:t xml:space="preserve">https://doi.org/10.1146/annurev.es.03.110172.000543</w:t>
        </w:r>
      </w:hyperlink>
      <w:r>
        <w:t xml:space="preserve">.</w:t>
      </w:r>
    </w:p>
    <w:bookmarkEnd w:id="186"/>
    <w:bookmarkStart w:id="188" w:name="ref-venables2002b"/>
    <w:p>
      <w:pPr>
        <w:pStyle w:val="Bibliography"/>
      </w:pPr>
      <w:r>
        <w:t xml:space="preserve">Venables, W. N., and B. D. Ripley. 2002.</w:t>
      </w:r>
      <w:r>
        <w:t xml:space="preserve"> </w:t>
      </w:r>
      <w:r>
        <w:rPr>
          <w:iCs/>
          <w:i/>
        </w:rPr>
        <w:t xml:space="preserve">Modern applied statistics with s</w:t>
      </w:r>
      <w:r>
        <w:t xml:space="preserve">. Springer New York.</w:t>
      </w:r>
      <w:r>
        <w:t xml:space="preserve"> </w:t>
      </w:r>
      <w:hyperlink r:id="rId187">
        <w:r>
          <w:rPr>
            <w:rStyle w:val="Hyperlink"/>
          </w:rPr>
          <w:t xml:space="preserve">https://doi.org/10.1007/978-0-387-21706-2</w:t>
        </w:r>
      </w:hyperlink>
      <w:r>
        <w:t xml:space="preserve">.</w:t>
      </w:r>
    </w:p>
    <w:bookmarkEnd w:id="188"/>
    <w:bookmarkStart w:id="190"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189">
        <w:r>
          <w:rPr>
            <w:rStyle w:val="Hyperlink"/>
          </w:rPr>
          <w:t xml:space="preserve">https://doi.org/10.1073/pnas.0905620106</w:t>
        </w:r>
      </w:hyperlink>
      <w:r>
        <w:t xml:space="preserve">.</w:t>
      </w:r>
    </w:p>
    <w:bookmarkEnd w:id="190"/>
    <w:bookmarkStart w:id="192" w:name="ref-white2017"/>
    <w:p>
      <w:pPr>
        <w:pStyle w:val="Bibliography"/>
      </w:pPr>
      <w:r>
        <w:t xml:space="preserve">White, E., and D. Kaplan. 2017. Restore or retreat? saltwater intrusion and water management in coastal wetlands.</w:t>
      </w:r>
      <w:r>
        <w:t xml:space="preserve"> </w:t>
      </w:r>
      <w:r>
        <w:rPr>
          <w:iCs/>
          <w:i/>
        </w:rPr>
        <w:t xml:space="preserve">Ecosystem Health and Sustainability</w:t>
      </w:r>
      <w:r>
        <w:t xml:space="preserve"> </w:t>
      </w:r>
      <w:r>
        <w:t xml:space="preserve">3.</w:t>
      </w:r>
      <w:r>
        <w:t xml:space="preserve"> </w:t>
      </w:r>
      <w:hyperlink r:id="rId191">
        <w:r>
          <w:rPr>
            <w:rStyle w:val="Hyperlink"/>
          </w:rPr>
          <w:t xml:space="preserve">https://doi.org/10.1002/ehs2.1258</w:t>
        </w:r>
      </w:hyperlink>
      <w:r>
        <w:t xml:space="preserve">.</w:t>
      </w:r>
    </w:p>
    <w:bookmarkEnd w:id="192"/>
    <w:bookmarkStart w:id="193" w:name="ref-wood17"/>
    <w:p>
      <w:pPr>
        <w:pStyle w:val="Bibliography"/>
      </w:pPr>
      <w:r>
        <w:t xml:space="preserve">Wood, S. N. 2017.</w:t>
      </w:r>
      <w:r>
        <w:t xml:space="preserve"> </w:t>
      </w:r>
      <w:r>
        <w:rPr>
          <w:iCs/>
          <w:i/>
        </w:rPr>
        <w:t xml:space="preserve">Generalized additive models: An introduction with r</w:t>
      </w:r>
      <w:r>
        <w:t xml:space="preserve">. 2nd ed. Chapman; Hall/CRC.</w:t>
      </w:r>
    </w:p>
    <w:bookmarkEnd w:id="193"/>
    <w:bookmarkStart w:id="195" w:name="ref-zhang2023"/>
    <w:p>
      <w:pPr>
        <w:pStyle w:val="Bibliography"/>
      </w:pPr>
      <w:r>
        <w:t xml:space="preserve">Zhang, M., H. Li, L. Zhang, and J. Liu. 2023. 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115043.</w:t>
      </w:r>
      <w:r>
        <w:t xml:space="preserve"> </w:t>
      </w:r>
      <w:hyperlink r:id="rId194">
        <w:r>
          <w:rPr>
            <w:rStyle w:val="Hyperlink"/>
          </w:rPr>
          <w:t xml:space="preserve">https://doi.org/10.1016/j.marpolbul.2023.115043</w:t>
        </w:r>
      </w:hyperlink>
      <w:r>
        <w:t xml:space="preserve">.</w:t>
      </w:r>
    </w:p>
    <w:bookmarkEnd w:id="195"/>
    <w:bookmarkStart w:id="197" w:name="ref-zieman1975"/>
    <w:p>
      <w:pPr>
        <w:pStyle w:val="Bibliography"/>
      </w:pPr>
      <w:r>
        <w:t xml:space="preserve">Zieman, J. C. 1975. Seasonal variation of turtle grass, Thalassia testudinum König, with reference to temperature and salinity effects.</w:t>
      </w:r>
      <w:r>
        <w:t xml:space="preserve"> </w:t>
      </w:r>
      <w:r>
        <w:rPr>
          <w:iCs/>
          <w:i/>
        </w:rPr>
        <w:t xml:space="preserve">Aquatic Botany</w:t>
      </w:r>
      <w:r>
        <w:t xml:space="preserve"> </w:t>
      </w:r>
      <w:r>
        <w:t xml:space="preserve">1: 107–123.</w:t>
      </w:r>
      <w:r>
        <w:t xml:space="preserve"> </w:t>
      </w:r>
      <w:hyperlink r:id="rId196">
        <w:r>
          <w:rPr>
            <w:rStyle w:val="Hyperlink"/>
          </w:rPr>
          <w:t xml:space="preserve">https://doi.org/10.1016/0304-3770(75)90016-9</w:t>
        </w:r>
      </w:hyperlink>
      <w:r>
        <w:t xml:space="preserve">.</w:t>
      </w:r>
    </w:p>
    <w:bookmarkEnd w:id="197"/>
    <w:bookmarkStart w:id="199" w:name="ref-zuur2009a"/>
    <w:p>
      <w:pPr>
        <w:pStyle w:val="Bibliography"/>
      </w:pPr>
      <w:r>
        <w:t xml:space="preserve">Zuur, A. F., E. N. Ieno, N. Walker, A. A. Saveliev, and G. M. Smith. 2009.</w:t>
      </w:r>
      <w:r>
        <w:t xml:space="preserve"> </w:t>
      </w:r>
      <w:r>
        <w:rPr>
          <w:iCs/>
          <w:i/>
        </w:rPr>
        <w:t xml:space="preserve">Mixed effects models and extensions in ecology with r</w:t>
      </w:r>
      <w:r>
        <w:t xml:space="preserve">. Springer New York.</w:t>
      </w:r>
      <w:r>
        <w:t xml:space="preserve"> </w:t>
      </w:r>
      <w:hyperlink r:id="rId198">
        <w:r>
          <w:rPr>
            <w:rStyle w:val="Hyperlink"/>
          </w:rPr>
          <w:t xml:space="preserve">https://doi.org/10.1007/978-0-387-87458-6</w:t>
        </w:r>
      </w:hyperlink>
      <w:r>
        <w:t xml:space="preserve">.</w:t>
      </w:r>
    </w:p>
    <w:bookmarkEnd w:id="199"/>
    <w:bookmarkEnd w:id="200"/>
    <w:bookmarkEnd w:id="201"/>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40" Target="media/rId40.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44" Target="media/rId44.png" /><Relationship Type="http://schemas.openxmlformats.org/officeDocument/2006/relationships/image" Id="rId64" Target="media/rId64.png" /><Relationship Type="http://schemas.openxmlformats.org/officeDocument/2006/relationships/hyperlink" Id="rId90" Target="https://CRAN.R-project.org/package=SPEI" TargetMode="External" /><Relationship Type="http://schemas.openxmlformats.org/officeDocument/2006/relationships/hyperlink" Id="rId102" Target="https://CRAN.R-project.org/package=rnoaa" TargetMode="External" /><Relationship Type="http://schemas.openxmlformats.org/officeDocument/2006/relationships/hyperlink" Id="rId176" Target="https://data-swfwmd.opendata.arcgis.com/datasets/seagrass-in-2022" TargetMode="External" /><Relationship Type="http://schemas.openxmlformats.org/officeDocument/2006/relationships/hyperlink" Id="rId191" Target="https://doi.org/10.1002/ehs2.1258" TargetMode="External" /><Relationship Type="http://schemas.openxmlformats.org/officeDocument/2006/relationships/hyperlink" Id="rId92" Target="https://doi.org/10.1002/joc.3887" TargetMode="External" /><Relationship Type="http://schemas.openxmlformats.org/officeDocument/2006/relationships/hyperlink" Id="rId183" Target="https://doi.org/10.1002/lol2.10098" TargetMode="External" /><Relationship Type="http://schemas.openxmlformats.org/officeDocument/2006/relationships/hyperlink" Id="rId181" Target="https://doi.org/10.1002/nt.2620020503" TargetMode="External" /><Relationship Type="http://schemas.openxmlformats.org/officeDocument/2006/relationships/hyperlink" Id="rId187" Target="https://doi.org/10.1007/978-0-387-21706-2" TargetMode="External" /><Relationship Type="http://schemas.openxmlformats.org/officeDocument/2006/relationships/hyperlink" Id="rId198" Target="https://doi.org/10.1007/978-0-387-87458-6" TargetMode="External" /><Relationship Type="http://schemas.openxmlformats.org/officeDocument/2006/relationships/hyperlink" Id="rId134" Target="https://doi.org/10.1007/bf02691700" TargetMode="External" /><Relationship Type="http://schemas.openxmlformats.org/officeDocument/2006/relationships/hyperlink" Id="rId112" Target="https://doi.org/10.1007/s00267-005-0079-4" TargetMode="External" /><Relationship Type="http://schemas.openxmlformats.org/officeDocument/2006/relationships/hyperlink" Id="rId88" Target="https://doi.org/10.1007/s12237-019-00619-w" TargetMode="External" /><Relationship Type="http://schemas.openxmlformats.org/officeDocument/2006/relationships/hyperlink" Id="rId152" Target="https://doi.org/10.1007/s12237-023-01252-4" TargetMode="External" /><Relationship Type="http://schemas.openxmlformats.org/officeDocument/2006/relationships/hyperlink" Id="rId196" Target="https://doi.org/10.1016/0304-3770(75)90016-9" TargetMode="External" /><Relationship Type="http://schemas.openxmlformats.org/officeDocument/2006/relationships/hyperlink" Id="rId146" Target="https://doi.org/10.1016/j.dsr2.2023.105321" TargetMode="External" /><Relationship Type="http://schemas.openxmlformats.org/officeDocument/2006/relationships/hyperlink" Id="rId164" Target="https://doi.org/10.1016/j.ecolind.2015.12.007" TargetMode="External" /><Relationship Type="http://schemas.openxmlformats.org/officeDocument/2006/relationships/hyperlink" Id="rId167" Target="https://doi.org/10.1016/j.ecolind.2020.107310" TargetMode="External" /><Relationship Type="http://schemas.openxmlformats.org/officeDocument/2006/relationships/hyperlink" Id="rId114" Target="https://doi.org/10.1016/j.ecss.2014.10.003" TargetMode="External" /><Relationship Type="http://schemas.openxmlformats.org/officeDocument/2006/relationships/hyperlink" Id="rId136" Target="https://doi.org/10.1016/j.ecss.2022.108134" TargetMode="External" /><Relationship Type="http://schemas.openxmlformats.org/officeDocument/2006/relationships/hyperlink" Id="rId104" Target="https://doi.org/10.1016/j.jenvman.2018.01.025" TargetMode="External" /><Relationship Type="http://schemas.openxmlformats.org/officeDocument/2006/relationships/hyperlink" Id="rId110" Target="https://doi.org/10.1016/j.marpolbul.2010.11.017" TargetMode="External" /><Relationship Type="http://schemas.openxmlformats.org/officeDocument/2006/relationships/hyperlink" Id="rId82" Target="https://doi.org/10.1016/j.marpolbul.2022.113598" TargetMode="External" /><Relationship Type="http://schemas.openxmlformats.org/officeDocument/2006/relationships/hyperlink" Id="rId194" Target="https://doi.org/10.1016/j.marpolbul.2023.115043" TargetMode="External" /><Relationship Type="http://schemas.openxmlformats.org/officeDocument/2006/relationships/hyperlink" Id="rId74" Target="https://doi.org/10.1016/j.ocecoaman.2023.106929" TargetMode="External" /><Relationship Type="http://schemas.openxmlformats.org/officeDocument/2006/relationships/hyperlink" Id="rId120" Target="https://doi.org/10.1029/wr018i001p00107" TargetMode="External" /><Relationship Type="http://schemas.openxmlformats.org/officeDocument/2006/relationships/hyperlink" Id="rId108" Target="https://doi.org/10.1038/ngeo1477" TargetMode="External" /><Relationship Type="http://schemas.openxmlformats.org/officeDocument/2006/relationships/hyperlink" Id="rId148" Target="https://doi.org/10.1038/s41467-018-03732-9" TargetMode="External" /><Relationship Type="http://schemas.openxmlformats.org/officeDocument/2006/relationships/hyperlink" Id="rId189" Target="https://doi.org/10.1073/pnas.0905620106" TargetMode="External" /><Relationship Type="http://schemas.openxmlformats.org/officeDocument/2006/relationships/hyperlink" Id="rId118" Target="https://doi.org/10.1073/pnas.2220678120" TargetMode="External" /><Relationship Type="http://schemas.openxmlformats.org/officeDocument/2006/relationships/hyperlink" Id="rId150" Target="https://doi.org/10.1093/biosci/bix058" TargetMode="External" /><Relationship Type="http://schemas.openxmlformats.org/officeDocument/2006/relationships/hyperlink" Id="rId122" Target="https://doi.org/10.1101/sqb.1957.022.01.039" TargetMode="External" /><Relationship Type="http://schemas.openxmlformats.org/officeDocument/2006/relationships/hyperlink" Id="rId98" Target="https://doi.org/10.1111/1365-2664.13169" TargetMode="External" /><Relationship Type="http://schemas.openxmlformats.org/officeDocument/2006/relationships/hyperlink" Id="rId156" Target="https://doi.org/10.1111/gcb.13084" TargetMode="External" /><Relationship Type="http://schemas.openxmlformats.org/officeDocument/2006/relationships/hyperlink" Id="rId154" Target="https://doi.org/10.1126/sciadv.abc6434" TargetMode="External" /><Relationship Type="http://schemas.openxmlformats.org/officeDocument/2006/relationships/hyperlink" Id="rId185" Target="https://doi.org/10.1146/annurev.es.03.110172.000543" TargetMode="External" /><Relationship Type="http://schemas.openxmlformats.org/officeDocument/2006/relationships/hyperlink" Id="rId170" Target="https://doi.org/10.1353/sgo.2017.0026" TargetMode="External" /><Relationship Type="http://schemas.openxmlformats.org/officeDocument/2006/relationships/hyperlink" Id="rId76" Target="https://doi.org/10.18637/jss.v067.i01" TargetMode="External" /><Relationship Type="http://schemas.openxmlformats.org/officeDocument/2006/relationships/hyperlink" Id="rId86" Target="https://doi.org/10.21105/joss.03485" TargetMode="External" /><Relationship Type="http://schemas.openxmlformats.org/officeDocument/2006/relationships/hyperlink" Id="rId174" Target="https://doi.org/10.21203/rs.3.rs-3528678/v110.1016/j.jenvman.2018.01.025" TargetMode="External" /><Relationship Type="http://schemas.openxmlformats.org/officeDocument/2006/relationships/hyperlink" Id="rId100" Target="https://doi.org/10.2307/1352383" TargetMode="External" /><Relationship Type="http://schemas.openxmlformats.org/officeDocument/2006/relationships/hyperlink" Id="rId142" Target="https://doi.org/10.2307/1932688" TargetMode="External" /><Relationship Type="http://schemas.openxmlformats.org/officeDocument/2006/relationships/hyperlink" Id="rId116" Target="https://doi.org/10.3354/meps11923" TargetMode="External" /><Relationship Type="http://schemas.openxmlformats.org/officeDocument/2006/relationships/hyperlink" Id="rId94" Target="https://doi.org/10.3354/meps147277" TargetMode="External" /><Relationship Type="http://schemas.openxmlformats.org/officeDocument/2006/relationships/hyperlink" Id="rId159" Target="https://doi.org/10.3354/meps322099" TargetMode="External" /><Relationship Type="http://schemas.openxmlformats.org/officeDocument/2006/relationships/hyperlink" Id="rId84" Target="https://doi.org/10.3389/fevo.2023.1070266" TargetMode="External" /><Relationship Type="http://schemas.openxmlformats.org/officeDocument/2006/relationships/hyperlink" Id="rId178" Target="https://doi.org/10.3389/fevo.2023.1134069" TargetMode="External" /><Relationship Type="http://schemas.openxmlformats.org/officeDocument/2006/relationships/hyperlink" Id="rId106" Target="https://doi.org/10.3389/fpls.2021.612947" TargetMode="External" /><Relationship Type="http://schemas.openxmlformats.org/officeDocument/2006/relationships/hyperlink" Id="rId78" Target="https://doi.org/10.5281/zenodo.3648664" TargetMode="External" /><Relationship Type="http://schemas.openxmlformats.org/officeDocument/2006/relationships/hyperlink" Id="rId80" Target="https://doi.org/10.5281/zenodo.4319936" TargetMode="External" /><Relationship Type="http://schemas.openxmlformats.org/officeDocument/2006/relationships/hyperlink" Id="rId140" Target="https://drive.google.com/file/d/1-1Jq9vly5EvVwEp698brlBucXjSMDbNn/view?usp=sharing" TargetMode="External" /><Relationship Type="http://schemas.openxmlformats.org/officeDocument/2006/relationships/hyperlink" Id="rId172" Target="https://drive.google.com/file/d/1BCviGfLykVX-p1tA3b0306deP3pKMagr/view?usp=drivesdk" TargetMode="External" /><Relationship Type="http://schemas.openxmlformats.org/officeDocument/2006/relationships/hyperlink" Id="rId162" Target="https://drive.google.com/file/d/1Hp0l_qtbxp1JxKJoGatdyuANSzQrpL0I/view?usp=drivesdk" TargetMode="External" /><Relationship Type="http://schemas.openxmlformats.org/officeDocument/2006/relationships/hyperlink" Id="rId128" Target="https://drive.google.com/file/d/1KARuSC5fGx05MuT1wiOQFWNXysBokkQl/view?usp=share_link" TargetMode="External" /><Relationship Type="http://schemas.openxmlformats.org/officeDocument/2006/relationships/hyperlink" Id="rId124" Target="https://drive.google.com/file/d/1kZkvuprvsMyN9nPS5PHYvXHyo1KQxKTr/view?usp=drivesdk" TargetMode="External" /><Relationship Type="http://schemas.openxmlformats.org/officeDocument/2006/relationships/hyperlink" Id="rId132" Target="https://drive.google.com/file/d/1sNp3FpjdeOjATZ9nDRRAiXEOqQen9W_p/view?usp=sharing" TargetMode="External" /><Relationship Type="http://schemas.openxmlformats.org/officeDocument/2006/relationships/hyperlink" Id="rId96" Target="https://drive.google.com/file/d/1tUkGW7TRAJ_skWj-UemDVIJnUAsy0ITf/view?usp=drivesdk" TargetMode="External" /><Relationship Type="http://schemas.openxmlformats.org/officeDocument/2006/relationships/hyperlink" Id="rId126" Target="https://sarasota.wateratlas.usf.edu/upload/documents/Final_AP_Seagrass_Report_040422.pdf" TargetMode="External" /><Relationship Type="http://schemas.openxmlformats.org/officeDocument/2006/relationships/hyperlink" Id="rId25" Target="https://tampabay.wateratlas.usf.edu/seagrass-monitoring/" TargetMode="External" /><Relationship Type="http://schemas.openxmlformats.org/officeDocument/2006/relationships/hyperlink" Id="rId27" Target="https://wateratlas.usf.edu/" TargetMode="External" /><Relationship Type="http://schemas.openxmlformats.org/officeDocument/2006/relationships/hyperlink" Id="rId144"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0" Target="https://CRAN.R-project.org/package=SPEI" TargetMode="External" /><Relationship Type="http://schemas.openxmlformats.org/officeDocument/2006/relationships/hyperlink" Id="rId102" Target="https://CRAN.R-project.org/package=rnoaa" TargetMode="External" /><Relationship Type="http://schemas.openxmlformats.org/officeDocument/2006/relationships/hyperlink" Id="rId176" Target="https://data-swfwmd.opendata.arcgis.com/datasets/seagrass-in-2022" TargetMode="External" /><Relationship Type="http://schemas.openxmlformats.org/officeDocument/2006/relationships/hyperlink" Id="rId191" Target="https://doi.org/10.1002/ehs2.1258" TargetMode="External" /><Relationship Type="http://schemas.openxmlformats.org/officeDocument/2006/relationships/hyperlink" Id="rId92" Target="https://doi.org/10.1002/joc.3887" TargetMode="External" /><Relationship Type="http://schemas.openxmlformats.org/officeDocument/2006/relationships/hyperlink" Id="rId183" Target="https://doi.org/10.1002/lol2.10098" TargetMode="External" /><Relationship Type="http://schemas.openxmlformats.org/officeDocument/2006/relationships/hyperlink" Id="rId181" Target="https://doi.org/10.1002/nt.2620020503" TargetMode="External" /><Relationship Type="http://schemas.openxmlformats.org/officeDocument/2006/relationships/hyperlink" Id="rId187" Target="https://doi.org/10.1007/978-0-387-21706-2" TargetMode="External" /><Relationship Type="http://schemas.openxmlformats.org/officeDocument/2006/relationships/hyperlink" Id="rId198" Target="https://doi.org/10.1007/978-0-387-87458-6" TargetMode="External" /><Relationship Type="http://schemas.openxmlformats.org/officeDocument/2006/relationships/hyperlink" Id="rId134" Target="https://doi.org/10.1007/bf02691700" TargetMode="External" /><Relationship Type="http://schemas.openxmlformats.org/officeDocument/2006/relationships/hyperlink" Id="rId112" Target="https://doi.org/10.1007/s00267-005-0079-4" TargetMode="External" /><Relationship Type="http://schemas.openxmlformats.org/officeDocument/2006/relationships/hyperlink" Id="rId88" Target="https://doi.org/10.1007/s12237-019-00619-w" TargetMode="External" /><Relationship Type="http://schemas.openxmlformats.org/officeDocument/2006/relationships/hyperlink" Id="rId152" Target="https://doi.org/10.1007/s12237-023-01252-4" TargetMode="External" /><Relationship Type="http://schemas.openxmlformats.org/officeDocument/2006/relationships/hyperlink" Id="rId196" Target="https://doi.org/10.1016/0304-3770(75)90016-9" TargetMode="External" /><Relationship Type="http://schemas.openxmlformats.org/officeDocument/2006/relationships/hyperlink" Id="rId146" Target="https://doi.org/10.1016/j.dsr2.2023.105321" TargetMode="External" /><Relationship Type="http://schemas.openxmlformats.org/officeDocument/2006/relationships/hyperlink" Id="rId164" Target="https://doi.org/10.1016/j.ecolind.2015.12.007" TargetMode="External" /><Relationship Type="http://schemas.openxmlformats.org/officeDocument/2006/relationships/hyperlink" Id="rId167" Target="https://doi.org/10.1016/j.ecolind.2020.107310" TargetMode="External" /><Relationship Type="http://schemas.openxmlformats.org/officeDocument/2006/relationships/hyperlink" Id="rId114" Target="https://doi.org/10.1016/j.ecss.2014.10.003" TargetMode="External" /><Relationship Type="http://schemas.openxmlformats.org/officeDocument/2006/relationships/hyperlink" Id="rId136" Target="https://doi.org/10.1016/j.ecss.2022.108134" TargetMode="External" /><Relationship Type="http://schemas.openxmlformats.org/officeDocument/2006/relationships/hyperlink" Id="rId104" Target="https://doi.org/10.1016/j.jenvman.2018.01.025" TargetMode="External" /><Relationship Type="http://schemas.openxmlformats.org/officeDocument/2006/relationships/hyperlink" Id="rId110" Target="https://doi.org/10.1016/j.marpolbul.2010.11.017" TargetMode="External" /><Relationship Type="http://schemas.openxmlformats.org/officeDocument/2006/relationships/hyperlink" Id="rId82" Target="https://doi.org/10.1016/j.marpolbul.2022.113598" TargetMode="External" /><Relationship Type="http://schemas.openxmlformats.org/officeDocument/2006/relationships/hyperlink" Id="rId194" Target="https://doi.org/10.1016/j.marpolbul.2023.115043" TargetMode="External" /><Relationship Type="http://schemas.openxmlformats.org/officeDocument/2006/relationships/hyperlink" Id="rId74" Target="https://doi.org/10.1016/j.ocecoaman.2023.106929" TargetMode="External" /><Relationship Type="http://schemas.openxmlformats.org/officeDocument/2006/relationships/hyperlink" Id="rId120" Target="https://doi.org/10.1029/wr018i001p00107" TargetMode="External" /><Relationship Type="http://schemas.openxmlformats.org/officeDocument/2006/relationships/hyperlink" Id="rId108" Target="https://doi.org/10.1038/ngeo1477" TargetMode="External" /><Relationship Type="http://schemas.openxmlformats.org/officeDocument/2006/relationships/hyperlink" Id="rId148" Target="https://doi.org/10.1038/s41467-018-03732-9" TargetMode="External" /><Relationship Type="http://schemas.openxmlformats.org/officeDocument/2006/relationships/hyperlink" Id="rId189" Target="https://doi.org/10.1073/pnas.0905620106" TargetMode="External" /><Relationship Type="http://schemas.openxmlformats.org/officeDocument/2006/relationships/hyperlink" Id="rId118" Target="https://doi.org/10.1073/pnas.2220678120" TargetMode="External" /><Relationship Type="http://schemas.openxmlformats.org/officeDocument/2006/relationships/hyperlink" Id="rId150" Target="https://doi.org/10.1093/biosci/bix058" TargetMode="External" /><Relationship Type="http://schemas.openxmlformats.org/officeDocument/2006/relationships/hyperlink" Id="rId122" Target="https://doi.org/10.1101/sqb.1957.022.01.039" TargetMode="External" /><Relationship Type="http://schemas.openxmlformats.org/officeDocument/2006/relationships/hyperlink" Id="rId98" Target="https://doi.org/10.1111/1365-2664.13169" TargetMode="External" /><Relationship Type="http://schemas.openxmlformats.org/officeDocument/2006/relationships/hyperlink" Id="rId156" Target="https://doi.org/10.1111/gcb.13084" TargetMode="External" /><Relationship Type="http://schemas.openxmlformats.org/officeDocument/2006/relationships/hyperlink" Id="rId154" Target="https://doi.org/10.1126/sciadv.abc6434" TargetMode="External" /><Relationship Type="http://schemas.openxmlformats.org/officeDocument/2006/relationships/hyperlink" Id="rId185" Target="https://doi.org/10.1146/annurev.es.03.110172.000543" TargetMode="External" /><Relationship Type="http://schemas.openxmlformats.org/officeDocument/2006/relationships/hyperlink" Id="rId170" Target="https://doi.org/10.1353/sgo.2017.0026" TargetMode="External" /><Relationship Type="http://schemas.openxmlformats.org/officeDocument/2006/relationships/hyperlink" Id="rId76" Target="https://doi.org/10.18637/jss.v067.i01" TargetMode="External" /><Relationship Type="http://schemas.openxmlformats.org/officeDocument/2006/relationships/hyperlink" Id="rId86" Target="https://doi.org/10.21105/joss.03485" TargetMode="External" /><Relationship Type="http://schemas.openxmlformats.org/officeDocument/2006/relationships/hyperlink" Id="rId174" Target="https://doi.org/10.21203/rs.3.rs-3528678/v110.1016/j.jenvman.2018.01.025" TargetMode="External" /><Relationship Type="http://schemas.openxmlformats.org/officeDocument/2006/relationships/hyperlink" Id="rId100" Target="https://doi.org/10.2307/1352383" TargetMode="External" /><Relationship Type="http://schemas.openxmlformats.org/officeDocument/2006/relationships/hyperlink" Id="rId142" Target="https://doi.org/10.2307/1932688" TargetMode="External" /><Relationship Type="http://schemas.openxmlformats.org/officeDocument/2006/relationships/hyperlink" Id="rId116" Target="https://doi.org/10.3354/meps11923" TargetMode="External" /><Relationship Type="http://schemas.openxmlformats.org/officeDocument/2006/relationships/hyperlink" Id="rId94" Target="https://doi.org/10.3354/meps147277" TargetMode="External" /><Relationship Type="http://schemas.openxmlformats.org/officeDocument/2006/relationships/hyperlink" Id="rId159" Target="https://doi.org/10.3354/meps322099" TargetMode="External" /><Relationship Type="http://schemas.openxmlformats.org/officeDocument/2006/relationships/hyperlink" Id="rId84" Target="https://doi.org/10.3389/fevo.2023.1070266" TargetMode="External" /><Relationship Type="http://schemas.openxmlformats.org/officeDocument/2006/relationships/hyperlink" Id="rId178" Target="https://doi.org/10.3389/fevo.2023.1134069" TargetMode="External" /><Relationship Type="http://schemas.openxmlformats.org/officeDocument/2006/relationships/hyperlink" Id="rId106" Target="https://doi.org/10.3389/fpls.2021.612947" TargetMode="External" /><Relationship Type="http://schemas.openxmlformats.org/officeDocument/2006/relationships/hyperlink" Id="rId78" Target="https://doi.org/10.5281/zenodo.3648664" TargetMode="External" /><Relationship Type="http://schemas.openxmlformats.org/officeDocument/2006/relationships/hyperlink" Id="rId80" Target="https://doi.org/10.5281/zenodo.4319936" TargetMode="External" /><Relationship Type="http://schemas.openxmlformats.org/officeDocument/2006/relationships/hyperlink" Id="rId140" Target="https://drive.google.com/file/d/1-1Jq9vly5EvVwEp698brlBucXjSMDbNn/view?usp=sharing" TargetMode="External" /><Relationship Type="http://schemas.openxmlformats.org/officeDocument/2006/relationships/hyperlink" Id="rId172" Target="https://drive.google.com/file/d/1BCviGfLykVX-p1tA3b0306deP3pKMagr/view?usp=drivesdk" TargetMode="External" /><Relationship Type="http://schemas.openxmlformats.org/officeDocument/2006/relationships/hyperlink" Id="rId162" Target="https://drive.google.com/file/d/1Hp0l_qtbxp1JxKJoGatdyuANSzQrpL0I/view?usp=drivesdk" TargetMode="External" /><Relationship Type="http://schemas.openxmlformats.org/officeDocument/2006/relationships/hyperlink" Id="rId128" Target="https://drive.google.com/file/d/1KARuSC5fGx05MuT1wiOQFWNXysBokkQl/view?usp=share_link" TargetMode="External" /><Relationship Type="http://schemas.openxmlformats.org/officeDocument/2006/relationships/hyperlink" Id="rId124" Target="https://drive.google.com/file/d/1kZkvuprvsMyN9nPS5PHYvXHyo1KQxKTr/view?usp=drivesdk" TargetMode="External" /><Relationship Type="http://schemas.openxmlformats.org/officeDocument/2006/relationships/hyperlink" Id="rId132" Target="https://drive.google.com/file/d/1sNp3FpjdeOjATZ9nDRRAiXEOqQen9W_p/view?usp=sharing" TargetMode="External" /><Relationship Type="http://schemas.openxmlformats.org/officeDocument/2006/relationships/hyperlink" Id="rId96" Target="https://drive.google.com/file/d/1tUkGW7TRAJ_skWj-UemDVIJnUAsy0ITf/view?usp=drivesdk" TargetMode="External" /><Relationship Type="http://schemas.openxmlformats.org/officeDocument/2006/relationships/hyperlink" Id="rId126" Target="https://sarasota.wateratlas.usf.edu/upload/documents/Final_AP_Seagrass_Report_040422.pdf" TargetMode="External" /><Relationship Type="http://schemas.openxmlformats.org/officeDocument/2006/relationships/hyperlink" Id="rId25" Target="https://tampabay.wateratlas.usf.edu/seagrass-monitoring/" TargetMode="External" /><Relationship Type="http://schemas.openxmlformats.org/officeDocument/2006/relationships/hyperlink" Id="rId27" Target="https://wateratlas.usf.edu/" TargetMode="External" /><Relationship Type="http://schemas.openxmlformats.org/officeDocument/2006/relationships/hyperlink" Id="rId144"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 Kerry Flaherty-Walia1, Sheila Scolaro1, Maya C Burke1, and Edward T Sherwood1</dc:creator>
  <cp:keywords/>
  <dcterms:created xsi:type="dcterms:W3CDTF">2023-12-06T14:55:48Z</dcterms:created>
  <dcterms:modified xsi:type="dcterms:W3CDTF">2023-12-06T14:55:48Z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