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0.png" ContentType="image/png"/>
  <Override PartName="/word/media/rId58.png" ContentType="image/png"/>
  <Override PartName="/word/media/rId42.png" ContentType="image/png"/>
  <Override PartName="/word/media/rId54.png" ContentType="image/png"/>
  <Override PartName="/word/media/rId62.png" ContentType="image/png"/>
  <Override PartName="/word/media/rId46.png" ContentType="image/png"/>
  <Override PartName="/word/media/rId6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evidence</w:t>
      </w:r>
      <w:r>
        <w:t xml:space="preserve"> </w:t>
      </w:r>
      <w:r>
        <w:t xml:space="preserve">of</w:t>
      </w:r>
      <w:r>
        <w:t xml:space="preserve"> </w:t>
      </w:r>
      <w:r>
        <w:t xml:space="preserve">climate-related</w:t>
      </w:r>
      <w:r>
        <w:t xml:space="preserve"> </w:t>
      </w:r>
      <w:r>
        <w:t xml:space="preserve">suboptimal</w:t>
      </w:r>
      <w:r>
        <w:t xml:space="preserve"> </w:t>
      </w:r>
      <w:r>
        <w:t xml:space="preserve">conditions</w:t>
      </w:r>
      <w:r>
        <w:t xml:space="preserve"> </w:t>
      </w:r>
      <w:r>
        <w:t xml:space="preserve">for</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Climate change is an existential threat to natural resources that sustain human health and the environment. In Tampa Bay, Florida (USA), seagrass coverage has declined since 2016 by nearly a third (11,518 acres), despite sustained reductions of nitrogen loads supportive of light environments for growth. Changing physical water quality conditions related to climate change may be stressing seagrasses beyond their optimal growth ranges, requiring an assessment to determine if this decline can be linked to climate stress. Three datasets of varying sampling design and coverage were evaluated to characterize physicochemical environments in Tampa Bay and the potential relationships with seagrass change. Over the last fifty years, Tampa Bay has become hotter and fresher with water temperature increasing by 0.03 - 0.07</w:t>
      </w:r>
      <w:r>
        <w:t xml:space="preserve"> </w:t>
      </w:r>
      <m:oMath>
        <m:sSup>
          <m:e>
            <m:r>
              <m:t>​</m:t>
            </m:r>
          </m:e>
          <m:sup>
            <m:r>
              <m:rPr>
                <m:sty m:val="p"/>
              </m:rPr>
              <m:t>∘</m:t>
            </m:r>
          </m:sup>
        </m:sSup>
      </m:oMath>
      <w:r>
        <w:t xml:space="preserve">C per year and salinity decreasing by 0.04 - 0.2 PSU per year. These changes varied spatially and seasonally, with the most dramatic changes observed in the upper bay during the summer months. Simple linear models provided limited evidence that recent seagrass declines are associated with hotter and fresher conditions. Trends in warming and increased precipitation in the region are likely to continue, further creating suboptimal conditions for seagrasses in Tampa Bay. These results should compel resource managers to consider the likelihood that reduced resilience of estuarine resources due to shifting ecological baselines from climate change could complicate long-standing management paradigms. While conventional management approaches that focus on limiting nutrient loads should be continued, their future effectiveness may be limited and warrant additional, complementary interventions to maintain ecosystem health into the future.</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at a global scale. Seagrasses are fundamental indicators of ecosystem health</w:t>
      </w:r>
      <w:r>
        <w:t xml:space="preserve"> </w:t>
      </w:r>
      <w:r>
        <w:t xml:space="preserve">(Roca et al. 2016; Orth et al. 2017)</w:t>
      </w:r>
      <w:r>
        <w:t xml:space="preserve">, while also serving as foundational species that provide numerous ecosystem services</w:t>
      </w:r>
      <w:r>
        <w:t xml:space="preserve"> </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to, if not more significant than, other interconnected critical coastal environments such as mangroves and salt marshes</w:t>
      </w:r>
      <w:r>
        <w:t xml:space="preserve"> </w:t>
      </w:r>
      <w:r>
        <w:t xml:space="preserve">(Duarte et al. 2008)</w:t>
      </w:r>
      <w:r>
        <w:t xml:space="preserve">, which threatens the natural and economic services that these habitats provide. Losses have been attributed to numerous stressors including decline in light environments with nutrient enrichment, sedimentation, and physical disturbance primarily from human activities</w:t>
      </w:r>
      <w:r>
        <w:t xml:space="preserve"> </w:t>
      </w:r>
      <w:r>
        <w:t xml:space="preserve">(Duarte 1995; Margaret O. Hall et al. 1999; Orth et al. 2006; Burkholder et al. 2007)</w:t>
      </w:r>
      <w:r>
        <w:t xml:space="preserve">. Furthermore, natural disturbances such as storm events and disease have also been implicated</w:t>
      </w:r>
      <w:r>
        <w:t xml:space="preserve"> </w:t>
      </w:r>
      <w:r>
        <w:t xml:space="preserve">(Robblee et al. 1991; Tomasko et al. 2020)</w:t>
      </w:r>
      <w:r>
        <w:t xml:space="preserve">. Contemporary management actions and interventions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stressed coastal environments requires management actions that support vegetative growth, reproduction, and coverage expansion. A long-standing approach adopted by numerous management entities has been the control of external nutrient inputs in systems where excessive phytoplankton growth has created poor light environments for seagrasses</w:t>
      </w:r>
      <w:r>
        <w:t xml:space="preserve"> </w:t>
      </w:r>
      <w:r>
        <w:t xml:space="preserve">(Boesch et al. 2001; Greening and Janicki 2006; Greening et al.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external nutrient loads.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Complementary management actions, in addition to nutrient reductions, are needed in these situations. Management actions with co-benefits are much more effective in estuaries that are stressed but not past critical thresholds that produce an alternative ecosystem state.</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increasing temperature and alteration of precipitation patterns. These changes will profoundly alter physicochemical habitats, creating suboptimal or uninhabitable conditions for many species</w:t>
      </w:r>
      <w:r>
        <w:t xml:space="preserve"> </w:t>
      </w:r>
      <w:r>
        <w:t xml:space="preserve">(Madeira et al. 2012; Lefcheck et al. 2017;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effects of decreased water clarity for seagrasses in shallow habitats were exacerbated by acute warming related to climate change, demonstrating a concerning synergy of multiple stressors. Species shifts are also expected to occur as changing physical conditions decrease the competitive advantages of historically abundant species. Again in Chesapeake Bay, the abundance of widgeongrass (</w:t>
      </w:r>
      <w:r>
        <w:rPr>
          <w:iCs/>
          <w:i/>
        </w:rPr>
        <w:t xml:space="preserve">Ruppia maritima</w:t>
      </w:r>
      <w:r>
        <w:t xml:space="preserve">) has been mediated by nutrient reductions, while also outcompeting and replacing formerly dominant eelgrass (</w:t>
      </w:r>
      <w:r>
        <w:rPr>
          <w:iCs/>
          <w:i/>
        </w:rPr>
        <w:t xml:space="preserve">Zostera marina</w:t>
      </w:r>
      <w:r>
        <w:t xml:space="preserve">) given higher tolerance to increased temperatures</w:t>
      </w:r>
      <w:r>
        <w:t xml:space="preserve"> </w:t>
      </w:r>
      <w:r>
        <w:t xml:space="preserve">(Hensel et al. 2023)</w:t>
      </w:r>
      <w:r>
        <w:t xml:space="preserve">. Changing frequency and severity of precipitation patterns may further alter the distribution and abundance of seagrasses by pushing species outside of optimal salinity tolerance ranges</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Seagrasses may respond differently under individual or multiple stressors</w:t>
      </w:r>
      <w:r>
        <w:t xml:space="preserve"> </w:t>
      </w:r>
      <w:r>
        <w:t xml:space="preserve">(Lefcheck et al. 2017; Zhang et al. 2023)</w:t>
      </w:r>
      <w:r>
        <w:t xml:space="preserve">, suggesting place-based assessments of response to climate change provide valuable insights for managers responsible for maintaining ecological resources.</w:t>
      </w:r>
    </w:p>
    <w:p>
      <w:pPr>
        <w:pStyle w:val="BodyText"/>
      </w:pPr>
      <w:r>
        <w:t xml:space="preserve">In Tampa Bay, Florida, seagrasses are a primary indicator of bay health that have been the focus of management efforts over the last thirty years</w:t>
      </w:r>
      <w:r>
        <w:t xml:space="preserve"> </w:t>
      </w:r>
      <w:r>
        <w:t xml:space="preserve">(Sherwood et al. 2017)</w:t>
      </w:r>
      <w:r>
        <w:t xml:space="preserve">. Through successful reduction of nitrogen loads, seagrasses have recovered from a low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 with adequate light penetration that has been historically shown to support growth</w:t>
      </w:r>
      <w:r>
        <w:t xml:space="preserve"> </w:t>
      </w:r>
      <w:r>
        <w:t xml:space="preserve">(Janicki and Wade 1996; Beck 2020a)</w:t>
      </w:r>
      <w:r>
        <w:t xml:space="preserve">. Factors that have influenced this recent decline are unknown and the effects of climate change on physical conditions have been implicated as potential drivers.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and to develop models that can explain relationships of seagrass change with water quality conditions.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sampling designs and temporal coverage were used to assess the primary hypothesis that Tampa Bay is trending towards hotter and fresher conditions that are likely pushing seagrasses beyond their optimal tolerance ranges. This hypothesis was generated from preliminary assessments of datasets used herein and discussions with the regional scientific and management community, despite information in the primary literature suggesting the contrary for salinity</w:t>
      </w:r>
      <w:r>
        <w:t xml:space="preserve"> </w:t>
      </w:r>
      <w:r>
        <w:t xml:space="preserve">(e.g., Costa et al. 2023)</w:t>
      </w:r>
      <w:r>
        <w:t xml:space="preserve">. This analysis was supported by 30-year seagrass datasets describing approximate biennial coverage of all seagrasses, annual transect monitoring describing cover of individual species, and synoptic seagrass data collected with the water quality surveys. Specific focus was on the periods prior to and after 2016, when seagrasses recovered baywide and then declined despite water quality conditions remaining relatively stable. Our primary goal was to relate recent seagrass changes to climate stressors to provide a motivating example for the management community in the Tampa Bay region that a shifting ecological baseline presents new challenges beyond the known success story of long-term bay recovery. The results are also provided as a cautionary example of the subtle but increasing role of climate-related stressors on the resiliency of estuarine systems at the tropical-temperate boundary, prompting a reassessment of existing management paradigms to accommodate current and anticipated future conditions.</w:t>
      </w:r>
    </w:p>
    <w:bookmarkEnd w:id="22"/>
    <w:bookmarkStart w:id="34"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that contribute to a majority of freshwater inflow to the bay. Tampa Bay straddles the tropical and temperate boundary of central Florida characterized by warm, humid conditions and a distinct rainy season during the summer</w:t>
      </w:r>
      <w:r>
        <w:t xml:space="preserve"> </w:t>
      </w:r>
      <w:r>
        <w:t xml:space="preserve">(Morrison et al. 2006)</w:t>
      </w:r>
      <w:r>
        <w:t xml:space="preserve">. El Niño weather events have also been associated with prolonged periods of heavy rainfall contributing to seagrass reductions through increased stormwater nutrient loads</w:t>
      </w:r>
      <w:r>
        <w:t xml:space="preserve"> </w:t>
      </w:r>
      <w:r>
        <w:t xml:space="preserve">(Greening and Janicki 2006; Morrison et al. 2006)</w:t>
      </w:r>
      <w:r>
        <w:t xml:space="preserve">. The watershed is heavily developed and includes over 3 million people</w:t>
      </w:r>
      <w:r>
        <w:t xml:space="preserve"> </w:t>
      </w:r>
      <w:r>
        <w:t xml:space="preserve">(Todd et al. 2023)</w:t>
      </w:r>
      <w:r>
        <w:t xml:space="preserve"> </w:t>
      </w:r>
      <w:r>
        <w:t xml:space="preserve">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 Important subtidal habitats include seagrasses, hard bottom, tidal flats, and oyster reefs, where a majority of management efforts have historically focused on restoring and maintaining seagrass cover</w:t>
      </w:r>
      <w:r>
        <w:t xml:space="preserve"> </w:t>
      </w:r>
      <w:r>
        <w:t xml:space="preserve">(Sherwood et al. 2017)</w:t>
      </w:r>
      <w:r>
        <w:t xml:space="preserve">. Additional native habitats include intertidal wetlands (mangroves, salt marshes, salt barrens) and pine forests, oak hammocks, and freshwater wetlands present in upland habitats</w:t>
      </w:r>
      <w:r>
        <w:t xml:space="preserve"> </w:t>
      </w:r>
      <w:r>
        <w:t xml:space="preserve">(Robison et al. 2020)</w:t>
      </w:r>
      <w:r>
        <w:t xml:space="preserve">. Losses of native uplands and potentially restorable habitats to development in the watershed from 1990 to 2020 have been estimated at 188,429 acres</w:t>
      </w:r>
      <w:r>
        <w:t xml:space="preserve"> </w:t>
      </w:r>
      <w:r>
        <w:t xml:space="preserve">(76,254 ha, Beck et al. 2023)</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 and manmade flood control conveyances</w:t>
      </w:r>
      <w:r>
        <w:t xml:space="preserve"> </w:t>
      </w:r>
      <w:r>
        <w:t xml:space="preserve">(Janicki Environmental, Inc. 2023)</w:t>
      </w:r>
      <w:r>
        <w:t xml:space="preserve">. Notably, Old Tampa Bay has restricted circulation from multiple land bridges associated with causeways that traverse the bay</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 prior to wastewater regulation, particularly in Old Tampa Bay and Hillsborough Bay</w:t>
      </w:r>
      <w:r>
        <w:t xml:space="preserve"> </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of a successful management paradigm through the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(Figure</w:t>
      </w:r>
      <w:r>
        <w:t xml:space="preserve"> </w:t>
      </w:r>
      <w:hyperlink w:anchor="fig-seagrasschg">
        <w:r>
          <w:rPr>
            <w:rStyle w:val="Hyperlink"/>
          </w:rPr>
          <w:t xml:space="preserve">2</w:t>
        </w:r>
      </w:hyperlink>
      <w:r>
        <w:t xml:space="preserve">a). Throughout this same period, nitrogen load estimates decreased by about 2/3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projects in the watershed</w:t>
      </w:r>
      <w:r>
        <w:t xml:space="preserve"> </w:t>
      </w:r>
      <w:r>
        <w:t xml:space="preserve">(Greening et al. 2014; Beck et al. 2019)</w:t>
      </w:r>
      <w:r>
        <w:t xml:space="preserve">. These reductions in nutrient loadings resulted in large scale reductions in chlorophyll concentrations and light attenuation in the water column, creating favorable environments for seagrass growth. The most dramatic improvements in seagrass cover were observed in Old Tampa Bay where coverage increased by 122% or 4,465 acres (2,477 ha) from 1988 estimates to a total of 11,247 acres (4,511 ha). Similar gains were observed in Middle Tampa Bay where seagrass cover increased by 86% or 4,465 acres (1,807 ha) to a total of 9,652 acres (3,906 ha) and Hillsborough Bay where cover increased from nearly zero acres to a total of 2,007 acres (810 ha). Seagrasses have generally been stable over time in Lower Tampa Bay.</w:t>
      </w:r>
    </w:p>
    <w:p>
      <w:pPr>
        <w:pStyle w:val="BodyText"/>
      </w:pPr>
      <w:r>
        <w:t xml:space="preserve">From 2016 to present, dramatic losses of seagrasses have been observed in Tampa Bay, despite nutrient loading and light attenuation remaining relatively stable (Figure</w:t>
      </w:r>
      <w:r>
        <w:t xml:space="preserve"> </w:t>
      </w:r>
      <w:hyperlink w:anchor="fig-seagrasschg">
        <w:r>
          <w:rPr>
            <w:rStyle w:val="Hyperlink"/>
          </w:rPr>
          <w:t xml:space="preserve">2</w:t>
        </w:r>
      </w:hyperlink>
      <w:r>
        <w:t xml:space="preserve">a). Total cover in Tampa Bay has decreased by 28% from the 2016 peak by 11,518 acres (4,661 ha) to a total of 30,137 acres (12,196 ha).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that is likely within the range of mapping error for the coverage estimates.</w:t>
      </w:r>
    </w:p>
    <w:bookmarkEnd w:id="24"/>
    <w:bookmarkStart w:id="27"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5">
        <w:r>
          <w:rPr>
            <w:rStyle w:val="Hyperlink"/>
          </w:rPr>
          <w:t xml:space="preserve">https://data-swfwmd.opendata.arcgis.com/</w:t>
        </w:r>
      </w:hyperlink>
      <w:r>
        <w:t xml:space="preserve">). These maps are created by photointerpretation of aerial images obtained at the end of the growing season, typically during November-February. No species information is provided. A more detailed, but spatially-specific, data source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abundance, cover, frequency occurrence, and condition, collected at fixed meter marks along a transect extending from the shoreline to the deepwater edge of the seagrass bed. Although the areal maps provide the standard for assessment of restoration goals, the transect data allow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7"/>
    <w:bookmarkStart w:id="29"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45 stations in the major bay segments since the late 1970s (Figure</w:t>
      </w:r>
      <w:r>
        <w:t xml:space="preserve"> </w:t>
      </w:r>
      <w:hyperlink w:anchor="fig-map">
        <w:r>
          <w:rPr>
            <w:rStyle w:val="Hyperlink"/>
          </w:rPr>
          <w:t xml:space="preserve">1</w:t>
        </w:r>
      </w:hyperlink>
      <w:r>
        <w:t xml:space="preserve">b). These data are used for regulatory assessments for the nutrient Total Maximum Daily Load in Tampa Bay. Water quality samples are collected at each station from surface water grabs (e.g., nutrients) or</w:t>
      </w:r>
      <w:r>
        <w:t xml:space="preserve"> </w:t>
      </w:r>
      <w:r>
        <w:rPr>
          <w:iCs/>
          <w:i/>
        </w:rPr>
        <w:t xml:space="preserve">in situ</w:t>
      </w:r>
      <w:r>
        <w:t xml:space="preserve"> </w:t>
      </w:r>
      <w:r>
        <w:t xml:space="preserve">measurements of physical parameters (e.g., salinity, temperature) collected at the surface, mid-depth, and bottom. Time of sampling can vary, although most samples are collected from mid-morning to early afternoon.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gear types that target different habitats. A stratified sampling design is used to select sites for 21.3 meter center-bag seines that target shallow habitats (&lt;1.5 m)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Seines were deployed (1) parallel to bay shorelines and (2) offshore into the prevailing current at least 5 m from the shoreline to sample approximately 140 m</w:t>
      </w:r>
      <m:oMath>
        <m:sSup>
          <m:e>
            <m:r>
              <m:t>​</m:t>
            </m:r>
          </m:e>
          <m:sup>
            <m:r>
              <m:t>2</m:t>
            </m:r>
          </m:sup>
        </m:sSup>
      </m:oMath>
      <w:r>
        <w:t xml:space="preserve"> </w:t>
      </w:r>
      <w:r>
        <w:t xml:space="preserve">of bay bottom</w:t>
      </w:r>
      <w:r>
        <w:t xml:space="preserve"> </w:t>
      </w:r>
      <w:r>
        <w:t xml:space="preserve">(Schrandt et al. 2021)</w:t>
      </w:r>
      <w:r>
        <w:t xml:space="preserve">. In addition to collecting fish and selected invertebrates,</w:t>
      </w:r>
      <w:r>
        <w:t xml:space="preserve"> </w:t>
      </w:r>
      <w:r>
        <w:rPr>
          <w:iCs/>
          <w:i/>
        </w:rPr>
        <w:t xml:space="preserve">in situ</w:t>
      </w:r>
      <w:r>
        <w:t xml:space="preserve"> </w:t>
      </w:r>
      <w:r>
        <w:t xml:space="preserve">physical measurements for water temperature and salinity are collected at the bag, and at the surface and at 1 m intervals to the bottom. Only measurements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by request.</w:t>
      </w:r>
    </w:p>
    <w:p>
      <w:pPr>
        <w:pStyle w:val="BodyText"/>
      </w:pPr>
      <w:r>
        <w:t xml:space="preserve">The third and final dataset evaluated was from the Pinellas County Department of Environmental Management (PDEM). Surface waters in Pinellas County have been monitored since the 1990s, although a consistent stratified random sampling designed has only been used in Tampa Bay since 2003 primarily to support robust statistical assessments for National Pollutant Discharge Elimination System reporting. Data were obtained by request to PDEM staff for the western portion of Old Tampa Bay where sampling occurs from 2003 to present (Figure</w:t>
      </w:r>
      <w:r>
        <w:t xml:space="preserve"> </w:t>
      </w:r>
      <w:hyperlink w:anchor="fig-map">
        <w:r>
          <w:rPr>
            <w:rStyle w:val="Hyperlink"/>
          </w:rPr>
          <w:t xml:space="preserve">1</w:t>
        </w:r>
      </w:hyperlink>
      <w:r>
        <w:t xml:space="preserve">d, also available at</w:t>
      </w:r>
      <w:r>
        <w:t xml:space="preserve"> </w:t>
      </w:r>
      <w:hyperlink r:id="rId28">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Four distinct spatial zones in OTB are used to stratify the random selection of sample points that typically include 4 sample points per month in each zone. Water quality samples at each site are similar to those collected by EPC, where only bottom measurements for salinity and temperature were retained for analysis.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 This</w:t>
      </w:r>
      <w:r>
        <w:t xml:space="preserve"> </w:t>
      </w:r>
      <w:r>
        <w:rPr>
          <w:iCs/>
          <w:i/>
        </w:rPr>
        <w:t xml:space="preserve">ad hoc</w:t>
      </w:r>
      <w:r>
        <w:t xml:space="preserve"> </w:t>
      </w:r>
      <w:r>
        <w:t xml:space="preserve">group meets quarterly to ensure similar standards and methods are used for the collection and processing of surface water quality monitoring data.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9"/>
    <w:bookmarkStart w:id="31"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For comparison to water quality conditions, daily air temperature data were obtained from Tampa International Airport</w:t>
      </w:r>
      <w:r>
        <w:t xml:space="preserve"> </w:t>
      </w:r>
      <w:r>
        <w:t xml:space="preserve">(using the</w:t>
      </w:r>
      <w:r>
        <w:t xml:space="preserve"> </w:t>
      </w:r>
      <w:r>
        <w:rPr>
          <w:iCs/>
          <w:i/>
        </w:rPr>
        <w:t xml:space="preserve">rnoaa</w:t>
      </w:r>
      <w:r>
        <w:t xml:space="preserve"> </w:t>
      </w:r>
      <w:r>
        <w:t xml:space="preserve">R package, Chamberlain and Hocking 2023)</w:t>
      </w:r>
      <w:r>
        <w:t xml:space="preserve"> </w:t>
      </w:r>
      <w:r>
        <w:t xml:space="preserve">and monthly rainfall data for the Tampa Bay watershed were obtained from the SWFWMD (</w:t>
      </w:r>
      <w:hyperlink r:id="rId30">
        <w:r>
          <w:rPr>
            <w:rStyle w:val="Hyperlink"/>
          </w:rPr>
          <w:t xml:space="preserve">https://www.swfwmd.state.fl.us/resources/data-maps/rainfall-summary-data-region</w:t>
        </w:r>
      </w:hyperlink>
      <w:r>
        <w:t xml:space="preserve">). Only rainfall data for the rainy season (June to September) were evaluated. Additionally, the Standardized Precipitation Index</w:t>
      </w:r>
      <w:r>
        <w:t xml:space="preserve"> </w:t>
      </w:r>
      <w:r>
        <w:t xml:space="preserve">(SPI, Beguería et al. 2013)</w:t>
      </w:r>
      <w:r>
        <w:t xml:space="preserve"> </w:t>
      </w:r>
      <w:r>
        <w:t xml:space="preserve">was estimated from the rainfall data 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Annual hydrologic loading data to Tampa Bay beginning in 1985 were also obtained for comparison to annual precipitation</w:t>
      </w:r>
      <w:r>
        <w:t xml:space="preserve"> </w:t>
      </w:r>
      <w:r>
        <w:t xml:space="preserve">(Janicki Environmental, Inc. 2023)</w:t>
      </w:r>
      <w:r>
        <w:t xml:space="preserve">. All climate and loading data were evaluated annually with simple linear regression trends to assess change over time. Water temperature and salinity trends using the EPC, FIM, and PDEM data were similarly evaluated by averaging the monthly data each year for each bay segment. Linear trends for these data were evaluated based on averages of all stations and months within each year and bay segment, which allowed for comparable statistical power between datasets with different sampling designs.</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The change per year was also evaluated for each parameter based on the slope estimates returned by each test. Kendall tests were also used to evaluate changes over time for each month across years to determine when the trends were most pronounced seasonally, e.g., all January estimates across years, all February estimates, etc. The percentage of stations in each bay segment with significantly increasing temperature or decreasing salinity trends were evaluated for each month.</w:t>
      </w:r>
    </w:p>
    <w:bookmarkEnd w:id="31"/>
    <w:bookmarkStart w:id="32"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with particular attention on differences between bay segments and the time periods before and after 2016 (pre/post seagrass recovery). The conceptual model for evaluating these changes describes the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within a range of values for a single parameter (e.g., minimum and maximum temperatures where a species is typically observed),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optimal niche space can be defined in multiple dimensions for many parameters, we focus on water temperature and salinity given that other dominant forcing factors, i.e., light availability, have generally not been limiting for growth in recent years.</w:t>
      </w:r>
    </w:p>
    <w:p>
      <w:pPr>
        <w:pStyle w:val="BodyText"/>
      </w:pPr>
      <w:r>
        <w:t xml:space="preserve">A fundamental challenge describing niche space is identifying the boundaries for optimal conditions. In Tampa Bay, the three dominant seagrass species are</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w:t>
      </w:r>
      <w:r>
        <w:t xml:space="preserve">.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 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or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(Wood 2017)</w:t>
      </w:r>
      <w:r>
        <w:t xml:space="preserve">. The smoothing spline for decimal year had sufficient knots to capture the seasonal signal within each year and the long-term inter-annual trends. Model fit for each station was sufficient to calculate daily predictions to assess potential stressor metrics (Figure S5, R</w:t>
      </w:r>
      <m:oMath>
        <m:sSup>
          <m:e>
            <m:r>
              <m:t>​</m:t>
            </m:r>
          </m:e>
          <m:sup>
            <m:r>
              <m:t>2</m:t>
            </m:r>
          </m:sup>
        </m:sSup>
      </m:oMath>
      <w:r>
        <w:t xml:space="preserve"> </w:t>
      </w:r>
      <w:r>
        <w:t xml:space="preserve">ranged from 0.85 to 0.95 for temperature models, 0.71 to 0.96 for salinity models, Tables S1, S2).</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 including counts for temperature, salinity, and both relative to the thresholds.</w:t>
      </w:r>
    </w:p>
    <w:bookmarkEnd w:id="32"/>
    <w:bookmarkStart w:id="33" w:name="links-to-seagrass"/>
    <w:p>
      <w:pPr>
        <w:pStyle w:val="Heading3"/>
      </w:pPr>
      <w:r>
        <w:t xml:space="preserve">2.7 Links to seagrass</w:t>
      </w:r>
    </w:p>
    <w:p>
      <w:pPr>
        <w:pStyle w:val="FirstParagraph"/>
      </w:pPr>
      <w:r>
        <w:t xml:space="preserve">For comparison to seagrass, the annual metrics calculated from the EPC data were referenced to approximate periods of time between the annual seagrass transect surveys, as opposed to the calendar year for describing trends. Transect surveys are typically done in the late summer during peak growing season. The average sampling date for each year across the subset of transects in each bay segment was estimated and the stressor metrics were referenced accordingly. For example, if the average transect date for a bay segment was September 15th in 2009 and Oct 1st in 2010, the 2010 stressor counts were based on all days between the two average dates. This was repeated for all years from 1998 to 2022 when transect data were available.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The stressor metrics were compared to frequency occurrence (all species) each year by bay segment. Generalized Linear regression Models (GLMs) were used to evaluate frequency occurrence in response to the independent variables, where the latter were the stressor metrics for temperature, salinity, both, bay segment, and time period (recovery pre-2016, decline post-2016). Two models were evaluated, one with the temperature and salinity metrics together and another with the both metric given that the latter was a combined metric of the former. Interactions were included between temperature, salinity, and time period or the both metric and time period, depending on the model. Bay segment was included as a main effect without interactions. The most parsimonious models were identified by forward and backward selection of the independent variables and comparison with AIC values</w:t>
      </w:r>
      <w:r>
        <w:t xml:space="preserve"> </w:t>
      </w:r>
      <w:r>
        <w:t xml:space="preserve">(Sakamoto et al. 1986; Venables and Ripley 2002)</w:t>
      </w:r>
      <w:r>
        <w:t xml:space="preserve">. All models excluded Lower Tampa Bay because of minimal seagrass change over time.</w:t>
      </w:r>
    </w:p>
    <w:p>
      <w:pPr>
        <w:pStyle w:val="BodyText"/>
      </w:pPr>
      <w:r>
        <w:t xml:space="preserve">Additional models were constructed for the FIM and PDEM datasets to evaluate seagrass change relative to temperature and salinity. These models used direct measurements of salinity and temperature as independent variables because the stressor metrics could not be calculated using the sampling designs from these monitoring programs.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(no bay segment interaction) and the seagrass response variable was presence/absence (i.e., a binomial distribution was used) to model the probability of observing seagrass. Model input data were further subset to include only months from July to November to describe seagrasses during the growing season and to reduce potential seasonal effects.</w:t>
      </w:r>
    </w:p>
    <w:bookmarkEnd w:id="33"/>
    <w:bookmarkEnd w:id="34"/>
    <w:bookmarkStart w:id="38" w:name="results"/>
    <w:p>
      <w:pPr>
        <w:pStyle w:val="Heading2"/>
      </w:pPr>
      <w:r>
        <w:t xml:space="preserve">3 Results</w:t>
      </w:r>
    </w:p>
    <w:bookmarkStart w:id="35" w:name="temperature-and-salinity-trends"/>
    <w:p>
      <w:pPr>
        <w:pStyle w:val="Heading3"/>
      </w:pPr>
      <w:r>
        <w:t xml:space="preserve">3.1 Temperature and salinity trends</w:t>
      </w:r>
    </w:p>
    <w:p>
      <w:pPr>
        <w:pStyle w:val="FirstParagraph"/>
      </w:pPr>
      <w:r>
        <w:t xml:space="preserve">Long-term meteorological data showed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during the rainy season has increased by 1.91 mm per year, although the model was not significant (p = 0.14,</w:t>
      </w:r>
      <w:r>
        <w:t xml:space="preserve"> </w:t>
      </w:r>
      <m:oMath>
        <m:sSup>
          <m:e>
            <m:r>
              <m:t>R</m:t>
            </m:r>
          </m:e>
          <m:sup>
            <m:r>
              <m:t>2</m:t>
            </m:r>
          </m:sup>
        </m:sSup>
      </m:oMath>
      <w:r>
        <w:t xml:space="preserve"> </w:t>
      </w:r>
      <w:r>
        <w:t xml:space="preserve">0.03). Removing September from the rainy season showed a significantly increasing trend of 2.4 mm per year (p &lt; 0.05,</w:t>
      </w:r>
      <w:r>
        <w:t xml:space="preserve"> </w:t>
      </w:r>
      <m:oMath>
        <m:sSup>
          <m:e>
            <m:r>
              <m:t>R</m:t>
            </m:r>
          </m:e>
          <m:sup>
            <m:r>
              <m:t>2</m:t>
            </m:r>
          </m:sup>
        </m:sSup>
      </m:oMath>
      <w:r>
        <w:t xml:space="preserve"> </w:t>
      </w:r>
      <w:r>
        <w:t xml:space="preserve">= 0.07). Using this model, total precipitation in 1975 was 559.1 (+/-30.72 st. err.) mm, whereas current total precipitation in 2022 was 671.7 (+/-30.72 st. err.) mm, showing an overall increase in the period of record of 112.7 mm. Trends in total annual hydrologic load from 1985 to present followed total annual precipitation, although the linear model was not significant likely due to a shorter period of record. The SPI showed notable anomalies in precipitation, with pronounced rainy periods in the early 1980s, late 1990s, 2005, and 2015-2020.</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 Tables</w:t>
      </w:r>
      <w:r>
        <w:t xml:space="preserve"> </w:t>
      </w:r>
      <w:hyperlink w:anchor="tbl-temptrndtab">
        <w:r>
          <w:rPr>
            <w:rStyle w:val="Hyperlink"/>
          </w:rPr>
          <w:t xml:space="preserve">1</w:t>
        </w:r>
      </w:hyperlink>
      <w:r>
        <w:t xml:space="preserve">,</w:t>
      </w:r>
      <w:r>
        <w:t xml:space="preserve"> </w:t>
      </w:r>
      <w:hyperlink w:anchor="tbl-saltrndtab">
        <w:r>
          <w:rPr>
            <w:rStyle w:val="Hyperlink"/>
          </w:rPr>
          <w:t xml:space="preserve">2</w:t>
        </w:r>
      </w:hyperlink>
      <w:r>
        <w:t xml:space="preserve">, Figures S1, S2, S3). Note that for tables</w:t>
      </w:r>
      <w:r>
        <w:t xml:space="preserve"> </w:t>
      </w:r>
      <w:hyperlink w:anchor="tbl-temptrndtab">
        <w:r>
          <w:rPr>
            <w:rStyle w:val="Hyperlink"/>
          </w:rPr>
          <w:t xml:space="preserve">1</w:t>
        </w:r>
      </w:hyperlink>
      <w:r>
        <w:t xml:space="preserve"> </w:t>
      </w:r>
      <w:r>
        <w:t xml:space="preserve">and</w:t>
      </w:r>
      <w:r>
        <w:t xml:space="preserve"> </w:t>
      </w:r>
      <w:hyperlink w:anchor="tbl-saltrndtab">
        <w:r>
          <w:rPr>
            <w:rStyle w:val="Hyperlink"/>
          </w:rPr>
          <w:t xml:space="preserve">2</w:t>
        </w:r>
      </w:hyperlink>
      <w:r>
        <w:t xml:space="preserve">, comparable time periods were evaluated between the datasets when possible given the different sample sizes, and therefore power, to detect trends. The strongest trends were observed for the EPC dataset, which had the longest record from 1975 to 2022. The top and bottom water temperature or salinity changes were similar across bay segments likely because of the relatively shallow water depths and minimal stratification in Tampa Bay (</w:t>
      </w:r>
      <w:hyperlink w:anchor="fig-meteowqraw">
        <w:r>
          <w:rPr>
            <w:rStyle w:val="Hyperlink"/>
          </w:rPr>
          <w:t xml:space="preserve">Figure 4</w:t>
        </w:r>
      </w:hyperlink>
      <w:r>
        <w:t xml:space="preserve">). Additional analyses only considered bottom water trends given comparable results within the water column. Trends in water temperature were similar across bay segments with significant increases varying from 0.03 to 0.04</w:t>
      </w:r>
      <w:r>
        <w:t xml:space="preserve"> </w:t>
      </w:r>
      <m:oMath>
        <m:sSup>
          <m:e>
            <m:r>
              <m:t>​</m:t>
            </m:r>
          </m:e>
          <m:sup>
            <m:r>
              <m:rPr>
                <m:sty m:val="p"/>
              </m:rPr>
              <m:t>∘</m:t>
            </m:r>
          </m:sup>
        </m:sSup>
      </m:oMath>
      <w:r>
        <w:t xml:space="preserve">C per year, with a total increase of 1.4 (OTB) to 2.0 (HB)</w:t>
      </w:r>
      <w:r>
        <w:t xml:space="preserve"> </w:t>
      </w:r>
      <m:oMath>
        <m:sSup>
          <m:e>
            <m:r>
              <m:t>​</m:t>
            </m:r>
          </m:e>
          <m:sup>
            <m:r>
              <m:rPr>
                <m:sty m:val="p"/>
              </m:rPr>
              <m:t>∘</m:t>
            </m:r>
          </m:sup>
        </m:sSup>
      </m:oMath>
      <w:r>
        <w:t xml:space="preserve">C from 1975 to present (</w:t>
      </w:r>
      <w:hyperlink w:anchor="tbl-temptrndtab">
        <w:r>
          <w:rPr>
            <w:rStyle w:val="Hyperlink"/>
          </w:rPr>
          <w:t xml:space="preserve">Table 1</w:t>
        </w:r>
      </w:hyperlink>
      <w:r>
        <w:t xml:space="preserve">). Salinity trends were similar between bay segments, although overall salinity was of course higher for bay segments closer to the Gulf of Mexico. Only Old Tampa Bay and Lower Tampa Bay had significantly decreasing trends, with decreases of 0.06 (OTB) and 0.04 (LTB) ppt per year, with a total decrease of 2.7 (OTB) and 2.0 (LTB) ppt from 1975 to present. As expected, intra-annual variability of water temperature was much higher than salinity following the larger seasonal variation in temperature (</w:t>
      </w:r>
      <w:hyperlink w:anchor="fig-meteowqraw">
        <w:r>
          <w:rPr>
            <w:rStyle w:val="Hyperlink"/>
          </w:rPr>
          <w:t xml:space="preserve">Figure 4</w:t>
        </w:r>
      </w:hyperlink>
      <w:r>
        <w:t xml:space="preserve">). This variation may also be related to differences among the monitoring stations in each segment because the averages combine monthly and spatial variation. Significant increasing temperature trends were also observed for the FIM dataset from 1996 to present in OTB and from 2004 to present in OTB and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nor from 2004 to present (Figures S2, S3).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see Figure S4 for 1998 to 2022). All stations had significantly increasing temperature and decreasing salinity from 1975 to present, excluding one station in HB that did not have significantly decreasing bottom salinity (Figure</w:t>
      </w:r>
      <w:r>
        <w:t xml:space="preserve"> </w:t>
      </w:r>
      <w:hyperlink w:anchor="fig-kendall">
        <w:r>
          <w:rPr>
            <w:rStyle w:val="Hyperlink"/>
          </w:rPr>
          <w:t xml:space="preserve">5</w:t>
        </w:r>
      </w:hyperlink>
      <w:r>
        <w:t xml:space="preserve">a). Seasonally, most stations had more significant trends in the summer, early fall period for both temperature and salinity (Figure</w:t>
      </w:r>
      <w:r>
        <w:t xml:space="preserve"> </w:t>
      </w:r>
      <w:hyperlink w:anchor="fig-kendall">
        <w:r>
          <w:rPr>
            <w:rStyle w:val="Hyperlink"/>
          </w:rPr>
          <w:t xml:space="preserve">5</w:t>
        </w:r>
      </w:hyperlink>
      <w:r>
        <w:t xml:space="preserve">b, c), although some variation was observed between bay segments. Temperature trends were more often observed in the summer, early fall for the upper bay segments (OTB, HB), whereas the lower bay segments (MTB, LTB) had more seasonally homogeneous trends. Seasonal trends in salinity did not vary as much between segments, although OTB and LTB had more stations with significantly decreasing trends than the other bay segments.</w:t>
      </w:r>
    </w:p>
    <w:bookmarkEnd w:id="35"/>
    <w:bookmarkStart w:id="36" w:name="stressor-metrics"/>
    <w:p>
      <w:pPr>
        <w:pStyle w:val="Heading3"/>
      </w:pPr>
      <w:r>
        <w:t xml:space="preserve">3.2 Stressor metrics</w:t>
      </w:r>
    </w:p>
    <w:p>
      <w:pPr>
        <w:pStyle w:val="FirstParagraph"/>
      </w:pPr>
      <w:r>
        <w:t xml:space="preserve">Linear mixed-effects models for the EPC data showed similar trends in each bay segment for the number of days when temperature was above different thresholds. All of the temperature models for each of the three thresholds (29, 30, 31</w:t>
      </w:r>
      <w:r>
        <w:t xml:space="preserve"> </w:t>
      </w:r>
      <m:oMath>
        <m:sSup>
          <m:e>
            <m:r>
              <m:t>​</m:t>
            </m:r>
          </m:e>
          <m:sup>
            <m:r>
              <m:rPr>
                <m:sty m:val="p"/>
              </m:rPr>
              <m:t>∘</m:t>
            </m:r>
          </m:sup>
        </m:sSup>
      </m:oMath>
      <w:r>
        <w:t xml:space="preserve">C) showed significantly increasing trends for each bay segment, with the largest slope of 1.4 days per year in OTB when temperature was above 29</w:t>
      </w:r>
      <w:r>
        <w:t xml:space="preserve"> </w:t>
      </w:r>
      <m:oMath>
        <m:sSup>
          <m:e>
            <m:r>
              <m:t>​</m:t>
            </m:r>
          </m:e>
          <m:sup>
            <m:r>
              <m:rPr>
                <m:sty m:val="p"/>
              </m:rPr>
              <m:t>∘</m:t>
            </m:r>
          </m:sup>
        </m:sSup>
      </m:oMath>
      <w:r>
        <w:t xml:space="preserve">C (Table S3). The estimated slopes for the number of days when temperature was above 30</w:t>
      </w:r>
      <w:r>
        <w:t xml:space="preserve"> </w:t>
      </w:r>
      <m:oMath>
        <m:sSup>
          <m:e>
            <m:r>
              <m:t>​</m:t>
            </m:r>
          </m:e>
          <m:sup>
            <m:r>
              <m:rPr>
                <m:sty m:val="p"/>
              </m:rPr>
              <m:t>∘</m:t>
            </m:r>
          </m:sup>
        </m:sSup>
      </m:oMath>
      <w:r>
        <w:t xml:space="preserve">C varied from 0.9 days per year in LTB to 1.1 days per year in MTB. Likewise, the average number of days when temperature was above 30</w:t>
      </w:r>
      <w:r>
        <w:t xml:space="preserve"> </w:t>
      </w:r>
      <m:oMath>
        <m:sSup>
          <m:e>
            <m:r>
              <m:t>​</m:t>
            </m:r>
          </m:e>
          <m:sup>
            <m:r>
              <m:rPr>
                <m:sty m:val="p"/>
              </m:rPr>
              <m:t>∘</m:t>
            </m:r>
          </m:sup>
        </m:sSup>
      </m:oMath>
      <w:r>
        <w:t xml:space="preserve">C at the beginning and end of the period of record varied from 8 (OTB, HB) to 21 (LTB) days in 1975 to 55 (HB) to 63 (LTB) days in 2022 (Table S5, see Table S6 for 1998 to 2022). Trends for the other two temperature thresholds were similar.</w:t>
      </w:r>
    </w:p>
    <w:p>
      <w:pPr>
        <w:pStyle w:val="BodyText"/>
      </w:pPr>
      <w:r>
        <w:t xml:space="preserve">The salinity models were less similar between bay segments compared to the temperature models, primarily because of the natural variation in salinity along the bay’s longitudinal axis (Table S4). None of the bay segments had significantly increasing number of days per year when salinity was below 15 ppt. The only significant model for MTB was the number of days when salinity was below 25 ppt, which was increasing at a rate of 0.7 days per year. Both HB and OTB had significantly increasing number of days per year when salinity was below 20 and 25 ppt, although the slopes varied such that the rates in OTB were nearly double those in HB. The number of days per year when salinity was below 25 ppt in OTB increased by 2 days per year, whereas the number of days in HB increased by 0.9 days per year from 1975 to present. Likewise, the average number of days per year when salinity was continuously below 25 ppt at the beginning and end of the period of record was 128 (OTB) and 131 (HB) days in 1975 and 171 (HB) and 219 (OTB) days in 2022 (Table S5, see Table S6 for 1998 to 2022).</w:t>
      </w:r>
    </w:p>
    <w:p>
      <w:pPr>
        <w:pStyle w:val="BodyText"/>
      </w:pPr>
      <w:r>
        <w:t xml:space="preserve">The number of days when both temperature was above and salinity was below a threshold also varied by bay segment. Four models were significant for OTB, seven for HB, four for MTB, and none for LTB (Table S3). The number of days when temperature was above 29</w:t>
      </w:r>
      <w:r>
        <w:t xml:space="preserve"> </w:t>
      </w:r>
      <m:oMath>
        <m:sSup>
          <m:e>
            <m:r>
              <m:t>​</m:t>
            </m:r>
          </m:e>
          <m:sup>
            <m:r>
              <m:rPr>
                <m:sty m:val="p"/>
              </m:rPr>
              <m:t>∘</m:t>
            </m:r>
          </m:sup>
        </m:sSup>
      </m:oMath>
      <w:r>
        <w:t xml:space="preserve">C and salinity was below 25 ppt had the largest slopes of 1.4, 1.2,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of record varied from 6, 12, and 1 day(s) in 1975 to 72, 68, and 34 days in 2022 for OTB, HB, and MTB, respectively.</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from 1975 to present when temperature was above 30</w:t>
      </w:r>
      <m:oMath>
        <m:sSup>
          <m:e>
            <m:r>
              <m:t>​</m:t>
            </m:r>
          </m:e>
          <m:sup>
            <m:r>
              <m:rPr>
                <m:sty m:val="p"/>
              </m:rPr>
              <m:t>∘</m:t>
            </m:r>
          </m:sup>
        </m:sSup>
      </m:oMath>
      <w:r>
        <w:t xml:space="preserve">, salinity was below 25 ppt, and when both occurred (see Figure S6 for 1998 to 2022). Temperature trends were similar among segments, whereas the number of days when salinity was below the threshold varied by proximity to the Gulf of Mexico (</w:t>
      </w:r>
      <w:hyperlink w:anchor="tbl-mixdaytab">
        <w:r>
          <w:rPr>
            <w:rStyle w:val="Hyperlink"/>
          </w:rPr>
          <w:t xml:space="preserve">Table 3</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develop models and the chosen thresholds were based primarily on statistical considerations.</w:t>
      </w:r>
    </w:p>
    <w:bookmarkEnd w:id="36"/>
    <w:bookmarkStart w:id="37" w:name="seagrass-response"/>
    <w:p>
      <w:pPr>
        <w:pStyle w:val="Heading3"/>
      </w:pPr>
      <w:r>
        <w:t xml:space="preserve">3.3 Seagrass response</w:t>
      </w:r>
    </w:p>
    <w:p>
      <w:pPr>
        <w:pStyle w:val="FirstParagraph"/>
      </w:pPr>
      <w:r>
        <w:t xml:space="preserve">Linear models to assess the potential effects of temperature and salinity on seagrass change provided modest evidence that seagrass loss after 2016 was driven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12.82, df = 9, 65, p &lt; 0.005). An interaction of the metrics with time period was also observed, with notable differences by predictor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(interaction term between salinity and time period was marginally significant, p &lt; 0.1,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The interaction between the temperature and salinity metric was included in the most parsimonious model (marginally significant, p &lt; 0.1), although the shape of the relationship of temperature with time period or salinity with time period did not noticeably change using different conditional values for salinity or temperature, respectively.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29.17, df = 4, 70, p &lt; 0.005), although the interaction term with time period was not included in the most parsimonious model, suggesting no effect of this metric in describing seagrass change after 2016 (</w:t>
      </w:r>
      <w:hyperlink w:anchor="tbl-modtab">
        <w:r>
          <w:rPr>
            <w:rStyle w:val="Hyperlink"/>
          </w:rPr>
          <w:t xml:space="preserve">Table 4</w:t>
        </w:r>
      </w:hyperlink>
      <w:r>
        <w:t xml:space="preserve">). Note that</w:t>
      </w:r>
      <w:r>
        <w:t xml:space="preserve"> </w:t>
      </w:r>
      <w:hyperlink w:anchor="fig-sgmod">
        <w:r>
          <w:rPr>
            <w:rStyle w:val="Hyperlink"/>
          </w:rPr>
          <w:t xml:space="preserve">Figure 7</w:t>
        </w:r>
      </w:hyperlink>
      <w:r>
        <w:t xml:space="preserve"> </w:t>
      </w:r>
      <w:r>
        <w:t xml:space="preserve">shows model predictions for OTB only, although the shape of the relationships do not change for other bay segments other than as additive shifts of the curves up or down (i.e., no interactions of bay segments with the other predictors were in the original models).</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or salinity with time period, respectively, Figure</w:t>
      </w:r>
      <w:r>
        <w:t xml:space="preserve"> </w:t>
      </w:r>
      <w:hyperlink w:anchor="fig-sgmod">
        <w:r>
          <w:rPr>
            <w:rStyle w:val="Hyperlink"/>
          </w:rPr>
          <w:t xml:space="preserve">7</w:t>
        </w:r>
      </w:hyperlink>
      <w:r>
        <w:t xml:space="preserve">b,</w:t>
      </w:r>
      <w:r>
        <w:t xml:space="preserve"> </w:t>
      </w:r>
      <w:hyperlink w:anchor="tbl-modtab">
        <w:r>
          <w:rPr>
            <w:rStyle w:val="Hyperlink"/>
          </w:rPr>
          <w:t xml:space="preserve">Table 4</w:t>
        </w:r>
      </w:hyperlink>
      <w:r>
        <w:t xml:space="preserve">). The interaction between salinity and temperature was not included as a significant term in the final model. Lastly, the most parsimonious model for the PDEM dataset only included time period as a marginally significant variable and the overall model fit was not significant (</w:t>
      </w:r>
      <w:hyperlink w:anchor="tbl-modtab">
        <w:r>
          <w:rPr>
            <w:rStyle w:val="Hyperlink"/>
          </w:rPr>
          <w:t xml:space="preserve">Table 4</w:t>
        </w:r>
      </w:hyperlink>
      <w:r>
        <w:t xml:space="preserve">).</w:t>
      </w:r>
    </w:p>
    <w:bookmarkEnd w:id="37"/>
    <w:bookmarkEnd w:id="38"/>
    <w:bookmarkStart w:id="40" w:name="discussion"/>
    <w:p>
      <w:pPr>
        <w:pStyle w:val="Heading2"/>
      </w:pPr>
      <w:r>
        <w:t xml:space="preserve">4 Discussion</w:t>
      </w:r>
    </w:p>
    <w:p>
      <w:pPr>
        <w:pStyle w:val="FirstParagraph"/>
      </w:pPr>
      <w:r>
        <w:t xml:space="preserve">Global increases in temperature and precipitation related to climate change have contributed to widespread alteration of the structure and functioning of natural environments</w:t>
      </w:r>
      <w:r>
        <w:t xml:space="preserve"> </w:t>
      </w:r>
      <w:r>
        <w:t xml:space="preserve">(Osland et al. 2015; Oliver et al. 2018)</w:t>
      </w:r>
      <w:r>
        <w:t xml:space="preserve">. At a local scale, these changes have been demonstrated herein for Tampa Bay where the evaluation of long-term trends in water temperature and salinity showed clear changes mirrored by long-term changes in air temperature and precipitation. Over the previous fifty years, Tampa Bay has consistently trended towards hotter and fresher conditions, where water temperature has approximately increased by 0.03 - 0.07</w:t>
      </w:r>
      <w:r>
        <w:t xml:space="preserve"> </w:t>
      </w:r>
      <m:oMath>
        <m:sSup>
          <m:e>
            <m:r>
              <m:t>​</m:t>
            </m:r>
          </m:e>
          <m:sup>
            <m:r>
              <m:rPr>
                <m:sty m:val="p"/>
              </m:rPr>
              <m:t>∘</m:t>
            </m:r>
          </m:sup>
        </m:sSup>
      </m:oMath>
      <w:r>
        <w:t xml:space="preserve">C per year and salinity has decreased by 0.04 - 0.2 ppt per year. These changes were demonstrated in three long-term datasets with different sampling methods and periods of record. Understandably, the trends were most consistently observed in the dataset with the longest period of record (EPC) covering nearly fifty years of monthly observations, with the most dramatic changes occurring during the summer rainy season at locations farther from the mouth of the Bay. These long-term changes manifested into consistent trends in the stressor metrics; the continuous number of days each year when temperature was above and/or salinity was below defined thresholds consistently increased across the period of record. Notably, bottom and surface trends for water temperature and salinity in the EPC dataset were similar, suggesting that any potential stress on biotic resources related to these factors are likely occurring throughout the water column.</w:t>
      </w:r>
    </w:p>
    <w:p>
      <w:pPr>
        <w:pStyle w:val="BodyText"/>
      </w:pPr>
      <w:r>
        <w:t xml:space="preserve">Similar regional, long-term changes in coastal waters and estuaries have been observed by others</w:t>
      </w:r>
      <w:r>
        <w:t xml:space="preserve"> </w:t>
      </w:r>
      <w:r>
        <w:t xml:space="preserve">(Nickerson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for Tampa Bay (the EPC dataset was also used), although the power to detect trends decreased for shorter time periods, as verified herein with the FIM and PDEM datasets.</w:t>
      </w:r>
      <w:r>
        <w:t xml:space="preserve"> </w:t>
      </w:r>
      <w:r>
        <w:t xml:space="preserve">Nickerson et al. (2023)</w:t>
      </w:r>
      <w:r>
        <w:t xml:space="preserve"> </w:t>
      </w:r>
      <w:r>
        <w:t xml:space="preserve">also noted that temperature increases in Tampa Bay were most pronounced in the winter, which somewhat conflicts with our results showing distinct increases in the summer, particularly for the upper bay segments (OTB and HB). However, our assessment evaluated trends at individual EPC stations and bay segments, whereas</w:t>
      </w:r>
      <w:r>
        <w:t xml:space="preserve"> </w:t>
      </w:r>
      <w:r>
        <w:t xml:space="preserve">Nickerson et al. (2023)</w:t>
      </w:r>
      <w:r>
        <w:t xml:space="preserve"> </w:t>
      </w:r>
      <w:r>
        <w:t xml:space="preserve">evaluated the EPC data as an average for the entire bay for consistency of comparison to the larger spatial area. These differences are understandable given the analysis goals and methods for data synthesis. Our results showing increases in temperature and decreases in salinity for OTB and HB for the summer months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w:t>
      </w:r>
    </w:p>
    <w:p>
      <w:pPr>
        <w:pStyle w:val="BodyText"/>
      </w:pPr>
      <w:r>
        <w:t xml:space="preserve">Our relatively simple modeling approach provided some evidence that climate-related stressors can explain the recent loss in seagrass in Tampa Bay. The models did not provide a consistent, nor statistically powerful, explanation that increasing temperature and decreasing salinity were key drivers. However, evaluating all models together does suggest a pattern that demonstrates the value of considering multiple datasets and models to explain noisy ecological patterns. Model results for the EPC and FIM datasets both suggested that increasing temperature and decreasing salinity were associated with potential seagrass loss post-2016,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was observed post-2016 as compared to pre-2016 where frequency occurrence of seagrass declined with the increasing number of days when salinity was below 25 ppt. Likewise, the FIM models had a significant interaction term for the association of temperature with time period and a marginally significant interaction term for the association of salinity with time period, such that percent cover of seagrasses showed a decline with increasing temperature and decreasing salinity post-2016. An important distinction between the EPC and FIM models is that the former evaluated the number of days above/below thresholds each year to quantify increases in annual stress associated with temperature and salinity,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programs. The FIM model also used water quality measurements collected at the same locations where seagrasses were observed, whereas the EPC model provided a general characterization of seagrass transect data with water quality at stations farther from shore. These differences highlight challenges describing noisy relationships in long-term ecological datasets, while also demonstrating the utility of our weight-of-evidence approach to describe these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as shown by the mixed-effects linear models for each bay segment. That is, sufficient change and variation in the independent variables for the models of seagrass change were needed to statistically describe potential relationships. These thresholds are likely not ecologically significant since most of the reported values in tropical and sub-tropical environments suggest that the limits of the ecological niche for seagrasses are higher for temperature and lower for salinity</w:t>
      </w:r>
      <w:r>
        <w:t xml:space="preserve"> </w:t>
      </w:r>
      <w:r>
        <w:t xml:space="preserve">(Phillips 1960; McMillan and Moseley 1967; Zieman 1975; Lirman and Cropper 2003)</w:t>
      </w:r>
      <w:r>
        <w:t xml:space="preserve">. Because we did not see a dramatic increase in the number of days each year when the thresholds were crossed at more stressful values (i.e., higher temperature, lower salinity), conditions in Tampa Bay in recent years are generally within the ecological niche for seagrasses. This does not suggest that these factors are unimportant, both currently and in the future. Our models suggested that temperature and salinity are potentially associated with seagrass loss and the consistent long-term trend in temperature and salinity suggest that conditions are very likely to become more stressful in the future. Moreover, the GAMs used to model continuous temperature and salinity at each EPC monitoring station likely did not fully describe the current extent of stress given that extreme low or high values were often not captured by the daily predictions (Figure S5). Regardless of the above limitations, the role of climate stressors on seagrass change is likely to continue in the future as suggested by our results.</w:t>
      </w:r>
    </w:p>
    <w:p>
      <w:pPr>
        <w:pStyle w:val="BodyText"/>
      </w:pPr>
      <w:r>
        <w:t xml:space="preserve">Additional limitations of our model may relate to an incomplete description of factors influencing seagrass growth. This relates to the inclusion of additional drivers as well as issues related to correlation/causation. For the former, the primary management paradigm in Tampa Bay for the past three decades has relied on the role of nutrients, nitrogen in particular, in affecting light environments for seagrass growth</w:t>
      </w:r>
      <w:r>
        <w:t xml:space="preserve"> </w:t>
      </w:r>
      <w:r>
        <w:t xml:space="preserve">(Greening et al. 2014; Sherwood et al. 2017)</w:t>
      </w:r>
      <w:r>
        <w:t xml:space="preserve">. As such, light attenuation or water clarity could have been included in our models to more completely describe factors influencing growth, i.e., the residual differences after accounting for light attenuation could additionally be explained by temperature or salinity. Our use of time period (pre-/post-2016) as a categorical variable partially addressed this issue. Modeling seagrass change as related to temperature or salinity for the entire record would have shown a spurious correlation of both with seagrass given the long-term recovery of seagrass. Thus, time period was necessary to control for these confounding relationships. Additionally, light attenuation has been relatively consistent since 2016 and within the limits estimated to be supportive of seagrass growth in Tampa Bay</w:t>
      </w:r>
      <w:r>
        <w:t xml:space="preserve"> </w:t>
      </w:r>
      <w:r>
        <w:t xml:space="preserve">(OTB in particular where the most losses have been seen, Janicki and Wade 1996; Beck 2020a)</w:t>
      </w:r>
      <w:r>
        <w:t xml:space="preserve">. This suggests that other factors are influencing seagrass growth and the inclusion of light attenuation in the models was likely not critical for describing the roles of temperature and salinity. A final consideration for our models relates to how seagrasses may influence their environment, particularly for the PDEM and FIM datasets where temperature and salinity were measured at the same locations as seagrass. For example, temperature may simply be higher in locations where seagrasses are present, i.e., seagrasses may be influencing their environment rather than the environment influencing seagrasses. This explanation cannot be ruled out with the existing datasets, although the trend analyses and models suggest that climate-related stressors driving seagrass loss is a more likely scenario.</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 These regional losses suggest that large-scale stressors are driving these changes, leading us to our initial hypothesis that climate-related stressors could explain the change in Tampa Bay. Based on our results, the losses elsewhere may potentially be explained by temperature and salinity and are worth exploring in other southwest Florida coastal regions and estuaries where long-term datasets exist. Additional factors that could explain these changes are also likely co-occurring with climate stress, some of which are unique to Tampa Bay and others that are likely more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(e.g., Stelling et al. 2023)</w:t>
      </w:r>
      <w:r>
        <w:t xml:space="preserve">.</w:t>
      </w:r>
    </w:p>
    <w:p>
      <w:pPr>
        <w:pStyle w:val="BodyText"/>
      </w:pPr>
      <w:r>
        <w:t xml:space="preserve">Additional biotic factors could be influencing regional patterns in seagrass growth. In Tampa Bay and elsewhere, the presence of macroalgal species and how these may influence seagrass growth and recovery has been a concern</w:t>
      </w:r>
      <w:r>
        <w:t xml:space="preserve"> </w:t>
      </w:r>
      <w:r>
        <w:t xml:space="preserve">(L. M. Hall et al. 2022; Janicki Environmental, Inc. 2022; Brewton and Lapointe 2023; Scolaro et al. 2023)</w:t>
      </w:r>
      <w:r>
        <w:t xml:space="preserve">.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 Brewton and Lapointe 2023)</w:t>
      </w:r>
      <w:r>
        <w:t xml:space="preserve">, in addition to insufficient data in Tampa Bay to clearly describe growth patterns and nutrient cycling related to macroalgae. Discrete pollutant loading events in Tampa Bay have been documented to promote macroalgae growth</w:t>
      </w:r>
      <w:r>
        <w:t xml:space="preserve"> </w:t>
      </w:r>
      <w:r>
        <w:t xml:space="preserve">(Beck et al. 2022; Scolaro et al. 2023; Tomasko 2023)</w:t>
      </w:r>
      <w:r>
        <w:t xml:space="preserve">, whereas the role of chronic nutrient loading and changing climatic conditions in promoting growth and interactions with seagrasses is less understood, particularly in recent years.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testudinium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w:t>
      </w:r>
    </w:p>
    <w:p>
      <w:pPr>
        <w:pStyle w:val="BodyText"/>
      </w:pPr>
      <w:r>
        <w:t xml:space="preserve">Lastly, our result showing that salinity has decreased in Tampa Bay is generally contrary to expectations for coastal systems consistent with sea-level rise projections</w:t>
      </w:r>
      <w:r>
        <w:t xml:space="preserve"> </w:t>
      </w:r>
      <w:r>
        <w:t xml:space="preserve">(Costa et al. 2023; Alarcon et al. 2024)</w:t>
      </w:r>
      <w:r>
        <w:t xml:space="preserve">. Salinity changes with sea-level rise have caused numerous alterations of subtidal and nearshore habitats</w:t>
      </w:r>
      <w:r>
        <w:t xml:space="preserve"> </w:t>
      </w:r>
      <w:r>
        <w:t xml:space="preserve">(Brinson et al. 1995; White and Kaplan 2017)</w:t>
      </w:r>
      <w:r>
        <w:t xml:space="preserve">. In southwest Florida, the most common ecological example is the expansion of mangroves upland as porewater salinity and water levels have gradually increased over the past few decades</w:t>
      </w:r>
      <w:r>
        <w:t xml:space="preserve"> </w:t>
      </w:r>
      <w:r>
        <w:t xml:space="preserve">(Borchert et al. 2018)</w:t>
      </w:r>
      <w:r>
        <w:t xml:space="preserve">. Alteration of salinity regimes for surface and groundwater resources are also well documented. In Florida Bay, for example, widespread decline of</w:t>
      </w:r>
      <w:r>
        <w:t xml:space="preserve"> </w:t>
      </w:r>
      <w:r>
        <w:rPr>
          <w:iCs/>
          <w:i/>
        </w:rPr>
        <w:t xml:space="preserve">Thalassia testudinium</w:t>
      </w:r>
      <w:r>
        <w:t xml:space="preserve"> </w:t>
      </w:r>
      <w:r>
        <w:t xml:space="preserve">has been partially attributed to elevated salinity levels beyond the optimal range for the species</w:t>
      </w:r>
      <w:r>
        <w:t xml:space="preserve"> </w:t>
      </w:r>
      <w:r>
        <w:t xml:space="preserve">(Margaret O. Hall et al. 2016)</w:t>
      </w:r>
      <w:r>
        <w:t xml:space="preserve">. Sea level rise is further altering salinity dynamics in the region.</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surface waters. In Tampa Bay, the long-term trends of decreasing salinity, especially in the upper bay segments, suggest that the hydrologic load into the system has had a greater influence on salinity regimes than the effects of sea-level rise. This hypothesis is supported by our assessment of precipitation patterns over time, where the long-term increase is inversely correlated with the decrease in salinity.</w:t>
      </w:r>
    </w:p>
    <w:bookmarkStart w:id="39"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are additively affecting seagrasses, rather than multiplicatively as evidenced by lack of significant interactions of these stressors. Future analyses may show more significant associations between physical habitat conditions and seagrass change as the trends are very likely to continue to push seagrasses further outside of their tolerance ranges. These analyses should be supported by additional data, particularly high-resolution continuous monitoring data that provide a more precise assessment of stress at multiple time-scales.</w:t>
      </w:r>
    </w:p>
    <w:p>
      <w:pPr>
        <w:pStyle w:val="BodyText"/>
      </w:pPr>
      <w:r>
        <w:t xml:space="preserve">Natural resource managers should consider how these climate-related stressors may alter the effectiveness of intervention activities aimed at protecting ecological resources in Tampa Bay. Management actions that have historically been effective may have inadequate capacity to maintain ecosystem status due to changing resilience of ecological resources with climate change. For example, nitrogen load reductions have been effective at restoring Tampa Bay, primarily due to wastewater load allocations considered to be within the nutrient assimilative capacity of Tampa Bay</w:t>
      </w:r>
      <w:r>
        <w:t xml:space="preserve"> </w:t>
      </w:r>
      <w:r>
        <w:t xml:space="preserve">(Greening and Janicki 2006; Greening et al. 2014)</w:t>
      </w:r>
      <w:r>
        <w:t xml:space="preserve">. As Tampa Bay becomes hotter and fresher, similar load allocations may no longer be effectively assimilated. Strategies to mimic the pre-development flow of water or that further reduce allowable load inputs from regulated entities (e.g., additional stormwater controls, hydrological modifications) may be pursued to confer additional resilience and adaptive capacity. These considerations are especially critical for upper parts of Tampa Bay where a majority of seagrass loss has occurred and where temperature and salinity trends have been most pronounced. Reversal of recent trends may be more likely to occur if aggressive actions and controls are pursued sooner rather than later, given the challenges of restoring degraded systems due to hysteresis.</w:t>
      </w:r>
    </w:p>
    <w:bookmarkEnd w:id="39"/>
    <w:bookmarkEnd w:id="40"/>
    <w:bookmarkStart w:id="41" w:name="acknowledgments"/>
    <w:p>
      <w:pPr>
        <w:pStyle w:val="Heading2"/>
      </w:pPr>
      <w:r>
        <w:t xml:space="preserve">5 Acknowledgments</w:t>
      </w:r>
    </w:p>
    <w:p>
      <w:pPr>
        <w:pStyle w:val="FirstParagraph"/>
      </w:pPr>
      <w:r>
        <w:t xml:space="preserve">This work benefited from constructive discussions with the Technical Advisory Committee of the Tampa Bay Estuary Program (TBEP), Mike Wessel, Ray Pribble, Brad Furman, and Dave Tomasko. TBEP funding for this work stems from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 We are indebted to the hundreds of field and technical staff for collecting and maintaining the valuable long-term monitoring data used in this study.</w:t>
      </w:r>
    </w:p>
    <w:p>
      <w:r>
        <w:br w:type="page"/>
      </w:r>
    </w:p>
    <w:bookmarkEnd w:id="41"/>
    <w:bookmarkStart w:id="70"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5" w:name="fig-map"/>
          <w:p>
            <w:pPr>
              <w:pStyle w:val="Compact"/>
              <w:jc w:val="center"/>
            </w:pPr>
            <w:r>
              <w:drawing>
                <wp:inline>
                  <wp:extent cx="3669832" cy="5963478"/>
                  <wp:effectExtent b="0" l="0" r="0" t="0"/>
                  <wp:docPr descr="" title="" id="43" name="Picture"/>
                  <a:graphic>
                    <a:graphicData uri="http://schemas.openxmlformats.org/drawingml/2006/picture">
                      <pic:pic>
                        <pic:nvPicPr>
                          <pic:cNvPr descr="figs/map.png" id="44" name="Picture"/>
                          <pic:cNvPicPr>
                            <a:picLocks noChangeArrowheads="1" noChangeAspect="1"/>
                          </pic:cNvPicPr>
                        </pic:nvPicPr>
                        <pic:blipFill>
                          <a:blip r:embed="rId42"/>
                          <a:stretch>
                            <a:fillRect/>
                          </a:stretch>
                        </pic:blipFill>
                        <pic:spPr bwMode="auto">
                          <a:xfrm>
                            <a:off x="0" y="0"/>
                            <a:ext cx="3669832" cy="596347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Tampa Bay and the three datasets used for trend analysis, including (a) bay segments, 2022 seagrass coverage (green), and transect starting points (black), (b) Environmental Protection Commission (EPC) long-term monitoring sites, (c) Fisheries Independent Monitoring (FIM) random sampling for seine hauls, and (d) OTB portion of Pinellas County Department of Environmental Management (PDEM) random sampling. Date ranges for each dataset are shown in the title. OTB: Old Tampa Bay, HB: Hillsborough Bay, MTB: Middle Tampa Bay, LTB: Lower Tampa Bay.</w:t>
            </w:r>
          </w:p>
          <w:bookmarkEnd w:id="4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9" w:name="fig-seagrasschg"/>
          <w:p>
            <w:pPr>
              <w:pStyle w:val="Compact"/>
              <w:jc w:val="center"/>
            </w:pPr>
            <w:r>
              <w:drawing>
                <wp:inline>
                  <wp:extent cx="5943600" cy="4457699"/>
                  <wp:effectExtent b="0" l="0" r="0" t="0"/>
                  <wp:docPr descr="" title="" id="47" name="Picture"/>
                  <a:graphic>
                    <a:graphicData uri="http://schemas.openxmlformats.org/drawingml/2006/picture">
                      <pic:pic>
                        <pic:nvPicPr>
                          <pic:cNvPr descr="figs/seagrasschg.png" id="48" name="Picture"/>
                          <pic:cNvPicPr>
                            <a:picLocks noChangeArrowheads="1" noChangeAspect="1"/>
                          </pic:cNvPicPr>
                        </pic:nvPicPr>
                        <pic:blipFill>
                          <a:blip r:embed="rId46"/>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Seagrass changes over time in Tampa Bay for (a) areal coverage 1988 - 2022 from mapping and (b) frequency occurrence of major species 1998 - 2022 from annual transect monitoring. Changes are shown for major bay segments. Red lines in (a) show approximate capacity of seagrass coverage based on the baywide target of 40,000 acres. OTB: Old Tampa Bay, HB: Hillsborough Bay, MTB: Middle Tampa Bay, LTB: Lower Tampa Bay.</w:t>
            </w:r>
          </w:p>
          <w:bookmarkEnd w:id="4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3" w:name="fig-concept"/>
          <w:p>
            <w:pPr>
              <w:pStyle w:val="Compact"/>
              <w:jc w:val="center"/>
            </w:pPr>
            <w:r>
              <w:drawing>
                <wp:inline>
                  <wp:extent cx="4905519" cy="5002796"/>
                  <wp:effectExtent b="0" l="0" r="0" t="0"/>
                  <wp:docPr descr="" title="" id="51" name="Picture"/>
                  <a:graphic>
                    <a:graphicData uri="http://schemas.openxmlformats.org/drawingml/2006/picture">
                      <pic:pic>
                        <pic:nvPicPr>
                          <pic:cNvPr descr="figs/concept.png" id="52" name="Picture"/>
                          <pic:cNvPicPr>
                            <a:picLocks noChangeArrowheads="1" noChangeAspect="1"/>
                          </pic:cNvPicPr>
                        </pic:nvPicPr>
                        <pic:blipFill>
                          <a:blip r:embed="rId50"/>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 demonstrating a two-dimensional niche space for temperature and salinity. Tampa Bay is trending towards the bottom right.</w:t>
            </w:r>
          </w:p>
          <w:bookmarkEnd w:id="5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7" w:name="fig-meteowqraw"/>
          <w:p>
            <w:pPr>
              <w:pStyle w:val="Compact"/>
              <w:jc w:val="center"/>
            </w:pPr>
            <w:r>
              <w:drawing>
                <wp:inline>
                  <wp:extent cx="5943600" cy="6792685"/>
                  <wp:effectExtent b="0" l="0" r="0" t="0"/>
                  <wp:docPr descr="" title="" id="55" name="Picture"/>
                  <a:graphic>
                    <a:graphicData uri="http://schemas.openxmlformats.org/drawingml/2006/picture">
                      <pic:pic>
                        <pic:nvPicPr>
                          <pic:cNvPr descr="figs/meteowqraw.png" id="56" name="Picture"/>
                          <pic:cNvPicPr>
                            <a:picLocks noChangeArrowheads="1" noChangeAspect="1"/>
                          </pic:cNvPicPr>
                        </pic:nvPicPr>
                        <pic:blipFill>
                          <a:blip r:embed="rId54"/>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Long-term air temperature, precipitation (Jun-Aug), hydrologic load, Standard Precipitation Index (SPI), water temperature, and salinity trends from 1975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bookmarkEnd w:id="5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1" w:name="fig-kendall"/>
          <w:p>
            <w:pPr>
              <w:pStyle w:val="Compact"/>
              <w:jc w:val="center"/>
            </w:pPr>
            <w:r>
              <w:drawing>
                <wp:inline>
                  <wp:extent cx="5943600" cy="2815389"/>
                  <wp:effectExtent b="0" l="0" r="0" t="0"/>
                  <wp:docPr descr="" title="" id="59" name="Picture"/>
                  <a:graphic>
                    <a:graphicData uri="http://schemas.openxmlformats.org/drawingml/2006/picture">
                      <pic:pic>
                        <pic:nvPicPr>
                          <pic:cNvPr descr="figs/kendall.png" id="60" name="Picture"/>
                          <pic:cNvPicPr>
                            <a:picLocks noChangeArrowheads="1" noChangeAspect="1"/>
                          </pic:cNvPicPr>
                        </pic:nvPicPr>
                        <pic:blipFill>
                          <a:blip r:embed="rId58"/>
                          <a:stretch>
                            <a:fillRect/>
                          </a:stretch>
                        </pic:blipFill>
                        <pic:spPr bwMode="auto">
                          <a:xfrm>
                            <a:off x="0" y="0"/>
                            <a:ext cx="5943600" cy="28153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Trends from 1975 to 2022 for bottom water temperature and salinity measurements at long-term monitoring stations in Tampa Bay. Results for seasonal Kendall tests by station are shown in (a) with color and shape corresponding to the estimated annual slope as change per year (yr</w:t>
            </w:r>
            <m:oMath>
              <m:sSup>
                <m:e>
                  <m:r>
                    <m:t>​</m:t>
                  </m:r>
                </m:e>
                <m:sup>
                  <m:r>
                    <m:rPr>
                      <m:sty m:val="p"/>
                    </m:rPr>
                    <m:t>−</m:t>
                  </m:r>
                  <m:r>
                    <m:t>1</m:t>
                  </m:r>
                </m:sup>
              </m:sSup>
            </m:oMath>
            <w:r>
              <w:t xml:space="preserve">). Summarized seasonal trends by month are shown as (b) the percent of stations in each bay segment with significant increasing (temperature) or decreasing (salinity) trends. Bay segment outlines are shown in (a); OTB: Old Tampa Bay, HB: Hillsborough Bay, MTB: Middle Tampa Bay, LTB: Lower Tampa Bay.</w:t>
            </w:r>
          </w:p>
          <w:bookmarkEnd w:id="6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5" w:name="fig-mixeff"/>
          <w:p>
            <w:pPr>
              <w:pStyle w:val="Compact"/>
              <w:jc w:val="center"/>
            </w:pPr>
            <w:r>
              <w:drawing>
                <wp:inline>
                  <wp:extent cx="5943600" cy="5094514"/>
                  <wp:effectExtent b="0" l="0" r="0" t="0"/>
                  <wp:docPr descr="" title="" id="63" name="Picture"/>
                  <a:graphic>
                    <a:graphicData uri="http://schemas.openxmlformats.org/drawingml/2006/picture">
                      <pic:pic>
                        <pic:nvPicPr>
                          <pic:cNvPr descr="figs/mixeff.png" id="64" name="Picture"/>
                          <pic:cNvPicPr>
                            <a:picLocks noChangeArrowheads="1" noChangeAspect="1"/>
                          </pic:cNvPicPr>
                        </pic:nvPicPr>
                        <pic:blipFill>
                          <a:blip r:embed="rId62"/>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Example of mixed effects models for the estimated number of days per year that temperature (red) or salinity (blue) were above or below thresholds of 30</w:t>
            </w:r>
            <w:r>
              <w:t xml:space="preserve"> </w:t>
            </w:r>
            <m:oMath>
              <m:sSup>
                <m:e>
                  <m:r>
                    <m:t>​</m:t>
                  </m:r>
                </m:e>
                <m:sup>
                  <m:r>
                    <m:rPr>
                      <m:sty m:val="p"/>
                    </m:rPr>
                    <m:t>∘</m:t>
                  </m:r>
                </m:sup>
              </m:sSup>
            </m:oMath>
            <w:r>
              <w:t xml:space="preserve">C or 25 psu, respectively, from the EPC data. The bottom row (black) shows the number of days when both temperature was above and salinity was below the thresholds. The models included station as a random effect for each bay segment, with grey lines indicating individual station trends, grey points as actual number of days, and thicker lines indicating the overall model fit. Slopes for significant models are shown in the bottom right of each facet. OTB: Old Tampa Bay, HB: Hillsborough Bay, MTB: Middle Tampa Bay, LTB: Lower Tampa Bay.</w:t>
            </w:r>
          </w:p>
          <w:bookmarkEnd w:id="6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9" w:name="fig-sgmod"/>
          <w:p>
            <w:pPr>
              <w:pStyle w:val="Compact"/>
              <w:jc w:val="center"/>
            </w:pPr>
            <w:r>
              <w:drawing>
                <wp:inline>
                  <wp:extent cx="5943600" cy="5094514"/>
                  <wp:effectExtent b="0" l="0" r="0" t="0"/>
                  <wp:docPr descr="" title="" id="67" name="Picture"/>
                  <a:graphic>
                    <a:graphicData uri="http://schemas.openxmlformats.org/drawingml/2006/picture">
                      <pic:pic>
                        <pic:nvPicPr>
                          <pic:cNvPr descr="figs/sgmods.png" id="68" name="Picture"/>
                          <pic:cNvPicPr>
                            <a:picLocks noChangeArrowheads="1" noChangeAspect="1"/>
                          </pic:cNvPicPr>
                        </pic:nvPicPr>
                        <pic:blipFill>
                          <a:blip r:embed="rId66"/>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changes versus temperature or salinity predictors for the (a) EPC and (b) FIM datasets. The predictors for (a) were the number of days when temperature was above the threshold and the number of days when salinity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9"/>
        </w:tc>
      </w:tr>
    </w:tbl>
    <w:p>
      <w:r>
        <w:br w:type="page"/>
      </w:r>
    </w:p>
    <w:bookmarkEnd w:id="70"/>
    <w:bookmarkStart w:id="75"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71" w:name="tbl-temptrndtab"/>
          <w:p>
            <w:pPr>
              <w:jc w:val="center"/>
            </w:pPr>
            <w:pPr>
              <w:jc w:val="start"/>
              <w:spacing w:before="200"/>
              <w:pStyle w:val="Imag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24.7</w:t>
                  </w:r>
                </w:p>
              </w:tc>
              <w:tc>
                <w:tcPr/>
                <w:p>
                  <w:pPr>
                    <w:pStyle w:val="Compact"/>
                    <w:jc w:val="right"/>
                    <w:jc w:val="center"/>
                  </w:pPr>
                  <w:r>
                    <w:t xml:space="preserve">1.4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23.2</w:t>
                  </w:r>
                </w:p>
              </w:tc>
              <w:tc>
                <w:tcPr/>
                <w:p>
                  <w:pPr>
                    <w:pStyle w:val="Compact"/>
                    <w:jc w:val="right"/>
                    <w:jc w:val="center"/>
                  </w:pPr>
                  <w:r>
                    <w:t xml:space="preserve">25.2</w:t>
                  </w:r>
                </w:p>
              </w:tc>
              <w:tc>
                <w:tcPr/>
                <w:p>
                  <w:pPr>
                    <w:pStyle w:val="Compact"/>
                    <w:jc w:val="right"/>
                    <w:jc w:val="center"/>
                  </w:pPr>
                  <w:r>
                    <w:t xml:space="preserve">2.0</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23.3</w:t>
                  </w:r>
                </w:p>
              </w:tc>
              <w:tc>
                <w:tcPr/>
                <w:p>
                  <w:pPr>
                    <w:pStyle w:val="Compact"/>
                    <w:jc w:val="right"/>
                    <w:jc w:val="center"/>
                  </w:pPr>
                  <w:r>
                    <w:t xml:space="preserve">24.9</w:t>
                  </w:r>
                </w:p>
              </w:tc>
              <w:tc>
                <w:tcPr/>
                <w:p>
                  <w:pPr>
                    <w:pStyle w:val="Compact"/>
                    <w:jc w:val="right"/>
                    <w:jc w:val="center"/>
                  </w:pPr>
                  <w:r>
                    <w:t xml:space="preserve">1.6</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23.6</w:t>
                  </w:r>
                </w:p>
              </w:tc>
              <w:tc>
                <w:tcPr/>
                <w:p>
                  <w:pPr>
                    <w:pStyle w:val="Compact"/>
                    <w:jc w:val="right"/>
                    <w:jc w:val="center"/>
                  </w:pPr>
                  <w:r>
                    <w:t xml:space="preserve">24.8</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23.5</w:t>
                  </w:r>
                </w:p>
              </w:tc>
              <w:tc>
                <w:tcPr/>
                <w:p>
                  <w:pPr>
                    <w:pStyle w:val="Compact"/>
                    <w:jc w:val="right"/>
                    <w:jc w:val="center"/>
                  </w:pPr>
                  <w:r>
                    <w:t xml:space="preserve">24.7</w:t>
                  </w:r>
                </w:p>
              </w:tc>
              <w:tc>
                <w:tcPr/>
                <w:p>
                  <w:pPr>
                    <w:pStyle w:val="Compact"/>
                    <w:jc w:val="right"/>
                    <w:jc w:val="center"/>
                  </w:pPr>
                  <w:r>
                    <w:t xml:space="preserve">1.2</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25.3</w:t>
                  </w:r>
                </w:p>
              </w:tc>
              <w:tc>
                <w:tcPr/>
                <w:p>
                  <w:pPr>
                    <w:pStyle w:val="Compact"/>
                    <w:jc w:val="right"/>
                    <w:jc w:val="center"/>
                  </w:pPr>
                  <w:r>
                    <w:t xml:space="preserve">1.5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0.04</w:t>
                  </w:r>
                </w:p>
              </w:tc>
              <w:tc>
                <w:tcPr/>
                <w:p>
                  <w:pPr>
                    <w:pStyle w:val="Compact"/>
                    <w:jc w:val="right"/>
                    <w:jc w:val="center"/>
                  </w:pPr>
                  <w:r>
                    <w:t xml:space="preserve">24.1</w:t>
                  </w:r>
                </w:p>
              </w:tc>
              <w:tc>
                <w:tcPr/>
                <w:p>
                  <w:pPr>
                    <w:pStyle w:val="Compact"/>
                    <w:jc w:val="right"/>
                    <w:jc w:val="center"/>
                  </w:pPr>
                  <w:r>
                    <w:t xml:space="preserve">25.0</w:t>
                  </w:r>
                </w:p>
              </w:tc>
              <w:tc>
                <w:tcPr/>
                <w:p>
                  <w:pPr>
                    <w:pStyle w:val="Compact"/>
                    <w:jc w:val="right"/>
                    <w:jc w:val="center"/>
                  </w:pPr>
                  <w:r>
                    <w:t xml:space="preserve">0.9</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23.8</w:t>
                  </w:r>
                </w:p>
              </w:tc>
              <w:tc>
                <w:tcPr/>
                <w:p>
                  <w:pPr>
                    <w:pStyle w:val="Compact"/>
                    <w:jc w:val="right"/>
                    <w:jc w:val="center"/>
                  </w:pPr>
                  <w:r>
                    <w:t xml:space="preserve">24.8</w:t>
                  </w:r>
                </w:p>
              </w:tc>
              <w:tc>
                <w:tcPr/>
                <w:p>
                  <w:pPr>
                    <w:pStyle w:val="Compact"/>
                    <w:jc w:val="right"/>
                    <w:jc w:val="center"/>
                  </w:pPr>
                  <w:r>
                    <w:t xml:space="preserve">1.0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w:t>
                  </w:r>
                </w:p>
              </w:tc>
              <w:tc>
                <w:tcPr/>
                <w:p>
                  <w:pPr>
                    <w:pStyle w:val="Compact"/>
                    <w:jc w:val="right"/>
                    <w:jc w:val="center"/>
                  </w:pPr>
                  <w:r>
                    <w:t xml:space="preserve">24.0</w:t>
                  </w:r>
                </w:p>
              </w:tc>
              <w:tc>
                <w:tcPr/>
                <w:p>
                  <w:pPr>
                    <w:pStyle w:val="Compact"/>
                    <w:jc w:val="right"/>
                    <w:jc w:val="center"/>
                  </w:pPr>
                  <w:r>
                    <w:t xml:space="preserve">24.7</w:t>
                  </w:r>
                </w:p>
              </w:tc>
              <w:tc>
                <w:tcPr/>
                <w:p>
                  <w:pPr>
                    <w:pStyle w:val="Compact"/>
                    <w:jc w:val="right"/>
                    <w:jc w:val="center"/>
                  </w:pPr>
                  <w:r>
                    <w:t xml:space="preserve">0.7</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w:t>
                  </w:r>
                </w:p>
              </w:tc>
              <w:tc>
                <w:tcPr/>
                <w:p>
                  <w:pPr>
                    <w:pStyle w:val="Compact"/>
                    <w:jc w:val="right"/>
                    <w:jc w:val="center"/>
                  </w:pPr>
                  <w:r>
                    <w:t xml:space="preserve">24.0</w:t>
                  </w:r>
                </w:p>
              </w:tc>
              <w:tc>
                <w:tcPr/>
                <w:p>
                  <w:pPr>
                    <w:pStyle w:val="Compact"/>
                    <w:jc w:val="right"/>
                    <w:jc w:val="center"/>
                  </w:pPr>
                  <w:r>
                    <w:t xml:space="preserve">24.6</w:t>
                  </w:r>
                </w:p>
              </w:tc>
              <w:tc>
                <w:tcPr/>
                <w:p>
                  <w:pPr>
                    <w:pStyle w:val="Compact"/>
                    <w:jc w:val="right"/>
                    <w:jc w:val="center"/>
                  </w:pPr>
                  <w:r>
                    <w:t xml:space="preserve">0.6</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w:t>
                  </w:r>
                </w:p>
              </w:tc>
              <w:tc>
                <w:tcPr/>
                <w:p>
                  <w:pPr>
                    <w:pStyle w:val="Compact"/>
                    <w:jc w:val="right"/>
                    <w:jc w:val="center"/>
                  </w:pPr>
                  <w:r>
                    <w:t xml:space="preserve">23.6</w:t>
                  </w:r>
                </w:p>
              </w:tc>
              <w:tc>
                <w:tcPr/>
                <w:p>
                  <w:pPr>
                    <w:pStyle w:val="Compact"/>
                    <w:jc w:val="right"/>
                    <w:jc w:val="center"/>
                  </w:pPr>
                  <w:r>
                    <w:t xml:space="preserve">24.9</w:t>
                  </w:r>
                </w:p>
              </w:tc>
              <w:tc>
                <w:tcPr/>
                <w:p>
                  <w:pPr>
                    <w:pStyle w:val="Compact"/>
                    <w:jc w:val="right"/>
                    <w:jc w:val="center"/>
                  </w:pPr>
                  <w:r>
                    <w:t xml:space="preserve">1.3</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0.05</w:t>
                  </w:r>
                </w:p>
              </w:tc>
              <w:tc>
                <w:tcPr/>
                <w:p>
                  <w:pPr>
                    <w:pStyle w:val="Compact"/>
                    <w:jc w:val="right"/>
                    <w:jc w:val="center"/>
                  </w:pPr>
                  <w:r>
                    <w:t xml:space="preserve">24.4</w:t>
                  </w:r>
                </w:p>
              </w:tc>
              <w:tc>
                <w:tcPr/>
                <w:p>
                  <w:pPr>
                    <w:pStyle w:val="Compact"/>
                    <w:jc w:val="right"/>
                    <w:jc w:val="center"/>
                  </w:pPr>
                  <w:r>
                    <w:t xml:space="preserve">25.2</w:t>
                  </w:r>
                </w:p>
              </w:tc>
              <w:tc>
                <w:tcPr/>
                <w:p>
                  <w:pPr>
                    <w:pStyle w:val="Compact"/>
                    <w:jc w:val="right"/>
                    <w:jc w:val="center"/>
                  </w:pPr>
                  <w:r>
                    <w:t xml:space="preserve">0.8</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0.09**</w:t>
                  </w:r>
                </w:p>
              </w:tc>
              <w:tc>
                <w:tcPr/>
                <w:p>
                  <w:pPr>
                    <w:pStyle w:val="Compact"/>
                    <w:jc w:val="right"/>
                    <w:jc w:val="center"/>
                  </w:pPr>
                  <w:r>
                    <w:t xml:space="preserve">23.9</w:t>
                  </w:r>
                </w:p>
              </w:tc>
              <w:tc>
                <w:tcPr/>
                <w:p>
                  <w:pPr>
                    <w:pStyle w:val="Compact"/>
                    <w:jc w:val="right"/>
                    <w:jc w:val="center"/>
                  </w:pPr>
                  <w:r>
                    <w:t xml:space="preserve">25.5</w:t>
                  </w:r>
                </w:p>
              </w:tc>
              <w:tc>
                <w:tcPr/>
                <w:p>
                  <w:pPr>
                    <w:pStyle w:val="Compact"/>
                    <w:jc w:val="right"/>
                    <w:jc w:val="center"/>
                  </w:pPr>
                  <w:r>
                    <w:t xml:space="preserve">1.6</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w:t>
                  </w:r>
                </w:p>
              </w:tc>
              <w:tc>
                <w:tcPr/>
                <w:p>
                  <w:pPr>
                    <w:pStyle w:val="Compact"/>
                    <w:jc w:val="right"/>
                    <w:jc w:val="center"/>
                  </w:pPr>
                  <w:r>
                    <w:t xml:space="preserve">23.7</w:t>
                  </w:r>
                </w:p>
              </w:tc>
              <w:tc>
                <w:tcPr/>
                <w:p>
                  <w:pPr>
                    <w:pStyle w:val="Compact"/>
                    <w:jc w:val="right"/>
                    <w:jc w:val="center"/>
                  </w:pPr>
                  <w:r>
                    <w:t xml:space="preserve">25.4</w:t>
                  </w:r>
                </w:p>
              </w:tc>
              <w:tc>
                <w:tcPr/>
                <w:p>
                  <w:pPr>
                    <w:pStyle w:val="Compact"/>
                    <w:jc w:val="right"/>
                    <w:jc w:val="center"/>
                  </w:pPr>
                  <w:r>
                    <w:t xml:space="preserve">1.7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bl>
          <w:bookmarkEnd w:id="71"/>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2" w:name="tbl-saltrndtab"/>
          <w:p>
            <w:pPr>
              <w:jc w:val="center"/>
            </w:pPr>
            <w:pPr>
              <w:jc w:val="start"/>
              <w:spacing w:before="200"/>
              <w:pStyle w:val="ImageCaption"/>
            </w:pPr>
            <w:r>
              <w:t xml:space="preserve">Table 2: Bottom salinity trends (ppt) by bay segments and datasets. Start year describes the range of the trend test to the present year (2022). The starting value is the estimated salinity at the start year and the end value is the estimated salinity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25.8</w:t>
                  </w:r>
                </w:p>
              </w:tc>
              <w:tc>
                <w:tcPr/>
                <w:p>
                  <w:pPr>
                    <w:pStyle w:val="Compact"/>
                    <w:jc w:val="right"/>
                    <w:jc w:val="center"/>
                  </w:pPr>
                  <w:r>
                    <w:t xml:space="preserve">23.1</w:t>
                  </w:r>
                </w:p>
              </w:tc>
              <w:tc>
                <w:tcPr/>
                <w:p>
                  <w:pPr>
                    <w:pStyle w:val="Compact"/>
                    <w:jc w:val="right"/>
                    <w:jc w:val="center"/>
                  </w:pPr>
                  <w:r>
                    <w:t xml:space="preserve">-2.7</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-0.02</w:t>
                  </w:r>
                </w:p>
              </w:tc>
              <w:tc>
                <w:tcPr/>
                <w:p>
                  <w:pPr>
                    <w:pStyle w:val="Compact"/>
                    <w:jc w:val="right"/>
                    <w:jc w:val="center"/>
                  </w:pPr>
                  <w:r>
                    <w:t xml:space="preserve">25.6</w:t>
                  </w:r>
                </w:p>
              </w:tc>
              <w:tc>
                <w:tcPr/>
                <w:p>
                  <w:pPr>
                    <w:pStyle w:val="Compact"/>
                    <w:jc w:val="right"/>
                    <w:jc w:val="center"/>
                  </w:pPr>
                  <w:r>
                    <w:t xml:space="preserve">24.6</w:t>
                  </w:r>
                </w:p>
              </w:tc>
              <w:tc>
                <w:tcPr/>
                <w:p>
                  <w:pPr>
                    <w:pStyle w:val="Compact"/>
                    <w:jc w:val="right"/>
                    <w:jc w:val="center"/>
                  </w:pPr>
                  <w:r>
                    <w:t xml:space="preserve">-1.0</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28.2</w:t>
                  </w:r>
                </w:p>
              </w:tc>
              <w:tc>
                <w:tcPr/>
                <w:p>
                  <w:pPr>
                    <w:pStyle w:val="Compact"/>
                    <w:jc w:val="right"/>
                    <w:jc w:val="center"/>
                  </w:pPr>
                  <w:r>
                    <w:t xml:space="preserve">26.6</w:t>
                  </w:r>
                </w:p>
              </w:tc>
              <w:tc>
                <w:tcPr/>
                <w:p>
                  <w:pPr>
                    <w:pStyle w:val="Compact"/>
                    <w:jc w:val="right"/>
                    <w:jc w:val="center"/>
                  </w:pPr>
                  <w:r>
                    <w:t xml:space="preserve">-1.6</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33.4</w:t>
                  </w:r>
                </w:p>
              </w:tc>
              <w:tc>
                <w:tcPr/>
                <w:p>
                  <w:pPr>
                    <w:pStyle w:val="Compact"/>
                    <w:jc w:val="right"/>
                    <w:jc w:val="center"/>
                  </w:pPr>
                  <w:r>
                    <w:t xml:space="preserve">31.3</w:t>
                  </w:r>
                </w:p>
              </w:tc>
              <w:tc>
                <w:tcPr/>
                <w:p>
                  <w:pPr>
                    <w:pStyle w:val="Compact"/>
                    <w:jc w:val="right"/>
                    <w:jc w:val="center"/>
                  </w:pPr>
                  <w:r>
                    <w:t xml:space="preserve">-2.1</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24.9</w:t>
                  </w:r>
                </w:p>
              </w:tc>
              <w:tc>
                <w:tcPr/>
                <w:p>
                  <w:pPr>
                    <w:pStyle w:val="Compact"/>
                    <w:jc w:val="right"/>
                    <w:jc w:val="center"/>
                  </w:pPr>
                  <w:r>
                    <w:t xml:space="preserve">22.8</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-0.06</w:t>
                  </w:r>
                </w:p>
              </w:tc>
              <w:tc>
                <w:tcPr/>
                <w:p>
                  <w:pPr>
                    <w:pStyle w:val="Compact"/>
                    <w:jc w:val="right"/>
                    <w:jc w:val="center"/>
                  </w:pPr>
                  <w:r>
                    <w:t xml:space="preserve">24.1</w:t>
                  </w:r>
                </w:p>
              </w:tc>
              <w:tc>
                <w:tcPr/>
                <w:p>
                  <w:pPr>
                    <w:pStyle w:val="Compact"/>
                    <w:jc w:val="right"/>
                    <w:jc w:val="center"/>
                  </w:pPr>
                  <w:r>
                    <w:t xml:space="preserve">22.6</w:t>
                  </w:r>
                </w:p>
              </w:tc>
              <w:tc>
                <w:tcPr/>
                <w:p>
                  <w:pPr>
                    <w:pStyle w:val="Compact"/>
                    <w:jc w:val="right"/>
                    <w:jc w:val="center"/>
                  </w:pPr>
                  <w:r>
                    <w:t xml:space="preserve">-1.5</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26.1</w:t>
                  </w:r>
                </w:p>
              </w:tc>
              <w:tc>
                <w:tcPr/>
                <w:p>
                  <w:pPr>
                    <w:pStyle w:val="Compact"/>
                    <w:jc w:val="right"/>
                    <w:jc w:val="center"/>
                  </w:pPr>
                  <w:r>
                    <w:t xml:space="preserve">23.9</w:t>
                  </w:r>
                </w:p>
              </w:tc>
              <w:tc>
                <w:tcPr/>
                <w:p>
                  <w:pPr>
                    <w:pStyle w:val="Compact"/>
                    <w:jc w:val="right"/>
                    <w:jc w:val="center"/>
                  </w:pPr>
                  <w:r>
                    <w:t xml:space="preserve">-2.2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w:t>
                  </w:r>
                </w:p>
              </w:tc>
              <w:tc>
                <w:tcPr/>
                <w:p>
                  <w:pPr>
                    <w:pStyle w:val="Compact"/>
                    <w:jc w:val="right"/>
                    <w:jc w:val="center"/>
                  </w:pPr>
                  <w:r>
                    <w:t xml:space="preserve">24.0</w:t>
                  </w:r>
                </w:p>
              </w:tc>
              <w:tc>
                <w:tcPr/>
                <w:p>
                  <w:pPr>
                    <w:pStyle w:val="Compact"/>
                    <w:jc w:val="right"/>
                    <w:jc w:val="center"/>
                  </w:pPr>
                  <w:r>
                    <w:t xml:space="preserve">24.0</w:t>
                  </w:r>
                </w:p>
              </w:tc>
              <w:tc>
                <w:tcPr/>
                <w:p>
                  <w:pPr>
                    <w:pStyle w:val="Compact"/>
                    <w:jc w:val="right"/>
                    <w:jc w:val="center"/>
                  </w:pPr>
                  <w:r>
                    <w:t xml:space="preserve">0.0</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28.0</w:t>
                  </w:r>
                </w:p>
              </w:tc>
              <w:tc>
                <w:tcPr/>
                <w:p>
                  <w:pPr>
                    <w:pStyle w:val="Compact"/>
                    <w:jc w:val="right"/>
                    <w:jc w:val="center"/>
                  </w:pPr>
                  <w:r>
                    <w:t xml:space="preserve">26.3</w:t>
                  </w:r>
                </w:p>
              </w:tc>
              <w:tc>
                <w:tcPr/>
                <w:p>
                  <w:pPr>
                    <w:pStyle w:val="Compact"/>
                    <w:jc w:val="right"/>
                    <w:jc w:val="center"/>
                  </w:pPr>
                  <w:r>
                    <w:t xml:space="preserve">-1.7</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w:t>
                  </w:r>
                </w:p>
              </w:tc>
              <w:tc>
                <w:tcPr/>
                <w:p>
                  <w:pPr>
                    <w:pStyle w:val="Compact"/>
                    <w:jc w:val="right"/>
                    <w:jc w:val="center"/>
                  </w:pPr>
                  <w:r>
                    <w:t xml:space="preserve">26.6</w:t>
                  </w:r>
                </w:p>
              </w:tc>
              <w:tc>
                <w:tcPr/>
                <w:p>
                  <w:pPr>
                    <w:pStyle w:val="Compact"/>
                    <w:jc w:val="right"/>
                    <w:jc w:val="center"/>
                  </w:pPr>
                  <w:r>
                    <w:t xml:space="preserve">25.8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32.5</w:t>
                  </w:r>
                </w:p>
              </w:tc>
              <w:tc>
                <w:tcPr/>
                <w:p>
                  <w:pPr>
                    <w:pStyle w:val="Compact"/>
                    <w:jc w:val="right"/>
                    <w:jc w:val="center"/>
                  </w:pPr>
                  <w:r>
                    <w:t xml:space="preserve">31.4</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0.01</w:t>
                  </w:r>
                </w:p>
              </w:tc>
              <w:tc>
                <w:tcPr/>
                <w:p>
                  <w:pPr>
                    <w:pStyle w:val="Compact"/>
                    <w:jc w:val="right"/>
                    <w:jc w:val="center"/>
                  </w:pPr>
                  <w:r>
                    <w:t xml:space="preserve">31.6</w:t>
                  </w:r>
                </w:p>
              </w:tc>
              <w:tc>
                <w:tcPr/>
                <w:p>
                  <w:pPr>
                    <w:pStyle w:val="Compact"/>
                    <w:jc w:val="right"/>
                    <w:jc w:val="center"/>
                  </w:pPr>
                  <w:r>
                    <w:t xml:space="preserve">32.0</w:t>
                  </w:r>
                </w:p>
              </w:tc>
              <w:tc>
                <w:tcPr/>
                <w:p>
                  <w:pPr>
                    <w:pStyle w:val="Compact"/>
                    <w:jc w:val="right"/>
                    <w:jc w:val="center"/>
                  </w:pPr>
                  <w:r>
                    <w:t xml:space="preserve">0.4</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-0.2*</w:t>
                  </w:r>
                </w:p>
              </w:tc>
              <w:tc>
                <w:tcPr/>
                <w:p>
                  <w:pPr>
                    <w:pStyle w:val="Compact"/>
                    <w:jc w:val="right"/>
                    <w:jc w:val="center"/>
                  </w:pPr>
                  <w:r>
                    <w:t xml:space="preserve">25.5</w:t>
                  </w:r>
                </w:p>
              </w:tc>
              <w:tc>
                <w:tcPr/>
                <w:p>
                  <w:pPr>
                    <w:pStyle w:val="Compact"/>
                    <w:jc w:val="right"/>
                    <w:jc w:val="center"/>
                  </w:pPr>
                  <w:r>
                    <w:t xml:space="preserve">22.0</w:t>
                  </w:r>
                </w:p>
              </w:tc>
              <w:tc>
                <w:tcPr/>
                <w:p>
                  <w:pPr>
                    <w:pStyle w:val="Compact"/>
                    <w:jc w:val="right"/>
                    <w:jc w:val="center"/>
                  </w:pPr>
                  <w:r>
                    <w:t xml:space="preserve">-3.5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-0.15</w:t>
                  </w:r>
                </w:p>
              </w:tc>
              <w:tc>
                <w:tcPr/>
                <w:p>
                  <w:pPr>
                    <w:pStyle w:val="Compact"/>
                    <w:jc w:val="right"/>
                    <w:jc w:val="center"/>
                  </w:pPr>
                  <w:r>
                    <w:t xml:space="preserve">24.7</w:t>
                  </w:r>
                </w:p>
              </w:tc>
              <w:tc>
                <w:tcPr/>
                <w:p>
                  <w:pPr>
                    <w:pStyle w:val="Compact"/>
                    <w:jc w:val="right"/>
                    <w:jc w:val="center"/>
                  </w:pPr>
                  <w:r>
                    <w:t xml:space="preserve">21.9</w:t>
                  </w:r>
                </w:p>
              </w:tc>
              <w:tc>
                <w:tcPr/>
                <w:p>
                  <w:pPr>
                    <w:pStyle w:val="Compact"/>
                    <w:jc w:val="right"/>
                    <w:jc w:val="center"/>
                  </w:pPr>
                  <w:r>
                    <w:t xml:space="preserve">-2.8</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-0.19</w:t>
                  </w:r>
                </w:p>
              </w:tc>
              <w:tc>
                <w:tcPr/>
                <w:p>
                  <w:pPr>
                    <w:pStyle w:val="Compact"/>
                    <w:jc w:val="right"/>
                    <w:jc w:val="center"/>
                  </w:pPr>
                  <w:r>
                    <w:t xml:space="preserve">24.3</w:t>
                  </w:r>
                </w:p>
              </w:tc>
              <w:tc>
                <w:tcPr/>
                <w:p>
                  <w:pPr>
                    <w:pStyle w:val="Compact"/>
                    <w:jc w:val="right"/>
                    <w:jc w:val="center"/>
                  </w:pPr>
                  <w:r>
                    <w:t xml:space="preserve">20.9</w:t>
                  </w:r>
                </w:p>
              </w:tc>
              <w:tc>
                <w:tcPr/>
                <w:p>
                  <w:pPr>
                    <w:pStyle w:val="Compact"/>
                    <w:jc w:val="right"/>
                    <w:jc w:val="center"/>
                  </w:pPr>
                  <w:r>
                    <w:t xml:space="preserve">-3.4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-0.19*</w:t>
                  </w:r>
                </w:p>
              </w:tc>
              <w:tc>
                <w:tcPr/>
                <w:p>
                  <w:pPr>
                    <w:pStyle w:val="Compact"/>
                    <w:jc w:val="right"/>
                    <w:jc w:val="center"/>
                  </w:pPr>
                  <w:r>
                    <w:t xml:space="preserve">26.5</w:t>
                  </w:r>
                </w:p>
              </w:tc>
              <w:tc>
                <w:tcPr/>
                <w:p>
                  <w:pPr>
                    <w:pStyle w:val="Compact"/>
                    <w:jc w:val="right"/>
                    <w:jc w:val="center"/>
                  </w:pPr>
                  <w:r>
                    <w:t xml:space="preserve">23.1</w:t>
                  </w:r>
                </w:p>
              </w:tc>
              <w:tc>
                <w:tcPr/>
                <w:p>
                  <w:pPr>
                    <w:pStyle w:val="Compact"/>
                    <w:jc w:val="right"/>
                    <w:jc w:val="center"/>
                  </w:pPr>
                  <w:r>
                    <w:t xml:space="preserve">-3.4</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-0.08</w:t>
                  </w:r>
                </w:p>
              </w:tc>
              <w:tc>
                <w:tcPr/>
                <w:p>
                  <w:pPr>
                    <w:pStyle w:val="Compact"/>
                    <w:jc w:val="right"/>
                    <w:jc w:val="center"/>
                  </w:pPr>
                  <w:r>
                    <w:t xml:space="preserve">24.8</w:t>
                  </w:r>
                </w:p>
              </w:tc>
              <w:tc>
                <w:tcPr/>
                <w:p>
                  <w:pPr>
                    <w:pStyle w:val="Compact"/>
                    <w:jc w:val="right"/>
                    <w:jc w:val="center"/>
                  </w:pPr>
                  <w:r>
                    <w:t xml:space="preserve">23.4</w:t>
                  </w:r>
                </w:p>
              </w:tc>
              <w:tc>
                <w:tcPr/>
                <w:p>
                  <w:pPr>
                    <w:pStyle w:val="Compact"/>
                    <w:jc w:val="right"/>
                    <w:jc w:val="center"/>
                  </w:pPr>
                  <w:r>
                    <w:t xml:space="preserve">-1.4</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-0.17*</w:t>
                  </w:r>
                </w:p>
              </w:tc>
              <w:tc>
                <w:tcPr/>
                <w:p>
                  <w:pPr>
                    <w:pStyle w:val="Compact"/>
                    <w:jc w:val="right"/>
                    <w:jc w:val="center"/>
                  </w:pPr>
                  <w:r>
                    <w:t xml:space="preserve">28.6</w:t>
                  </w:r>
                </w:p>
              </w:tc>
              <w:tc>
                <w:tcPr/>
                <w:p>
                  <w:pPr>
                    <w:pStyle w:val="Compact"/>
                    <w:jc w:val="right"/>
                    <w:jc w:val="center"/>
                  </w:pPr>
                  <w:r>
                    <w:t xml:space="preserve">25.6</w:t>
                  </w:r>
                </w:p>
              </w:tc>
              <w:tc>
                <w:tcPr/>
                <w:p>
                  <w:pPr>
                    <w:pStyle w:val="Compact"/>
                    <w:jc w:val="right"/>
                    <w:jc w:val="center"/>
                  </w:pPr>
                  <w:r>
                    <w:t xml:space="preserve">-3.0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-0.11</w:t>
                  </w:r>
                </w:p>
              </w:tc>
              <w:tc>
                <w:tcPr/>
                <w:p>
                  <w:pPr>
                    <w:pStyle w:val="Compact"/>
                    <w:jc w:val="right"/>
                    <w:jc w:val="center"/>
                  </w:pPr>
                  <w:r>
                    <w:t xml:space="preserve">27.2</w:t>
                  </w:r>
                </w:p>
              </w:tc>
              <w:tc>
                <w:tcPr/>
                <w:p>
                  <w:pPr>
                    <w:pStyle w:val="Compact"/>
                    <w:jc w:val="right"/>
                    <w:jc w:val="center"/>
                  </w:pPr>
                  <w:r>
                    <w:t xml:space="preserve">25.2</w:t>
                  </w:r>
                </w:p>
              </w:tc>
              <w:tc>
                <w:tcPr/>
                <w:p>
                  <w:pPr>
                    <w:pStyle w:val="Compact"/>
                    <w:jc w:val="right"/>
                    <w:jc w:val="center"/>
                  </w:pPr>
                  <w:r>
                    <w:t xml:space="preserve">-2.0</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-0.12*</w:t>
                  </w:r>
                </w:p>
              </w:tc>
              <w:tc>
                <w:tcPr/>
                <w:p>
                  <w:pPr>
                    <w:pStyle w:val="Compact"/>
                    <w:jc w:val="right"/>
                    <w:jc w:val="center"/>
                  </w:pPr>
                  <w:r>
                    <w:t xml:space="preserve">33.0</w:t>
                  </w:r>
                </w:p>
              </w:tc>
              <w:tc>
                <w:tcPr/>
                <w:p>
                  <w:pPr>
                    <w:pStyle w:val="Compact"/>
                    <w:jc w:val="right"/>
                    <w:jc w:val="center"/>
                  </w:pPr>
                  <w:r>
                    <w:t xml:space="preserve">30.9</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32.5</w:t>
                  </w:r>
                </w:p>
              </w:tc>
              <w:tc>
                <w:tcPr/>
                <w:p>
                  <w:pPr>
                    <w:pStyle w:val="Compact"/>
                    <w:jc w:val="right"/>
                    <w:jc w:val="center"/>
                  </w:pPr>
                  <w:r>
                    <w:t xml:space="preserve">31.5</w:t>
                  </w:r>
                </w:p>
              </w:tc>
              <w:tc>
                <w:tcPr/>
                <w:p>
                  <w:pPr>
                    <w:pStyle w:val="Compact"/>
                    <w:jc w:val="right"/>
                    <w:jc w:val="center"/>
                  </w:pPr>
                  <w:r>
                    <w:t xml:space="preserve">-1.0</w:t>
                  </w:r>
                </w:p>
              </w:tc>
            </w:tr>
          </w:tbl>
          <w:bookmarkEnd w:id="72"/>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3" w:name="tbl-mixdaytab"/>
          <w:p>
            <w:pPr>
              <w:jc w:val="center"/>
            </w:pPr>
            <w:pPr>
              <w:jc w:val="start"/>
              <w:spacing w:before="200"/>
              <w:pStyle w:val="ImageCaption"/>
            </w:pPr>
            <w:r>
              <w:t xml:space="preserve">Table 3: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Bay Segment</w:t>
                  </w:r>
                </w:p>
              </w:tc>
              <w:tc>
                <w:tcPr/>
                <w:p>
                  <w:pPr>
                    <w:pStyle w:val="Compact"/>
                    <w:jc w:val="left"/>
                    <w:jc w:val="center"/>
                  </w:pPr>
                  <w:r>
                    <w:t xml:space="preserve">Threshold</w:t>
                  </w:r>
                </w:p>
              </w:tc>
              <w:tc>
                <w:tcPr/>
                <w:p>
                  <w:pPr>
                    <w:pStyle w:val="Compact"/>
                    <w:jc w:val="left"/>
                    <w:jc w:val="center"/>
                  </w:pPr>
                  <w:r>
                    <w:t xml:space="preserve">Slope</w:t>
                  </w:r>
                </w:p>
              </w:tc>
              <w:tc>
                <w:tcPr/>
                <w:p>
                  <w:pPr>
                    <w:pStyle w:val="Compact"/>
                    <w:jc w:val="left"/>
                    <w:jc w:val="center"/>
                  </w:pPr>
                  <w:r>
                    <w:t xml:space="preserve">Start</w:t>
                  </w:r>
                </w:p>
              </w:tc>
              <w:tc>
                <w:tcPr/>
                <w:p>
                  <w:pPr>
                    <w:pStyle w:val="Compact"/>
                    <w:jc w:val="left"/>
                    <w:jc w:val="center"/>
                  </w:pPr>
                  <w:r>
                    <w:t xml:space="preserve">End</w:t>
                  </w:r>
                </w:p>
              </w:tc>
            </w:tr>
            <w:tr>
              <w:tc>
                <w:tcPr/>
                <w:p>
                  <w:pPr>
                    <w:pStyle w:val="Compact"/>
                    <w:jc w:val="left"/>
                    <w:jc w:val="center"/>
                  </w:pPr>
                  <w:r>
                    <w:t xml:space="preserve">OTB</w:t>
                  </w:r>
                </w:p>
              </w:tc>
              <w:tc>
                <w:tcPr/>
                <w:p>
                  <w:pPr>
                    <w:pStyle w:val="Compact"/>
                    <w:jc w:val="left"/>
                    <w:jc w:val="center"/>
                  </w:pPr>
                  <w:r>
                    <w:t xml:space="preserve">Temperature &gt; 30</w:t>
                  </w:r>
                </w:p>
              </w:tc>
              <w:tc>
                <w:tcPr/>
                <w:p>
                  <w:pPr>
                    <w:pStyle w:val="Compact"/>
                    <w:jc w:val="left"/>
                    <w:jc w:val="center"/>
                  </w:pPr>
                  <w:r>
                    <w:t xml:space="preserve">1.04**</w:t>
                  </w:r>
                </w:p>
              </w:tc>
              <w:tc>
                <w:tcPr/>
                <w:p>
                  <w:pPr>
                    <w:pStyle w:val="Compact"/>
                    <w:jc w:val="left"/>
                    <w:jc w:val="center"/>
                  </w:pPr>
                  <w:r>
                    <w:t xml:space="preserve">8 (3.3)</w:t>
                  </w:r>
                </w:p>
              </w:tc>
              <w:tc>
                <w:tcPr/>
                <w:p>
                  <w:pPr>
                    <w:pStyle w:val="Compact"/>
                    <w:jc w:val="left"/>
                    <w:jc w:val="center"/>
                  </w:pPr>
                  <w:r>
                    <w:t xml:space="preserve">56 (3.3)</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1.96**</w:t>
                  </w:r>
                </w:p>
              </w:tc>
              <w:tc>
                <w:tcPr/>
                <w:p>
                  <w:pPr>
                    <w:pStyle w:val="Compact"/>
                    <w:jc w:val="left"/>
                    <w:jc w:val="center"/>
                  </w:pPr>
                  <w:r>
                    <w:t xml:space="preserve">128 (13.2)</w:t>
                  </w:r>
                </w:p>
              </w:tc>
              <w:tc>
                <w:tcPr/>
                <w:p>
                  <w:pPr>
                    <w:pStyle w:val="Compact"/>
                    <w:jc w:val="left"/>
                    <w:jc w:val="center"/>
                  </w:pPr>
                  <w:r>
                    <w:t xml:space="preserve">219 (13.2)</w:t>
                  </w:r>
                </w:p>
              </w:tc>
            </w:tr>
            <w:tr>
              <w:tc>
                <w:tcPr/>
                <w:p>
                  <w:pPr>
                    <w:pStyle w:val="Compact"/>
                  </w:pPr>
                </w:p>
              </w:tc>
              <w:tc>
                <w:tcPr/>
                <w:p>
                  <w:pPr>
                    <w:pStyle w:val="Compact"/>
                    <w:jc w:val="left"/>
                    <w:jc w:val="center"/>
                  </w:pPr>
                  <w:r>
                    <w:t xml:space="preserve">Both</w:t>
                  </w:r>
                </w:p>
              </w:tc>
              <w:tc>
                <w:tcPr/>
                <w:p>
                  <w:pPr>
                    <w:pStyle w:val="Compact"/>
                    <w:jc w:val="left"/>
                    <w:jc w:val="center"/>
                  </w:pPr>
                  <w:r>
                    <w:t xml:space="preserve">0.81**</w:t>
                  </w:r>
                </w:p>
              </w:tc>
              <w:tc>
                <w:tcPr/>
                <w:p>
                  <w:pPr>
                    <w:pStyle w:val="Compact"/>
                    <w:jc w:val="left"/>
                    <w:jc w:val="center"/>
                  </w:pPr>
                  <w:r>
                    <w:t xml:space="preserve">0 (2.8)</w:t>
                  </w:r>
                </w:p>
              </w:tc>
              <w:tc>
                <w:tcPr/>
                <w:p>
                  <w:pPr>
                    <w:pStyle w:val="Compact"/>
                    <w:jc w:val="left"/>
                    <w:jc w:val="center"/>
                  </w:pPr>
                  <w:r>
                    <w:t xml:space="preserve">37 (2.7)</w:t>
                  </w:r>
                </w:p>
              </w:tc>
            </w:tr>
            <w:tr>
              <w:tc>
                <w:tcPr/>
                <w:p>
                  <w:pPr>
                    <w:pStyle w:val="Compact"/>
                    <w:jc w:val="left"/>
                    <w:jc w:val="center"/>
                  </w:pPr>
                  <w:r>
                    <w:t xml:space="preserve">HB</w:t>
                  </w:r>
                </w:p>
              </w:tc>
              <w:tc>
                <w:tcPr/>
                <w:p>
                  <w:pPr>
                    <w:pStyle w:val="Compact"/>
                    <w:jc w:val="left"/>
                    <w:jc w:val="center"/>
                  </w:pPr>
                  <w:r>
                    <w:t xml:space="preserve">Temperature &gt; 30</w:t>
                  </w:r>
                </w:p>
              </w:tc>
              <w:tc>
                <w:tcPr/>
                <w:p>
                  <w:pPr>
                    <w:pStyle w:val="Compact"/>
                    <w:jc w:val="left"/>
                    <w:jc w:val="center"/>
                  </w:pPr>
                  <w:r>
                    <w:t xml:space="preserve">1.01**</w:t>
                  </w:r>
                </w:p>
              </w:tc>
              <w:tc>
                <w:tcPr/>
                <w:p>
                  <w:pPr>
                    <w:pStyle w:val="Compact"/>
                    <w:jc w:val="left"/>
                    <w:jc w:val="center"/>
                  </w:pPr>
                  <w:r>
                    <w:t xml:space="preserve">8 (4.9)</w:t>
                  </w:r>
                </w:p>
              </w:tc>
              <w:tc>
                <w:tcPr/>
                <w:p>
                  <w:pPr>
                    <w:pStyle w:val="Compact"/>
                    <w:jc w:val="left"/>
                    <w:jc w:val="center"/>
                  </w:pPr>
                  <w:r>
                    <w:t xml:space="preserve">55 (4.8)</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0.86*</w:t>
                  </w:r>
                </w:p>
              </w:tc>
              <w:tc>
                <w:tcPr/>
                <w:p>
                  <w:pPr>
                    <w:pStyle w:val="Compact"/>
                    <w:jc w:val="left"/>
                    <w:jc w:val="center"/>
                  </w:pPr>
                  <w:r>
                    <w:t xml:space="preserve">131 (12.5)</w:t>
                  </w:r>
                </w:p>
              </w:tc>
              <w:tc>
                <w:tcPr/>
                <w:p>
                  <w:pPr>
                    <w:pStyle w:val="Compact"/>
                    <w:jc w:val="left"/>
                    <w:jc w:val="center"/>
                  </w:pPr>
                  <w:r>
                    <w:t xml:space="preserve">171 (11.8)</w:t>
                  </w:r>
                </w:p>
              </w:tc>
            </w:tr>
            <w:tr>
              <w:tc>
                <w:tcPr/>
                <w:p>
                  <w:pPr>
                    <w:pStyle w:val="Compact"/>
                  </w:pPr>
                </w:p>
              </w:tc>
              <w:tc>
                <w:tcPr/>
                <w:p>
                  <w:pPr>
                    <w:pStyle w:val="Compact"/>
                    <w:jc w:val="left"/>
                    <w:jc w:val="center"/>
                  </w:pPr>
                  <w:r>
                    <w:t xml:space="preserve">Both</w:t>
                  </w:r>
                </w:p>
              </w:tc>
              <w:tc>
                <w:tcPr/>
                <w:p>
                  <w:pPr>
                    <w:pStyle w:val="Compact"/>
                    <w:jc w:val="left"/>
                    <w:jc w:val="center"/>
                  </w:pPr>
                  <w:r>
                    <w:t xml:space="preserve">0.8**</w:t>
                  </w:r>
                </w:p>
              </w:tc>
              <w:tc>
                <w:tcPr/>
                <w:p>
                  <w:pPr>
                    <w:pStyle w:val="Compact"/>
                    <w:jc w:val="left"/>
                    <w:jc w:val="center"/>
                  </w:pPr>
                  <w:r>
                    <w:t xml:space="preserve">-2 (2.8)</w:t>
                  </w:r>
                </w:p>
              </w:tc>
              <w:tc>
                <w:tcPr/>
                <w:p>
                  <w:pPr>
                    <w:pStyle w:val="Compact"/>
                    <w:jc w:val="left"/>
                    <w:jc w:val="center"/>
                  </w:pPr>
                  <w:r>
                    <w:t xml:space="preserve">35 (2.7)</w:t>
                  </w:r>
                </w:p>
              </w:tc>
            </w:tr>
            <w:tr>
              <w:tc>
                <w:tcPr/>
                <w:p>
                  <w:pPr>
                    <w:pStyle w:val="Compact"/>
                    <w:jc w:val="left"/>
                    <w:jc w:val="center"/>
                  </w:pPr>
                  <w:r>
                    <w:t xml:space="preserve">MTB</w:t>
                  </w:r>
                </w:p>
              </w:tc>
              <w:tc>
                <w:tcPr/>
                <w:p>
                  <w:pPr>
                    <w:pStyle w:val="Compact"/>
                    <w:jc w:val="left"/>
                    <w:jc w:val="center"/>
                  </w:pPr>
                  <w:r>
                    <w:t xml:space="preserve">Temperature &gt; 30</w:t>
                  </w:r>
                </w:p>
              </w:tc>
              <w:tc>
                <w:tcPr/>
                <w:p>
                  <w:pPr>
                    <w:pStyle w:val="Compact"/>
                    <w:jc w:val="left"/>
                    <w:jc w:val="center"/>
                  </w:pPr>
                  <w:r>
                    <w:t xml:space="preserve">1.06**</w:t>
                  </w:r>
                </w:p>
              </w:tc>
              <w:tc>
                <w:tcPr/>
                <w:p>
                  <w:pPr>
                    <w:pStyle w:val="Compact"/>
                    <w:jc w:val="left"/>
                    <w:jc w:val="center"/>
                  </w:pPr>
                  <w:r>
                    <w:t xml:space="preserve">9 (3.1)</w:t>
                  </w:r>
                </w:p>
              </w:tc>
              <w:tc>
                <w:tcPr/>
                <w:p>
                  <w:pPr>
                    <w:pStyle w:val="Compact"/>
                    <w:jc w:val="left"/>
                    <w:jc w:val="center"/>
                  </w:pPr>
                  <w:r>
                    <w:t xml:space="preserve">57 (3.1)</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0.67**</w:t>
                  </w:r>
                </w:p>
              </w:tc>
              <w:tc>
                <w:tcPr/>
                <w:p>
                  <w:pPr>
                    <w:pStyle w:val="Compact"/>
                    <w:jc w:val="left"/>
                    <w:jc w:val="center"/>
                  </w:pPr>
                  <w:r>
                    <w:t xml:space="preserve">51 (11)</w:t>
                  </w:r>
                </w:p>
              </w:tc>
              <w:tc>
                <w:tcPr/>
                <w:p>
                  <w:pPr>
                    <w:pStyle w:val="Compact"/>
                    <w:jc w:val="left"/>
                    <w:jc w:val="center"/>
                  </w:pPr>
                  <w:r>
                    <w:t xml:space="preserve">82 (11)</w:t>
                  </w:r>
                </w:p>
              </w:tc>
            </w:tr>
            <w:tr>
              <w:tc>
                <w:tcPr/>
                <w:p>
                  <w:pPr>
                    <w:pStyle w:val="Compact"/>
                  </w:pPr>
                </w:p>
              </w:tc>
              <w:tc>
                <w:tcPr/>
                <w:p>
                  <w:pPr>
                    <w:pStyle w:val="Compact"/>
                    <w:jc w:val="left"/>
                    <w:jc w:val="center"/>
                  </w:pPr>
                  <w:r>
                    <w:t xml:space="preserve">Both</w:t>
                  </w:r>
                </w:p>
              </w:tc>
              <w:tc>
                <w:tcPr/>
                <w:p>
                  <w:pPr>
                    <w:pStyle w:val="Compact"/>
                    <w:jc w:val="left"/>
                    <w:jc w:val="center"/>
                  </w:pPr>
                  <w:r>
                    <w:t xml:space="preserve">0.37**</w:t>
                  </w:r>
                </w:p>
              </w:tc>
              <w:tc>
                <w:tcPr/>
                <w:p>
                  <w:pPr>
                    <w:pStyle w:val="Compact"/>
                    <w:jc w:val="left"/>
                    <w:jc w:val="center"/>
                  </w:pPr>
                  <w:r>
                    <w:t xml:space="preserve">-1 (1.7)</w:t>
                  </w:r>
                </w:p>
              </w:tc>
              <w:tc>
                <w:tcPr/>
                <w:p>
                  <w:pPr>
                    <w:pStyle w:val="Compact"/>
                    <w:jc w:val="left"/>
                    <w:jc w:val="center"/>
                  </w:pPr>
                  <w:r>
                    <w:t xml:space="preserve">16 (1.7)</w:t>
                  </w:r>
                </w:p>
              </w:tc>
            </w:tr>
            <w:tr>
              <w:tc>
                <w:tcPr/>
                <w:p>
                  <w:pPr>
                    <w:pStyle w:val="Compact"/>
                    <w:jc w:val="left"/>
                    <w:jc w:val="center"/>
                  </w:pPr>
                  <w:r>
                    <w:t xml:space="preserve">LTB</w:t>
                  </w:r>
                </w:p>
              </w:tc>
              <w:tc>
                <w:tcPr/>
                <w:p>
                  <w:pPr>
                    <w:pStyle w:val="Compact"/>
                    <w:jc w:val="left"/>
                    <w:jc w:val="center"/>
                  </w:pPr>
                  <w:r>
                    <w:t xml:space="preserve">Temperature &gt; 30</w:t>
                  </w:r>
                </w:p>
              </w:tc>
              <w:tc>
                <w:tcPr/>
                <w:p>
                  <w:pPr>
                    <w:pStyle w:val="Compact"/>
                    <w:jc w:val="left"/>
                    <w:jc w:val="center"/>
                  </w:pPr>
                  <w:r>
                    <w:t xml:space="preserve">0.92**</w:t>
                  </w:r>
                </w:p>
              </w:tc>
              <w:tc>
                <w:tcPr/>
                <w:p>
                  <w:pPr>
                    <w:pStyle w:val="Compact"/>
                    <w:jc w:val="left"/>
                    <w:jc w:val="center"/>
                  </w:pPr>
                  <w:r>
                    <w:t xml:space="preserve">21 (3.5)</w:t>
                  </w:r>
                </w:p>
              </w:tc>
              <w:tc>
                <w:tcPr/>
                <w:p>
                  <w:pPr>
                    <w:pStyle w:val="Compact"/>
                    <w:jc w:val="left"/>
                    <w:jc w:val="center"/>
                  </w:pPr>
                  <w:r>
                    <w:t xml:space="preserve">63 (3.5)</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-0.06</w:t>
                  </w:r>
                </w:p>
              </w:tc>
              <w:tc>
                <w:tcPr/>
                <w:p>
                  <w:pPr>
                    <w:pStyle w:val="Compact"/>
                    <w:jc w:val="left"/>
                    <w:jc w:val="center"/>
                  </w:pPr>
                  <w:r>
                    <w:t xml:space="preserve">4 (1.3)</w:t>
                  </w:r>
                </w:p>
              </w:tc>
              <w:tc>
                <w:tcPr/>
                <w:p>
                  <w:pPr>
                    <w:pStyle w:val="Compact"/>
                    <w:jc w:val="left"/>
                    <w:jc w:val="center"/>
                  </w:pPr>
                  <w:r>
                    <w:t xml:space="preserve">1 (1.3)</w:t>
                  </w:r>
                </w:p>
              </w:tc>
            </w:tr>
            <w:tr>
              <w:tc>
                <w:tcPr/>
                <w:p>
                  <w:pPr>
                    <w:pStyle w:val="Compact"/>
                  </w:pPr>
                </w:p>
              </w:tc>
              <w:tc>
                <w:tcPr/>
                <w:p>
                  <w:pPr>
                    <w:pStyle w:val="Compact"/>
                    <w:jc w:val="left"/>
                    <w:jc w:val="center"/>
                  </w:pPr>
                  <w:r>
                    <w:t xml:space="preserve">Both</w:t>
                  </w:r>
                </w:p>
              </w:tc>
              <w:tc>
                <w:tcPr/>
                <w:p>
                  <w:pPr>
                    <w:pStyle w:val="Compact"/>
                    <w:jc w:val="left"/>
                    <w:jc w:val="center"/>
                  </w:pPr>
                  <w:r>
                    <w:t xml:space="preserve">0</w:t>
                  </w:r>
                </w:p>
              </w:tc>
              <w:tc>
                <w:tcPr/>
                <w:p>
                  <w:pPr>
                    <w:pStyle w:val="Compact"/>
                    <w:jc w:val="left"/>
                    <w:jc w:val="center"/>
                  </w:pPr>
                  <w:r>
                    <w:t xml:space="preserve">0 (0)</w:t>
                  </w:r>
                </w:p>
              </w:tc>
              <w:tc>
                <w:tcPr/>
                <w:p>
                  <w:pPr>
                    <w:pStyle w:val="Compact"/>
                    <w:jc w:val="left"/>
                    <w:jc w:val="center"/>
                  </w:pPr>
                  <w:r>
                    <w:t xml:space="preserve">0 (0)</w:t>
                  </w:r>
                </w:p>
              </w:tc>
            </w:tr>
          </w:tbl>
          <w:bookmarkEnd w:id="73"/>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4" w:name="tbl-modtab"/>
          <w:p>
            <w:pPr>
              <w:jc w:val="center"/>
            </w:pPr>
            <w:pPr>
              <w:jc w:val="start"/>
              <w:spacing w:before="200"/>
              <w:pStyle w:val="ImageCaption"/>
            </w:pPr>
            <w:r>
              <w:t xml:space="preserve">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Model</w:t>
                  </w:r>
                </w:p>
              </w:tc>
              <w:tc>
                <w:tcPr/>
                <w:p>
                  <w:pPr>
                    <w:pStyle w:val="Compact"/>
                    <w:jc w:val="left"/>
                    <w:jc w:val="center"/>
                  </w:pPr>
                  <w:r>
                    <w:t xml:space="preserve">Term</w:t>
                  </w:r>
                </w:p>
              </w:tc>
              <w:tc>
                <w:tcPr/>
                <w:p>
                  <w:pPr>
                    <w:pStyle w:val="Compact"/>
                    <w:jc w:val="left"/>
                    <w:jc w:val="center"/>
                  </w:pPr>
                  <w:r>
                    <w:t xml:space="preserve">Estimate</w:t>
                  </w:r>
                </w:p>
              </w:tc>
              <w:tc>
                <w:tcPr/>
                <w:p>
                  <w:pPr>
                    <w:pStyle w:val="Compact"/>
                    <w:jc w:val="left"/>
                    <w:jc w:val="center"/>
                  </w:pPr>
                  <w:r>
                    <w:t xml:space="preserve">t-statistic</w:t>
                  </w:r>
                </w:p>
              </w:tc>
            </w:tr>
            <w:tr>
              <w:tc>
                <w:tcPr/>
                <w:p>
                  <w:pPr>
                    <w:pStyle w:val="Compact"/>
                    <w:jc w:val="left"/>
                    <w:jc w:val="center"/>
                  </w:pPr>
                  <w:r>
                    <w:t xml:space="preserve">EPC 1</w:t>
                  </w:r>
                </w:p>
              </w:tc>
              <w:tc>
                <w:tcPr/>
                <w:p>
                  <w:pPr>
                    <w:pStyle w:val="Compact"/>
                    <w:jc w:val="left"/>
                    <w:jc w:val="center"/>
                  </w:pPr>
                  <w:r>
                    <w:t xml:space="preserve">Sal</w:t>
                  </w:r>
                </w:p>
              </w:tc>
              <w:tc>
                <w:tcPr/>
                <w:p>
                  <w:pPr>
                    <w:pStyle w:val="Compact"/>
                    <w:jc w:val="left"/>
                    <w:jc w:val="center"/>
                  </w:pPr>
                  <w:r>
                    <w:t xml:space="preserve">0.00069 (0.00037)</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w:t>
                  </w:r>
                </w:p>
              </w:tc>
              <w:tc>
                <w:tcPr/>
                <w:p>
                  <w:pPr>
                    <w:pStyle w:val="Compact"/>
                    <w:jc w:val="left"/>
                    <w:jc w:val="center"/>
                  </w:pPr>
                  <w:r>
                    <w:t xml:space="preserve">0.0035 (0.0013)</w:t>
                  </w:r>
                </w:p>
              </w:tc>
              <w:tc>
                <w:tcPr/>
                <w:p>
                  <w:pPr>
                    <w:pStyle w:val="Compact"/>
                    <w:jc w:val="left"/>
                    <w:jc w:val="center"/>
                  </w:pPr>
                  <w:r>
                    <w:t xml:space="preserve">2.6*</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0.48 (0.28)</w:t>
                  </w:r>
                </w:p>
              </w:tc>
              <w:tc>
                <w:tcPr/>
                <w:p>
                  <w:pPr>
                    <w:pStyle w:val="Compact"/>
                    <w:jc w:val="left"/>
                    <w:jc w:val="center"/>
                  </w:pPr>
                  <w:r>
                    <w:t xml:space="preserve">1.7</w:t>
                  </w:r>
                  <m:oMath>
                    <m:sSup>
                      <m:e>
                        <m:r>
                          <m:t>​</m:t>
                        </m:r>
                      </m:e>
                      <m:sup>
                        <m:r>
                          <m:rPr>
                            <m:sty m:val="p"/>
                          </m:rPr>
                          <m:t>.</m:t>
                        </m:r>
                      </m:sup>
                    </m:sSup>
                  </m:oMath>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-0.39 (0.042)</w:t>
                  </w:r>
                </w:p>
              </w:tc>
              <w:tc>
                <w:tcPr/>
                <w:p>
                  <w:pPr>
                    <w:pStyle w:val="Compact"/>
                    <w:jc w:val="left"/>
                    <w:jc w:val="center"/>
                  </w:pPr>
                  <w:r>
                    <w:t xml:space="preserve">-9.3**</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-0.12 (0.047)</w:t>
                  </w:r>
                </w:p>
              </w:tc>
              <w:tc>
                <w:tcPr/>
                <w:p>
                  <w:pPr>
                    <w:pStyle w:val="Compact"/>
                    <w:jc w:val="left"/>
                    <w:jc w:val="center"/>
                  </w:pPr>
                  <w:r>
                    <w:t xml:space="preserve">-2.6*</w:t>
                  </w:r>
                </w:p>
              </w:tc>
            </w:tr>
            <w:tr>
              <w:tc>
                <w:tcPr/>
                <w:p>
                  <w:pPr>
                    <w:pStyle w:val="Compact"/>
                  </w:pPr>
                </w:p>
              </w:tc>
              <w:tc>
                <w:tcPr/>
                <w:p>
                  <w:pPr>
                    <w:pStyle w:val="Compact"/>
                    <w:jc w:val="left"/>
                    <w:jc w:val="center"/>
                  </w:pPr>
                  <w:r>
                    <w:t xml:space="preserve">Sal:Temp</w:t>
                  </w:r>
                </w:p>
              </w:tc>
              <w:tc>
                <w:tcPr/>
                <w:p>
                  <w:pPr>
                    <w:pStyle w:val="Compact"/>
                    <w:jc w:val="left"/>
                    <w:jc w:val="center"/>
                  </w:pPr>
                  <w:r>
                    <w:t xml:space="preserve">-1.3e-05 (7.5e-06)</w:t>
                  </w:r>
                </w:p>
              </w:tc>
              <w:tc>
                <w:tcPr/>
                <w:p>
                  <w:pPr>
                    <w:pStyle w:val="Compact"/>
                    <w:jc w:val="left"/>
                    <w:jc w:val="center"/>
                  </w:pPr>
                  <w:r>
                    <w:t xml:space="preserve">-1.7</w:t>
                  </w:r>
                  <m:oMath>
                    <m:sSup>
                      <m:e>
                        <m:r>
                          <m:t>​</m:t>
                        </m:r>
                      </m:e>
                      <m:sup>
                        <m:r>
                          <m:rPr>
                            <m:sty m:val="p"/>
                          </m:rPr>
                          <m:t>.</m:t>
                        </m:r>
                      </m:sup>
                    </m:sSup>
                  </m:oMath>
                </w:p>
              </w:tc>
            </w:tr>
            <w:tr>
              <w:tc>
                <w:tcPr/>
                <w:p>
                  <w:pPr>
                    <w:pStyle w:val="Compact"/>
                  </w:pPr>
                </w:p>
              </w:tc>
              <w:tc>
                <w:tcPr/>
                <w:p>
                  <w:pPr>
                    <w:pStyle w:val="Compact"/>
                    <w:jc w:val="left"/>
                    <w:jc w:val="center"/>
                  </w:pPr>
                  <w:r>
                    <w:t xml:space="preserve">Sal:Time_post</w:t>
                  </w:r>
                </w:p>
              </w:tc>
              <w:tc>
                <w:tcPr/>
                <w:p>
                  <w:pPr>
                    <w:pStyle w:val="Compact"/>
                    <w:jc w:val="left"/>
                    <w:jc w:val="center"/>
                  </w:pPr>
                  <w:r>
                    <w:t xml:space="preserve">-0.0027 (0.0015)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-0.0056 (0.0052)</w:t>
                  </w:r>
                </w:p>
              </w:tc>
              <w:tc>
                <w:tcPr/>
                <w:p>
                  <w:pPr>
                    <w:pStyle w:val="Compact"/>
                    <w:jc w:val="left"/>
                    <w:jc w:val="center"/>
                  </w:pPr>
                  <w:r>
                    <w:t xml:space="preserve">-1.1</w:t>
                  </w:r>
                </w:p>
              </w:tc>
            </w:tr>
            <w:tr>
              <w:tc>
                <w:tcPr/>
                <w:p>
                  <w:pPr>
                    <w:pStyle w:val="Compact"/>
                  </w:pPr>
                </w:p>
              </w:tc>
              <w:tc>
                <w:tcPr/>
                <w:p>
                  <w:pPr>
                    <w:pStyle w:val="Compact"/>
                    <w:jc w:val="left"/>
                    <w:jc w:val="center"/>
                  </w:pPr>
                  <w:r>
                    <w:t xml:space="preserve">Sal:Temp:Time_post</w:t>
                  </w:r>
                </w:p>
              </w:tc>
              <w:tc>
                <w:tcPr/>
                <w:p>
                  <w:pPr>
                    <w:pStyle w:val="Compact"/>
                    <w:jc w:val="left"/>
                    <w:jc w:val="center"/>
                  </w:pPr>
                  <w:r>
                    <w:t xml:space="preserve">3.6e-05 (2.6e-05)</w:t>
                  </w:r>
                </w:p>
              </w:tc>
              <w:tc>
                <w:tcPr/>
                <w:p>
                  <w:pPr>
                    <w:pStyle w:val="Compact"/>
                    <w:jc w:val="left"/>
                    <w:jc w:val="center"/>
                  </w:pPr>
                  <w:r>
                    <w:t xml:space="preserve">1.4</w:t>
                  </w:r>
                </w:p>
              </w:tc>
            </w:tr>
            <w:tr>
              <w:tc>
                <w:tcPr/>
                <w:p>
                  <w:pPr>
                    <w:pStyle w:val="Compact"/>
                    <w:jc w:val="left"/>
                    <w:jc w:val="center"/>
                  </w:pPr>
                  <w:r>
                    <w:t xml:space="preserve">EPC 2</w:t>
                  </w:r>
                </w:p>
              </w:tc>
              <w:tc>
                <w:tcPr/>
                <w:p>
                  <w:pPr>
                    <w:pStyle w:val="Compact"/>
                    <w:jc w:val="left"/>
                    <w:jc w:val="center"/>
                  </w:pPr>
                  <w:r>
                    <w:t xml:space="preserve">Both</w:t>
                  </w:r>
                </w:p>
              </w:tc>
              <w:tc>
                <w:tcPr/>
                <w:p>
                  <w:pPr>
                    <w:pStyle w:val="Compact"/>
                    <w:jc w:val="left"/>
                    <w:jc w:val="center"/>
                  </w:pPr>
                  <w:r>
                    <w:t xml:space="preserve">0.0028 (0.00082)</w:t>
                  </w:r>
                </w:p>
              </w:tc>
              <w:tc>
                <w:tcPr/>
                <w:p>
                  <w:pPr>
                    <w:pStyle w:val="Compact"/>
                    <w:jc w:val="left"/>
                    <w:jc w:val="center"/>
                  </w:pPr>
                  <w:r>
                    <w:t xml:space="preserve">3.4**</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0.059 (0.039)</w:t>
                  </w:r>
                </w:p>
              </w:tc>
              <w:tc>
                <w:tcPr/>
                <w:p>
                  <w:pPr>
                    <w:pStyle w:val="Compact"/>
                    <w:jc w:val="left"/>
                    <w:jc w:val="center"/>
                  </w:pPr>
                  <w:r>
                    <w:t xml:space="preserve">1.5</w:t>
                  </w:r>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-0.38 (0.04)</w:t>
                  </w:r>
                </w:p>
              </w:tc>
              <w:tc>
                <w:tcPr/>
                <w:p>
                  <w:pPr>
                    <w:pStyle w:val="Compact"/>
                    <w:jc w:val="left"/>
                    <w:jc w:val="center"/>
                  </w:pPr>
                  <w:r>
                    <w:t xml:space="preserve">-9.4**</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-0.062 (0.042)</w:t>
                  </w:r>
                </w:p>
              </w:tc>
              <w:tc>
                <w:tcPr/>
                <w:p>
                  <w:pPr>
                    <w:pStyle w:val="Compact"/>
                    <w:jc w:val="left"/>
                    <w:jc w:val="center"/>
                  </w:pPr>
                  <w:r>
                    <w:t xml:space="preserve">-1.5</w:t>
                  </w:r>
                </w:p>
              </w:tc>
            </w:tr>
            <w:tr>
              <w:tc>
                <w:tcPr/>
                <w:p>
                  <w:pPr>
                    <w:pStyle w:val="Compact"/>
                    <w:jc w:val="left"/>
                    <w:jc w:val="center"/>
                  </w:pPr>
                  <w:r>
                    <w:t xml:space="preserve">FIM</w:t>
                  </w:r>
                </w:p>
              </w:tc>
              <w:tc>
                <w:tcPr/>
                <w:p>
                  <w:pPr>
                    <w:pStyle w:val="Compact"/>
                    <w:jc w:val="left"/>
                    <w:jc w:val="center"/>
                  </w:pPr>
                  <w:r>
                    <w:t xml:space="preserve">Sal</w:t>
                  </w:r>
                </w:p>
              </w:tc>
              <w:tc>
                <w:tcPr/>
                <w:p>
                  <w:pPr>
                    <w:pStyle w:val="Compact"/>
                    <w:jc w:val="left"/>
                    <w:jc w:val="center"/>
                  </w:pPr>
                  <w:r>
                    <w:t xml:space="preserve">0.043 (0.22)</w:t>
                  </w:r>
                </w:p>
              </w:tc>
              <w:tc>
                <w:tcPr/>
                <w:p>
                  <w:pPr>
                    <w:pStyle w:val="Compact"/>
                    <w:jc w:val="left"/>
                    <w:jc w:val="center"/>
                  </w:pPr>
                  <w:r>
                    <w:t xml:space="preserve">0.2</w:t>
                  </w:r>
                </w:p>
              </w:tc>
            </w:tr>
            <w:tr>
              <w:tc>
                <w:tcPr/>
                <w:p>
                  <w:pPr>
                    <w:pStyle w:val="Compact"/>
                  </w:pPr>
                </w:p>
              </w:tc>
              <w:tc>
                <w:tcPr/>
                <w:p>
                  <w:pPr>
                    <w:pStyle w:val="Compact"/>
                    <w:jc w:val="left"/>
                    <w:jc w:val="center"/>
                  </w:pPr>
                  <w:r>
                    <w:t xml:space="preserve">Temp</w:t>
                  </w:r>
                </w:p>
              </w:tc>
              <w:tc>
                <w:tcPr/>
                <w:p>
                  <w:pPr>
                    <w:pStyle w:val="Compact"/>
                    <w:jc w:val="left"/>
                    <w:jc w:val="center"/>
                  </w:pPr>
                  <w:r>
                    <w:t xml:space="preserve">0.052 (0.42)</w:t>
                  </w:r>
                </w:p>
              </w:tc>
              <w:tc>
                <w:tcPr/>
                <w:p>
                  <w:pPr>
                    <w:pStyle w:val="Compact"/>
                    <w:jc w:val="left"/>
                    <w:jc w:val="center"/>
                  </w:pPr>
                  <w:r>
                    <w:t xml:space="preserve">0.12</w:t>
                  </w:r>
                </w:p>
              </w:tc>
            </w:tr>
            <w:tr>
              <w:tc>
                <w:tcPr/>
                <w:p>
                  <w:pPr>
                    <w:pStyle w:val="Compact"/>
                  </w:pPr>
                </w:p>
              </w:tc>
              <w:tc>
                <w:tcPr/>
                <w:p>
                  <w:pPr>
                    <w:pStyle w:val="Compact"/>
                    <w:jc w:val="left"/>
                    <w:jc w:val="center"/>
                  </w:pPr>
                  <w:r>
                    <w:t xml:space="preserve">Time_post</w:t>
                  </w:r>
                </w:p>
              </w:tc>
              <w:tc>
                <w:tcPr/>
                <w:p>
                  <w:pPr>
                    <w:pStyle w:val="Compact"/>
                    <w:jc w:val="left"/>
                    <w:jc w:val="center"/>
                  </w:pPr>
                  <w:r>
                    <w:t xml:space="preserve">52 ( 32)</w:t>
                  </w:r>
                </w:p>
              </w:tc>
              <w:tc>
                <w:tcPr/>
                <w:p>
                  <w:pPr>
                    <w:pStyle w:val="Compact"/>
                    <w:jc w:val="left"/>
                    <w:jc w:val="center"/>
                  </w:pPr>
                  <w:r>
                    <w:t xml:space="preserve">1.6</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33 (2.5)</w:t>
                  </w:r>
                </w:p>
              </w:tc>
              <w:tc>
                <w:tcPr/>
                <w:p>
                  <w:pPr>
                    <w:pStyle w:val="Compact"/>
                    <w:jc w:val="left"/>
                    <w:jc w:val="center"/>
                  </w:pPr>
                  <w:r>
                    <w:t xml:space="preserve">13**</w:t>
                  </w:r>
                </w:p>
              </w:tc>
            </w:tr>
            <w:tr>
              <w:tc>
                <w:tcPr/>
                <w:p>
                  <w:pPr>
                    <w:pStyle w:val="Compact"/>
                  </w:pPr>
                </w:p>
              </w:tc>
              <w:tc>
                <w:tcPr/>
                <w:p>
                  <w:pPr>
                    <w:pStyle w:val="Compact"/>
                    <w:jc w:val="left"/>
                    <w:jc w:val="center"/>
                  </w:pPr>
                  <w:r>
                    <w:t xml:space="preserve">Baysegment_OTB</w:t>
                  </w:r>
                </w:p>
              </w:tc>
              <w:tc>
                <w:tcPr/>
                <w:p>
                  <w:pPr>
                    <w:pStyle w:val="Compact"/>
                    <w:jc w:val="left"/>
                    <w:jc w:val="center"/>
                  </w:pPr>
                  <w:r>
                    <w:t xml:space="preserve">28 (2.2)</w:t>
                  </w:r>
                </w:p>
              </w:tc>
              <w:tc>
                <w:tcPr/>
                <w:p>
                  <w:pPr>
                    <w:pStyle w:val="Compact"/>
                    <w:jc w:val="left"/>
                    <w:jc w:val="center"/>
                  </w:pPr>
                  <w:r>
                    <w:t xml:space="preserve">13**</w:t>
                  </w:r>
                </w:p>
              </w:tc>
            </w:tr>
            <w:tr>
              <w:tc>
                <w:tcPr/>
                <w:p>
                  <w:pPr>
                    <w:pStyle w:val="Compact"/>
                  </w:pPr>
                </w:p>
              </w:tc>
              <w:tc>
                <w:tcPr/>
                <w:p>
                  <w:pPr>
                    <w:pStyle w:val="Compact"/>
                    <w:jc w:val="left"/>
                    <w:jc w:val="center"/>
                  </w:pPr>
                  <w:r>
                    <w:t xml:space="preserve">Sal:Time_post</w:t>
                  </w:r>
                </w:p>
              </w:tc>
              <w:tc>
                <w:tcPr/>
                <w:p>
                  <w:pPr>
                    <w:pStyle w:val="Compact"/>
                    <w:jc w:val="left"/>
                    <w:jc w:val="center"/>
                  </w:pPr>
                  <w:r>
                    <w:t xml:space="preserve">0.93 (0.5)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-2.4 (1.1)</w:t>
                  </w:r>
                </w:p>
              </w:tc>
              <w:tc>
                <w:tcPr/>
                <w:p>
                  <w:pPr>
                    <w:pStyle w:val="Compact"/>
                    <w:jc w:val="left"/>
                    <w:jc w:val="center"/>
                  </w:pPr>
                  <w:r>
                    <w:t xml:space="preserve">-2.2*</w:t>
                  </w:r>
                </w:p>
              </w:tc>
            </w:tr>
            <w:tr>
              <w:tc>
                <w:tcPr/>
                <w:p>
                  <w:pPr>
                    <w:pStyle w:val="Compact"/>
                    <w:jc w:val="left"/>
                    <w:jc w:val="center"/>
                  </w:pPr>
                  <w:r>
                    <w:t xml:space="preserve">PDEM</w:t>
                  </w:r>
                </w:p>
              </w:tc>
              <w:tc>
                <w:tcPr/>
                <w:p>
                  <w:pPr>
                    <w:pStyle w:val="Compact"/>
                    <w:jc w:val="left"/>
                    <w:jc w:val="center"/>
                  </w:pPr>
                  <w:r>
                    <w:t xml:space="preserve">Time_post</w:t>
                  </w:r>
                </w:p>
              </w:tc>
              <w:tc>
                <w:tcPr/>
                <w:p>
                  <w:pPr>
                    <w:pStyle w:val="Compact"/>
                    <w:jc w:val="left"/>
                    <w:jc w:val="center"/>
                  </w:pPr>
                  <w:r>
                    <w:t xml:space="preserve">-0.45 (0.24)</w:t>
                  </w:r>
                </w:p>
              </w:tc>
              <w:tc>
                <w:tcPr/>
                <w:p>
                  <w:pPr>
                    <w:pStyle w:val="Compact"/>
                    <w:jc w:val="left"/>
                    <w:jc w:val="center"/>
                  </w:pPr>
                  <w:r>
                    <w:t xml:space="preserve">-1.8</w:t>
                  </w:r>
                  <m:oMath>
                    <m:sSup>
                      <m:e>
                        <m:r>
                          <m:t>​</m:t>
                        </m:r>
                      </m:e>
                      <m:sup>
                        <m:r>
                          <m:rPr>
                            <m:sty m:val="p"/>
                          </m:rPr>
                          <m:t>.</m:t>
                        </m:r>
                      </m:sup>
                    </m:sSup>
                  </m:oMath>
                </w:p>
              </w:tc>
            </w:tr>
          </w:tbl>
          <w:bookmarkEnd w:id="74"/>
          <w:p/>
        </w:tc>
      </w:tr>
    </w:tbl>
    <w:p>
      <w:r>
        <w:br w:type="page"/>
      </w:r>
    </w:p>
    <w:bookmarkEnd w:id="75"/>
    <w:bookmarkStart w:id="252" w:name="references"/>
    <w:p>
      <w:pPr>
        <w:pStyle w:val="Heading2"/>
      </w:pPr>
      <w:r>
        <w:t xml:space="preserve">References</w:t>
      </w:r>
    </w:p>
    <w:bookmarkStart w:id="251" w:name="refs"/>
    <w:bookmarkStart w:id="77"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76">
        <w:r>
          <w:rPr>
            <w:rStyle w:val="Hyperlink"/>
          </w:rPr>
          <w:t xml:space="preserve">https://doi.org/10.1016/j.ocecoaman.2023.106929</w:t>
        </w:r>
      </w:hyperlink>
      <w:r>
        <w:t xml:space="preserve">.</w:t>
      </w:r>
    </w:p>
    <w:bookmarkEnd w:id="77"/>
    <w:bookmarkStart w:id="79"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78">
        <w:r>
          <w:rPr>
            <w:rStyle w:val="Hyperlink"/>
          </w:rPr>
          <w:t xml:space="preserve">https://doi.org/10.18637/jss.v067.i01</w:t>
        </w:r>
      </w:hyperlink>
      <w:r>
        <w:t xml:space="preserve">.</w:t>
      </w:r>
    </w:p>
    <w:bookmarkEnd w:id="79"/>
    <w:bookmarkStart w:id="81" w:name="ref-Beck20a"/>
    <w:p>
      <w:pPr>
        <w:pStyle w:val="Bibliography"/>
      </w:pPr>
      <w:r>
        <w:t xml:space="preserve">Beck, M. W. 2020a.</w:t>
      </w:r>
      <w:r>
        <w:t xml:space="preserve"> </w:t>
      </w:r>
      <w:r>
        <w:t xml:space="preserve">t</w:t>
      </w:r>
      <w:r>
        <w:t xml:space="preserve">bep-tech/wq-dash: v1.0 (version v1.0). Zenodo.</w:t>
      </w:r>
      <w:r>
        <w:t xml:space="preserve"> </w:t>
      </w:r>
      <w:hyperlink r:id="rId80">
        <w:r>
          <w:rPr>
            <w:rStyle w:val="Hyperlink"/>
          </w:rPr>
          <w:t xml:space="preserve">https://doi.org/10.5281/zenodo.3648664</w:t>
        </w:r>
      </w:hyperlink>
      <w:r>
        <w:t xml:space="preserve">.</w:t>
      </w:r>
    </w:p>
    <w:bookmarkEnd w:id="81"/>
    <w:bookmarkStart w:id="83" w:name="ref-Beck20b"/>
    <w:p>
      <w:pPr>
        <w:pStyle w:val="Bibliography"/>
      </w:pPr>
      <w:r>
        <w:t xml:space="preserve">Beck, M. W. 2020b.</w:t>
      </w:r>
      <w:r>
        <w:t xml:space="preserve"> </w:t>
      </w:r>
      <w:r>
        <w:t xml:space="preserve">t</w:t>
      </w:r>
      <w:r>
        <w:t xml:space="preserve">bep-tech/seagrasstransect-dash: v1.0 (version v1.0). Zenodo.</w:t>
      </w:r>
      <w:r>
        <w:t xml:space="preserve"> </w:t>
      </w:r>
      <w:hyperlink r:id="rId82">
        <w:r>
          <w:rPr>
            <w:rStyle w:val="Hyperlink"/>
          </w:rPr>
          <w:t xml:space="preserve">https://doi.org/10.5281/zenodo.4319936</w:t>
        </w:r>
      </w:hyperlink>
      <w:r>
        <w:t xml:space="preserve">.</w:t>
      </w:r>
    </w:p>
    <w:bookmarkEnd w:id="83"/>
    <w:bookmarkStart w:id="85"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84">
        <w:r>
          <w:rPr>
            <w:rStyle w:val="Hyperlink"/>
          </w:rPr>
          <w:t xml:space="preserve">https://doi.org/10.1016/j.marpolbul.2022.113598</w:t>
        </w:r>
      </w:hyperlink>
      <w:r>
        <w:t xml:space="preserve">.</w:t>
      </w:r>
    </w:p>
    <w:bookmarkEnd w:id="85"/>
    <w:bookmarkStart w:id="87"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86">
        <w:r>
          <w:rPr>
            <w:rStyle w:val="Hyperlink"/>
          </w:rPr>
          <w:t xml:space="preserve">https://doi.org/10.3389/fevo.2023.1070266</w:t>
        </w:r>
      </w:hyperlink>
      <w:r>
        <w:t xml:space="preserve">.</w:t>
      </w:r>
    </w:p>
    <w:bookmarkEnd w:id="87"/>
    <w:bookmarkStart w:id="89"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88">
        <w:r>
          <w:rPr>
            <w:rStyle w:val="Hyperlink"/>
          </w:rPr>
          <w:t xml:space="preserve">https://doi.org/10.21105/joss.03485</w:t>
        </w:r>
      </w:hyperlink>
      <w:r>
        <w:t xml:space="preserve">.</w:t>
      </w:r>
    </w:p>
    <w:bookmarkEnd w:id="89"/>
    <w:bookmarkStart w:id="91"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90">
        <w:r>
          <w:rPr>
            <w:rStyle w:val="Hyperlink"/>
          </w:rPr>
          <w:t xml:space="preserve">https://doi.org/10.1007/s12237-019-00619-w</w:t>
        </w:r>
      </w:hyperlink>
      <w:r>
        <w:t xml:space="preserve">.</w:t>
      </w:r>
    </w:p>
    <w:bookmarkEnd w:id="91"/>
    <w:bookmarkStart w:id="93" w:name="ref-begueria23"/>
    <w:p>
      <w:pPr>
        <w:pStyle w:val="Bibliography"/>
      </w:pPr>
      <w:r>
        <w:t xml:space="preserve">Beguería, S., and S. M. Vicente-Serrano. 2023.</w:t>
      </w:r>
      <w:r>
        <w:t xml:space="preserve"> </w:t>
      </w:r>
      <w:hyperlink r:id="rId92">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93"/>
    <w:bookmarkStart w:id="95"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94">
        <w:r>
          <w:rPr>
            <w:rStyle w:val="Hyperlink"/>
          </w:rPr>
          <w:t xml:space="preserve">https://doi.org/10.1002/joc.3887</w:t>
        </w:r>
      </w:hyperlink>
      <w:r>
        <w:t xml:space="preserve">.</w:t>
      </w:r>
    </w:p>
    <w:bookmarkEnd w:id="95"/>
    <w:bookmarkStart w:id="97" w:name="ref-bell1997"/>
    <w:p>
      <w:pPr>
        <w:pStyle w:val="Bibliography"/>
      </w:pPr>
      <w:r>
        <w:t xml:space="preserve">Bell, S., and M.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96">
        <w:r>
          <w:rPr>
            <w:rStyle w:val="Hyperlink"/>
          </w:rPr>
          <w:t xml:space="preserve">https://doi.org/10.3354/meps147277</w:t>
        </w:r>
      </w:hyperlink>
      <w:r>
        <w:t xml:space="preserve">.</w:t>
      </w:r>
    </w:p>
    <w:bookmarkEnd w:id="97"/>
    <w:bookmarkStart w:id="99" w:name="ref-blakesley2001"/>
    <w:p>
      <w:pPr>
        <w:pStyle w:val="Bibliography"/>
      </w:pPr>
      <w:r>
        <w:t xml:space="preserve">Blakesley, B., P. Hall, D. Berns, J. Hyniova, M. Merello, and R. Conroy. 2001.</w:t>
      </w:r>
      <w:r>
        <w:t xml:space="preserve"> </w:t>
      </w:r>
      <w:hyperlink r:id="rId98">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99"/>
    <w:bookmarkStart w:id="101"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100">
        <w:r>
          <w:rPr>
            <w:rStyle w:val="Hyperlink"/>
          </w:rPr>
          <w:t xml:space="preserve">https://doi.org/10.2134/jeq2001.302303x</w:t>
        </w:r>
      </w:hyperlink>
      <w:r>
        <w:t xml:space="preserve">.</w:t>
      </w:r>
    </w:p>
    <w:bookmarkEnd w:id="101"/>
    <w:bookmarkStart w:id="103"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02">
        <w:r>
          <w:rPr>
            <w:rStyle w:val="Hyperlink"/>
          </w:rPr>
          <w:t xml:space="preserve">https://doi.org/10.1111/1365-2664.13169</w:t>
        </w:r>
      </w:hyperlink>
      <w:r>
        <w:t xml:space="preserve">.</w:t>
      </w:r>
    </w:p>
    <w:bookmarkEnd w:id="103"/>
    <w:bookmarkStart w:id="105" w:name="ref-brewton2023"/>
    <w:p>
      <w:pPr>
        <w:pStyle w:val="Bibliography"/>
      </w:pPr>
      <w:r>
        <w:t xml:space="preserve">Brewton, R. A., and B. E. Lapointe. 2023. The green macroalga</w:t>
      </w:r>
      <w:r>
        <w:t xml:space="preserve"> </w:t>
      </w:r>
      <w:r>
        <w:rPr>
          <w:iCs/>
          <w:i/>
        </w:rPr>
        <w:t xml:space="preserve">C</w:t>
      </w:r>
      <w:r>
        <w:rPr>
          <w:iCs/>
          <w:i/>
        </w:rPr>
        <w:t xml:space="preserve">aulerpa prolifera</w:t>
      </w:r>
      <w:r>
        <w:t xml:space="preserve"> </w:t>
      </w:r>
      <w:r>
        <w:t xml:space="preserve">replaces seagrass in a nitrogen enriched, phosphorus limited, urbanized estuary.</w:t>
      </w:r>
      <w:r>
        <w:t xml:space="preserve"> </w:t>
      </w:r>
      <w:r>
        <w:rPr>
          <w:iCs/>
          <w:i/>
        </w:rPr>
        <w:t xml:space="preserve">Ecological Indicators</w:t>
      </w:r>
      <w:r>
        <w:t xml:space="preserve"> </w:t>
      </w:r>
      <w:r>
        <w:t xml:space="preserve">156: 111035.</w:t>
      </w:r>
      <w:r>
        <w:t xml:space="preserve"> </w:t>
      </w:r>
      <w:hyperlink r:id="rId104">
        <w:r>
          <w:rPr>
            <w:rStyle w:val="Hyperlink"/>
          </w:rPr>
          <w:t xml:space="preserve">https://doi.org/10.1016/j.ecolind.2023.111035</w:t>
        </w:r>
      </w:hyperlink>
      <w:r>
        <w:t xml:space="preserve">.</w:t>
      </w:r>
    </w:p>
    <w:bookmarkEnd w:id="105"/>
    <w:bookmarkStart w:id="107"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06">
        <w:r>
          <w:rPr>
            <w:rStyle w:val="Hyperlink"/>
          </w:rPr>
          <w:t xml:space="preserve">https://doi.org/10.2307/1352383</w:t>
        </w:r>
      </w:hyperlink>
      <w:r>
        <w:t xml:space="preserve">.</w:t>
      </w:r>
    </w:p>
    <w:bookmarkEnd w:id="107"/>
    <w:bookmarkStart w:id="109"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08">
        <w:r>
          <w:rPr>
            <w:rStyle w:val="Hyperlink"/>
          </w:rPr>
          <w:t xml:space="preserve">https://doi.org/10.1016/j.jembe.2007.06.024</w:t>
        </w:r>
      </w:hyperlink>
      <w:r>
        <w:t xml:space="preserve">.</w:t>
      </w:r>
    </w:p>
    <w:bookmarkEnd w:id="109"/>
    <w:bookmarkStart w:id="111" w:name="ref-chamberlain23"/>
    <w:p>
      <w:pPr>
        <w:pStyle w:val="Bibliography"/>
      </w:pPr>
      <w:r>
        <w:t xml:space="preserve">Chamberlain, S., and D. Hocking. 2023.</w:t>
      </w:r>
      <w:r>
        <w:t xml:space="preserve"> </w:t>
      </w:r>
      <w:hyperlink r:id="rId110">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11"/>
    <w:bookmarkStart w:id="113" w:name="ref-costa2023"/>
    <w:p>
      <w:pPr>
        <w:pStyle w:val="Bibliography"/>
      </w:pPr>
      <w:r>
        <w:t xml:space="preserve">Costa, Y., I. Martins, G. C. de Carvalho, and F. Barros. 2023. Trends of sea-level rise effects on estuaries and estimates of future saline intrusion.</w:t>
      </w:r>
      <w:r>
        <w:t xml:space="preserve"> </w:t>
      </w:r>
      <w:r>
        <w:rPr>
          <w:iCs/>
          <w:i/>
        </w:rPr>
        <w:t xml:space="preserve">Ocean &amp; Coastal Management</w:t>
      </w:r>
      <w:r>
        <w:t xml:space="preserve"> </w:t>
      </w:r>
      <w:r>
        <w:t xml:space="preserve">236: 106490.</w:t>
      </w:r>
      <w:r>
        <w:t xml:space="preserve"> </w:t>
      </w:r>
      <w:hyperlink r:id="rId112">
        <w:r>
          <w:rPr>
            <w:rStyle w:val="Hyperlink"/>
          </w:rPr>
          <w:t xml:space="preserve">https://doi.org/10.1016/j.ocecoaman.2023.106490</w:t>
        </w:r>
      </w:hyperlink>
      <w:r>
        <w:t xml:space="preserve">.</w:t>
      </w:r>
    </w:p>
    <w:bookmarkEnd w:id="113"/>
    <w:bookmarkStart w:id="115"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14">
        <w:r>
          <w:rPr>
            <w:rStyle w:val="Hyperlink"/>
          </w:rPr>
          <w:t xml:space="preserve">https://doi.org/10.1016/j.jenvman.2018.01.025</w:t>
        </w:r>
      </w:hyperlink>
      <w:r>
        <w:t xml:space="preserve">.</w:t>
      </w:r>
    </w:p>
    <w:bookmarkEnd w:id="115"/>
    <w:bookmarkStart w:id="117"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16">
        <w:r>
          <w:rPr>
            <w:rStyle w:val="Hyperlink"/>
          </w:rPr>
          <w:t xml:space="preserve">https://doi.org/10.1080/00785236.1995.10422039</w:t>
        </w:r>
      </w:hyperlink>
      <w:r>
        <w:t xml:space="preserve">.</w:t>
      </w:r>
    </w:p>
    <w:bookmarkEnd w:id="117"/>
    <w:bookmarkStart w:id="119"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18">
        <w:r>
          <w:rPr>
            <w:rStyle w:val="Hyperlink"/>
          </w:rPr>
          <w:t xml:space="preserve">https://doi.org/10.1007/s12237-008-9038-7</w:t>
        </w:r>
      </w:hyperlink>
      <w:r>
        <w:t xml:space="preserve">.</w:t>
      </w:r>
    </w:p>
    <w:bookmarkEnd w:id="119"/>
    <w:bookmarkStart w:id="121"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20">
        <w:r>
          <w:rPr>
            <w:rStyle w:val="Hyperlink"/>
          </w:rPr>
          <w:t xml:space="preserve">https://doi.org/10.3389/fpls.2021.612947</w:t>
        </w:r>
      </w:hyperlink>
      <w:r>
        <w:t xml:space="preserve">.</w:t>
      </w:r>
    </w:p>
    <w:bookmarkEnd w:id="121"/>
    <w:bookmarkStart w:id="123"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22">
        <w:r>
          <w:rPr>
            <w:rStyle w:val="Hyperlink"/>
          </w:rPr>
          <w:t xml:space="preserve">https://doi.org/10.1111/gcb.15684</w:t>
        </w:r>
      </w:hyperlink>
      <w:r>
        <w:t xml:space="preserve">.</w:t>
      </w:r>
    </w:p>
    <w:bookmarkEnd w:id="123"/>
    <w:bookmarkStart w:id="125"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24">
        <w:r>
          <w:rPr>
            <w:rStyle w:val="Hyperlink"/>
          </w:rPr>
          <w:t xml:space="preserve">https://doi.org/10.1111/conl.12938</w:t>
        </w:r>
      </w:hyperlink>
      <w:r>
        <w:t xml:space="preserve">.</w:t>
      </w:r>
    </w:p>
    <w:bookmarkEnd w:id="125"/>
    <w:bookmarkStart w:id="127"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26">
        <w:r>
          <w:rPr>
            <w:rStyle w:val="Hyperlink"/>
          </w:rPr>
          <w:t xml:space="preserve">https://doi.org/10.1038/ngeo1477</w:t>
        </w:r>
      </w:hyperlink>
      <w:r>
        <w:t xml:space="preserve">.</w:t>
      </w:r>
    </w:p>
    <w:bookmarkEnd w:id="127"/>
    <w:bookmarkStart w:id="129"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28">
        <w:r>
          <w:rPr>
            <w:rStyle w:val="Hyperlink"/>
          </w:rPr>
          <w:t xml:space="preserve">https://doi.org/10.1016/j.marpolbul.2010.11.017</w:t>
        </w:r>
      </w:hyperlink>
      <w:r>
        <w:t xml:space="preserve">.</w:t>
      </w:r>
    </w:p>
    <w:bookmarkEnd w:id="129"/>
    <w:bookmarkStart w:id="131" w:name="ref-greening2006"/>
    <w:p>
      <w:pPr>
        <w:pStyle w:val="Bibliography"/>
      </w:pPr>
      <w:r>
        <w:t xml:space="preserve">Greening, H. S., and A.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30">
        <w:r>
          <w:rPr>
            <w:rStyle w:val="Hyperlink"/>
          </w:rPr>
          <w:t xml:space="preserve">https://doi.org/10.1007/s00267-005-0079-4</w:t>
        </w:r>
      </w:hyperlink>
      <w:r>
        <w:t xml:space="preserve">.</w:t>
      </w:r>
    </w:p>
    <w:bookmarkEnd w:id="131"/>
    <w:bookmarkStart w:id="133"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32">
        <w:r>
          <w:rPr>
            <w:rStyle w:val="Hyperlink"/>
          </w:rPr>
          <w:t xml:space="preserve">https://doi.org/10.1016/j.ecss.2014.10.003</w:t>
        </w:r>
      </w:hyperlink>
      <w:r>
        <w:t xml:space="preserve">.</w:t>
      </w:r>
    </w:p>
    <w:bookmarkEnd w:id="133"/>
    <w:bookmarkStart w:id="135" w:name="ref-hall2022"/>
    <w:p>
      <w:pPr>
        <w:pStyle w:val="Bibliography"/>
      </w:pPr>
      <w:r>
        <w:t xml:space="preserve">Hall, L. M., L. J. Morris, R. H. Chamberlain, M. D. Hanisak, R. W. Virnstein, R. Paperno, B. Riegl, L. R. Ellis, A. Simpson, and C. A. Jacoby. 2022. Spatiotemporal patterns in the biomass of drift macroalgae in the</w:t>
      </w:r>
      <w:r>
        <w:t xml:space="preserve"> </w:t>
      </w:r>
      <w:r>
        <w:t xml:space="preserve">I</w:t>
      </w:r>
      <w:r>
        <w:t xml:space="preserve">ndian</w:t>
      </w:r>
      <w:r>
        <w:t xml:space="preserve"> </w:t>
      </w:r>
      <w:r>
        <w:t xml:space="preserve">R</w:t>
      </w:r>
      <w:r>
        <w:t xml:space="preserve">iver</w:t>
      </w:r>
      <w:r>
        <w:t xml:space="preserve"> </w:t>
      </w:r>
      <w:r>
        <w:t xml:space="preserve">L</w:t>
      </w:r>
      <w:r>
        <w:t xml:space="preserve">agoon,</w:t>
      </w:r>
      <w:r>
        <w:t xml:space="preserve"> </w:t>
      </w:r>
      <w:r>
        <w:t xml:space="preserve">F</w:t>
      </w:r>
      <w:r>
        <w:t xml:space="preserve">lorida,</w:t>
      </w:r>
      <w:r>
        <w:t xml:space="preserve"> </w:t>
      </w:r>
      <w:r>
        <w:t xml:space="preserve">U</w:t>
      </w:r>
      <w:r>
        <w:t xml:space="preserve">nited</w:t>
      </w:r>
      <w:r>
        <w:t xml:space="preserve"> </w:t>
      </w:r>
      <w:r>
        <w:t xml:space="preserve">S</w:t>
      </w:r>
      <w:r>
        <w:t xml:space="preserve">tates.</w:t>
      </w:r>
      <w:r>
        <w:t xml:space="preserve"> </w:t>
      </w:r>
      <w:r>
        <w:rPr>
          <w:iCs/>
          <w:i/>
        </w:rPr>
        <w:t xml:space="preserve">Frontiers in Marine Science</w:t>
      </w:r>
      <w:r>
        <w:t xml:space="preserve"> </w:t>
      </w:r>
      <w:r>
        <w:t xml:space="preserve">9: 767440.</w:t>
      </w:r>
      <w:r>
        <w:t xml:space="preserve"> </w:t>
      </w:r>
      <w:hyperlink r:id="rId134">
        <w:r>
          <w:rPr>
            <w:rStyle w:val="Hyperlink"/>
          </w:rPr>
          <w:t xml:space="preserve">https://doi.org/10.3389/fmars.2022.767440</w:t>
        </w:r>
      </w:hyperlink>
      <w:r>
        <w:t xml:space="preserve">.</w:t>
      </w:r>
    </w:p>
    <w:bookmarkEnd w:id="135"/>
    <w:bookmarkStart w:id="137" w:name="ref-hall1999"/>
    <w:p>
      <w:pPr>
        <w:pStyle w:val="Bibliography"/>
      </w:pPr>
      <w:r>
        <w:t xml:space="preserve">Hall, Margaret O., M. J. Durako, J. W. Fourqurean, and J. C. Zieman. 1999. Decadal changes in seagrass distribution and abundance in</w:t>
      </w:r>
      <w:r>
        <w:t xml:space="preserve"> </w:t>
      </w:r>
      <w:r>
        <w:t xml:space="preserve">F</w:t>
      </w:r>
      <w:r>
        <w:t xml:space="preserve">lorida</w:t>
      </w:r>
      <w:r>
        <w:t xml:space="preserve"> </w:t>
      </w:r>
      <w:r>
        <w:t xml:space="preserve">B</w:t>
      </w:r>
      <w:r>
        <w:t xml:space="preserve">ay.</w:t>
      </w:r>
      <w:r>
        <w:t xml:space="preserve"> </w:t>
      </w:r>
      <w:r>
        <w:rPr>
          <w:iCs/>
          <w:i/>
        </w:rPr>
        <w:t xml:space="preserve">Estuaries</w:t>
      </w:r>
      <w:r>
        <w:t xml:space="preserve"> </w:t>
      </w:r>
      <w:r>
        <w:t xml:space="preserve">22: 445.</w:t>
      </w:r>
      <w:r>
        <w:t xml:space="preserve"> </w:t>
      </w:r>
      <w:hyperlink r:id="rId136">
        <w:r>
          <w:rPr>
            <w:rStyle w:val="Hyperlink"/>
          </w:rPr>
          <w:t xml:space="preserve">https://doi.org/10.2307/1353210</w:t>
        </w:r>
      </w:hyperlink>
      <w:r>
        <w:t xml:space="preserve">.</w:t>
      </w:r>
    </w:p>
    <w:bookmarkEnd w:id="137"/>
    <w:bookmarkStart w:id="139" w:name="ref-hall2016"/>
    <w:p>
      <w:pPr>
        <w:pStyle w:val="Bibliography"/>
      </w:pPr>
      <w:r>
        <w:t xml:space="preserve">Hall, Margaret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38">
        <w:r>
          <w:rPr>
            <w:rStyle w:val="Hyperlink"/>
          </w:rPr>
          <w:t xml:space="preserve">https://doi.org/10.3354/meps11923</w:t>
        </w:r>
      </w:hyperlink>
      <w:r>
        <w:t xml:space="preserve">.</w:t>
      </w:r>
    </w:p>
    <w:bookmarkEnd w:id="139"/>
    <w:bookmarkStart w:id="141"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40">
        <w:r>
          <w:rPr>
            <w:rStyle w:val="Hyperlink"/>
          </w:rPr>
          <w:t xml:space="preserve">https://doi.org/10.1073/pnas.2220678120</w:t>
        </w:r>
      </w:hyperlink>
      <w:r>
        <w:t xml:space="preserve">.</w:t>
      </w:r>
    </w:p>
    <w:bookmarkEnd w:id="141"/>
    <w:bookmarkStart w:id="143"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42">
        <w:r>
          <w:rPr>
            <w:rStyle w:val="Hyperlink"/>
          </w:rPr>
          <w:t xml:space="preserve">https://doi.org/10.1029/wr018i001p00107</w:t>
        </w:r>
      </w:hyperlink>
      <w:r>
        <w:t xml:space="preserve">.</w:t>
      </w:r>
    </w:p>
    <w:bookmarkEnd w:id="143"/>
    <w:bookmarkStart w:id="145"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44">
        <w:r>
          <w:rPr>
            <w:rStyle w:val="Hyperlink"/>
          </w:rPr>
          <w:t xml:space="preserve">https://doi.org/10.1101/sqb.1957.022.01.039</w:t>
        </w:r>
      </w:hyperlink>
      <w:r>
        <w:t xml:space="preserve">.</w:t>
      </w:r>
    </w:p>
    <w:bookmarkEnd w:id="145"/>
    <w:bookmarkStart w:id="147" w:name="ref-tbep0696"/>
    <w:p>
      <w:pPr>
        <w:pStyle w:val="Bibliography"/>
      </w:pPr>
      <w:r>
        <w:t xml:space="preserve">Janicki, A. J., and D. L. Wade. 1996.</w:t>
      </w:r>
      <w:r>
        <w:t xml:space="preserve"> </w:t>
      </w:r>
      <w:hyperlink r:id="rId146">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47"/>
    <w:bookmarkStart w:id="149" w:name="ref-jei2022"/>
    <w:p>
      <w:pPr>
        <w:pStyle w:val="Bibliography"/>
      </w:pPr>
      <w:r>
        <w:t xml:space="preserve">Janicki Environmental, Inc. 2022.</w:t>
      </w:r>
      <w:r>
        <w:t xml:space="preserve"> </w:t>
      </w:r>
      <w:hyperlink r:id="rId148">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49"/>
    <w:bookmarkStart w:id="151" w:name="ref-tbep0623"/>
    <w:p>
      <w:pPr>
        <w:pStyle w:val="Bibliography"/>
      </w:pPr>
      <w:r>
        <w:t xml:space="preserve">Janicki Environmental, Inc. 2023.</w:t>
      </w:r>
      <w:r>
        <w:t xml:space="preserve"> </w:t>
      </w:r>
      <w:hyperlink r:id="rId150">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51"/>
    <w:bookmarkStart w:id="153" w:name="ref-tbep0816"/>
    <w:p>
      <w:pPr>
        <w:pStyle w:val="Bibliography"/>
      </w:pPr>
      <w:r>
        <w:t xml:space="preserve">Johansson, J. O. R. 2016.</w:t>
      </w:r>
      <w:r>
        <w:t xml:space="preserve"> </w:t>
      </w:r>
      <w:hyperlink r:id="rId152">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53"/>
    <w:bookmarkStart w:id="155" w:name="ref-johansson15"/>
    <w:p>
      <w:pPr>
        <w:pStyle w:val="Bibliography"/>
      </w:pPr>
      <w:r>
        <w:t xml:space="preserve">Johansson, J. O. R., and Janicki Environmental, Inc. 2015.</w:t>
      </w:r>
      <w:r>
        <w:t xml:space="preserve"> </w:t>
      </w:r>
      <w:hyperlink r:id="rId154">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55"/>
    <w:bookmarkStart w:id="157"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56">
        <w:r>
          <w:rPr>
            <w:rStyle w:val="Hyperlink"/>
          </w:rPr>
          <w:t xml:space="preserve">https://doi.org/10.1073/pnas.1715798115</w:t>
        </w:r>
      </w:hyperlink>
      <w:r>
        <w:t xml:space="preserve">.</w:t>
      </w:r>
    </w:p>
    <w:bookmarkEnd w:id="157"/>
    <w:bookmarkStart w:id="159"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58">
        <w:r>
          <w:rPr>
            <w:rStyle w:val="Hyperlink"/>
          </w:rPr>
          <w:t xml:space="preserve">https://doi.org/10.1111/gcb.13623</w:t>
        </w:r>
      </w:hyperlink>
      <w:r>
        <w:t xml:space="preserve">.</w:t>
      </w:r>
    </w:p>
    <w:bookmarkEnd w:id="159"/>
    <w:bookmarkStart w:id="161" w:name="ref-lewis1985"/>
    <w:p>
      <w:pPr>
        <w:pStyle w:val="Bibliography"/>
      </w:pPr>
      <w:r>
        <w:t xml:space="preserve">Lewis III, R. R., M. Durako, M. Moffler, and R. Phillips. 1985.</w:t>
      </w:r>
      <w:r>
        <w:t xml:space="preserve"> </w:t>
      </w:r>
      <w:hyperlink r:id="rId160">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61"/>
    <w:bookmarkStart w:id="163"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62">
        <w:r>
          <w:rPr>
            <w:rStyle w:val="Hyperlink"/>
          </w:rPr>
          <w:t xml:space="preserve">https://doi.org/10.1007/bf02691700</w:t>
        </w:r>
      </w:hyperlink>
      <w:r>
        <w:t xml:space="preserve">.</w:t>
      </w:r>
    </w:p>
    <w:bookmarkEnd w:id="163"/>
    <w:bookmarkStart w:id="165"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64">
        <w:r>
          <w:rPr>
            <w:rStyle w:val="Hyperlink"/>
          </w:rPr>
          <w:t xml:space="preserve">https://doi.org/10.1016/j.ecss.2022.108134</w:t>
        </w:r>
      </w:hyperlink>
      <w:r>
        <w:t xml:space="preserve">.</w:t>
      </w:r>
    </w:p>
    <w:bookmarkEnd w:id="165"/>
    <w:bookmarkStart w:id="167" w:name="ref-lopez2021"/>
    <w:p>
      <w:pPr>
        <w:pStyle w:val="Bibliography"/>
      </w:pPr>
      <w:r>
        <w:t xml:space="preserve">Lopez, C. B., S. Shankar, S. G. Kaminski, M. Garrett, and K. A. Hubbard. 2021.</w:t>
      </w:r>
      <w:r>
        <w:t xml:space="preserve"> </w:t>
      </w:r>
      <w:hyperlink r:id="rId166">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167"/>
    <w:bookmarkStart w:id="168"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68"/>
    <w:bookmarkStart w:id="170" w:name="ref-luther2022"/>
    <w:p>
      <w:pPr>
        <w:pStyle w:val="Bibliography"/>
      </w:pPr>
      <w:r>
        <w:t xml:space="preserve">Luther, M. E., and S. D. Meyers. 2022.</w:t>
      </w:r>
      <w:r>
        <w:t xml:space="preserve"> </w:t>
      </w:r>
      <w:hyperlink r:id="rId169">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70"/>
    <w:bookmarkStart w:id="172"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171">
        <w:r>
          <w:rPr>
            <w:rStyle w:val="Hyperlink"/>
          </w:rPr>
          <w:t xml:space="preserve">https://doi.org/10.1016/j.seares.2012.03.002</w:t>
        </w:r>
      </w:hyperlink>
      <w:r>
        <w:t xml:space="preserve">.</w:t>
      </w:r>
    </w:p>
    <w:bookmarkEnd w:id="172"/>
    <w:bookmarkStart w:id="174"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173">
        <w:r>
          <w:rPr>
            <w:rStyle w:val="Hyperlink"/>
          </w:rPr>
          <w:t xml:space="preserve">https://doi.org/10.1111/brv.12294</w:t>
        </w:r>
      </w:hyperlink>
      <w:r>
        <w:t xml:space="preserve">.</w:t>
      </w:r>
    </w:p>
    <w:bookmarkEnd w:id="174"/>
    <w:bookmarkStart w:id="176"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175">
        <w:r>
          <w:rPr>
            <w:rStyle w:val="Hyperlink"/>
          </w:rPr>
          <w:t xml:space="preserve">https://doi.org/10.2307/1932688</w:t>
        </w:r>
      </w:hyperlink>
      <w:r>
        <w:t xml:space="preserve">.</w:t>
      </w:r>
    </w:p>
    <w:bookmarkEnd w:id="176"/>
    <w:bookmarkStart w:id="178" w:name="ref-millard13"/>
    <w:p>
      <w:pPr>
        <w:pStyle w:val="Bibliography"/>
      </w:pPr>
      <w:r>
        <w:t xml:space="preserve">Millard, S. P. 2013.</w:t>
      </w:r>
      <w:r>
        <w:t xml:space="preserve"> </w:t>
      </w:r>
      <w:hyperlink r:id="rId177">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178"/>
    <w:bookmarkStart w:id="180" w:name="ref-morrison2006"/>
    <w:p>
      <w:pPr>
        <w:pStyle w:val="Bibliography"/>
      </w:pPr>
      <w:r>
        <w:t xml:space="preserve">Morrison, G., E. T. Sherwood, R. Boler, and J. Barron. 2006. Variations in water clarity and chlorophylla in</w:t>
      </w:r>
      <w:r>
        <w:t xml:space="preserve"> </w:t>
      </w:r>
      <w:r>
        <w:t xml:space="preserve">T</w:t>
      </w:r>
      <w:r>
        <w:t xml:space="preserve">ampa</w:t>
      </w:r>
      <w:r>
        <w:t xml:space="preserve"> </w:t>
      </w:r>
      <w:r>
        <w:t xml:space="preserve">B</w:t>
      </w:r>
      <w:r>
        <w:t xml:space="preserve">ay,</w:t>
      </w:r>
      <w:r>
        <w:t xml:space="preserve"> </w:t>
      </w:r>
      <w:r>
        <w:t xml:space="preserve">F</w:t>
      </w:r>
      <w:r>
        <w:t xml:space="preserve">lorida, in response to annual rainfall, 1985</w:t>
      </w:r>
      <w:r>
        <w:t xml:space="preserve">2004.</w:t>
      </w:r>
      <w:r>
        <w:t xml:space="preserve"> </w:t>
      </w:r>
      <w:r>
        <w:rPr>
          <w:iCs/>
          <w:i/>
        </w:rPr>
        <w:t xml:space="preserve">Estuaries and Coasts</w:t>
      </w:r>
      <w:r>
        <w:t xml:space="preserve"> </w:t>
      </w:r>
      <w:r>
        <w:t xml:space="preserve">29: 926–931.</w:t>
      </w:r>
      <w:r>
        <w:t xml:space="preserve"> </w:t>
      </w:r>
      <w:hyperlink r:id="rId179">
        <w:r>
          <w:rPr>
            <w:rStyle w:val="Hyperlink"/>
          </w:rPr>
          <w:t xml:space="preserve">https://doi.org/10.1007/bf02798652</w:t>
        </w:r>
      </w:hyperlink>
      <w:r>
        <w:t xml:space="preserve">.</w:t>
      </w:r>
    </w:p>
    <w:bookmarkEnd w:id="180"/>
    <w:bookmarkStart w:id="182"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181">
        <w:r>
          <w:rPr>
            <w:rStyle w:val="Hyperlink"/>
          </w:rPr>
          <w:t xml:space="preserve">https://doi.org/10.1016/j.dsr2.2023.105321</w:t>
        </w:r>
      </w:hyperlink>
      <w:r>
        <w:t xml:space="preserve">.</w:t>
      </w:r>
    </w:p>
    <w:bookmarkEnd w:id="182"/>
    <w:bookmarkStart w:id="184"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183">
        <w:r>
          <w:rPr>
            <w:rStyle w:val="Hyperlink"/>
          </w:rPr>
          <w:t xml:space="preserve">https://doi.org/10.1038/s41467-018-03732-9</w:t>
        </w:r>
      </w:hyperlink>
      <w:r>
        <w:t xml:space="preserve">.</w:t>
      </w:r>
    </w:p>
    <w:bookmarkEnd w:id="184"/>
    <w:bookmarkStart w:id="186"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185">
        <w:r>
          <w:rPr>
            <w:rStyle w:val="Hyperlink"/>
          </w:rPr>
          <w:t xml:space="preserve">https://doi.org/10.1641/0006-3568(2006)56[987:agcfse]2.0.co;2</w:t>
        </w:r>
      </w:hyperlink>
      <w:r>
        <w:t xml:space="preserve">.</w:t>
      </w:r>
    </w:p>
    <w:bookmarkEnd w:id="186"/>
    <w:bookmarkStart w:id="188"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187">
        <w:r>
          <w:rPr>
            <w:rStyle w:val="Hyperlink"/>
          </w:rPr>
          <w:t xml:space="preserve">https://doi.org/10.1093/biosci/bix058</w:t>
        </w:r>
      </w:hyperlink>
      <w:r>
        <w:t xml:space="preserve">.</w:t>
      </w:r>
    </w:p>
    <w:bookmarkEnd w:id="188"/>
    <w:bookmarkStart w:id="190"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189">
        <w:r>
          <w:rPr>
            <w:rStyle w:val="Hyperlink"/>
          </w:rPr>
          <w:t xml:space="preserve">https://doi.org/10.1007/s12237-023-01252-4</w:t>
        </w:r>
      </w:hyperlink>
      <w:r>
        <w:t xml:space="preserve">.</w:t>
      </w:r>
    </w:p>
    <w:bookmarkEnd w:id="190"/>
    <w:bookmarkStart w:id="192"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191">
        <w:r>
          <w:rPr>
            <w:rStyle w:val="Hyperlink"/>
          </w:rPr>
          <w:t xml:space="preserve">https://doi.org/10.1126/sciadv.abc6434</w:t>
        </w:r>
      </w:hyperlink>
      <w:r>
        <w:t xml:space="preserve">.</w:t>
      </w:r>
    </w:p>
    <w:bookmarkEnd w:id="192"/>
    <w:bookmarkStart w:id="194"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193">
        <w:r>
          <w:rPr>
            <w:rStyle w:val="Hyperlink"/>
          </w:rPr>
          <w:t xml:space="preserve">https://doi.org/10.1111/gcb.13084</w:t>
        </w:r>
      </w:hyperlink>
      <w:r>
        <w:t xml:space="preserve">.</w:t>
      </w:r>
    </w:p>
    <w:bookmarkEnd w:id="194"/>
    <w:bookmarkStart w:id="195"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195"/>
    <w:bookmarkStart w:id="197"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196">
        <w:r>
          <w:rPr>
            <w:rStyle w:val="Hyperlink"/>
          </w:rPr>
          <w:t xml:space="preserve">https://doi.org/10.3354/meps322099</w:t>
        </w:r>
      </w:hyperlink>
      <w:r>
        <w:t xml:space="preserve">.</w:t>
      </w:r>
    </w:p>
    <w:bookmarkEnd w:id="197"/>
    <w:bookmarkStart w:id="199"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198">
        <w:r>
          <w:rPr>
            <w:rStyle w:val="Hyperlink"/>
          </w:rPr>
          <w:t xml:space="preserve">https://doi.org/10.3354/meps08925</w:t>
        </w:r>
      </w:hyperlink>
      <w:r>
        <w:t xml:space="preserve">.</w:t>
      </w:r>
    </w:p>
    <w:bookmarkEnd w:id="199"/>
    <w:bookmarkStart w:id="200"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200"/>
    <w:bookmarkStart w:id="202" w:name="ref-Robison20"/>
    <w:p>
      <w:pPr>
        <w:pStyle w:val="Bibliography"/>
      </w:pPr>
      <w:r>
        <w:t xml:space="preserve">Robison, D., T. Ries, J. Saarinen, D. A. Tomasko, and C. Sciarrino. 2020.</w:t>
      </w:r>
      <w:r>
        <w:t xml:space="preserve"> </w:t>
      </w:r>
      <w:hyperlink r:id="rId201">
        <w:r>
          <w:rPr>
            <w:rStyle w:val="Hyperlink"/>
            <w:iCs/>
            <w:i/>
          </w:rPr>
          <w:t xml:space="preserve">Tampa Bay Estuary Program: 2020 Habitat Master Plan Update</w:t>
        </w:r>
      </w:hyperlink>
      <w:r>
        <w:t xml:space="preserve">. Technical report. Tampa Bay Estuary Program, St. Petersburg, Florida.</w:t>
      </w:r>
    </w:p>
    <w:bookmarkEnd w:id="202"/>
    <w:bookmarkStart w:id="204"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203">
        <w:r>
          <w:rPr>
            <w:rStyle w:val="Hyperlink"/>
          </w:rPr>
          <w:t xml:space="preserve">https://doi.org/10.1016/j.ecolind.2015.12.007</w:t>
        </w:r>
      </w:hyperlink>
      <w:r>
        <w:t xml:space="preserve">.</w:t>
      </w:r>
    </w:p>
    <w:bookmarkEnd w:id="204"/>
    <w:bookmarkStart w:id="205" w:name="ref-sakamoto1986"/>
    <w:p>
      <w:pPr>
        <w:pStyle w:val="Bibliography"/>
      </w:pPr>
      <w:r>
        <w:t xml:space="preserve">Sakamoto, Y., M. Ishiguro, and G. Kitagawa. 1986.</w:t>
      </w:r>
      <w:r>
        <w:t xml:space="preserve"> </w:t>
      </w:r>
      <w:r>
        <w:rPr>
          <w:iCs/>
          <w:i/>
        </w:rPr>
        <w:t xml:space="preserve">Akaike information criterion statistics</w:t>
      </w:r>
      <w:r>
        <w:t xml:space="preserve">. Dordrecht, The Netherlands: D. Reidel: Taylor &amp; Francis.</w:t>
      </w:r>
    </w:p>
    <w:bookmarkEnd w:id="205"/>
    <w:bookmarkStart w:id="207"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206">
        <w:r>
          <w:rPr>
            <w:rStyle w:val="Hyperlink"/>
          </w:rPr>
          <w:t xml:space="preserve">https://doi.org/10.1016/j.ecolind.2020.107310</w:t>
        </w:r>
      </w:hyperlink>
      <w:r>
        <w:t xml:space="preserve">.</w:t>
      </w:r>
    </w:p>
    <w:bookmarkEnd w:id="207"/>
    <w:bookmarkStart w:id="208"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208"/>
    <w:bookmarkStart w:id="210"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209">
        <w:r>
          <w:rPr>
            <w:rStyle w:val="Hyperlink"/>
          </w:rPr>
          <w:t xml:space="preserve">https://doi.org/10.1007/s00267-013-0179-5</w:t>
        </w:r>
      </w:hyperlink>
      <w:r>
        <w:t xml:space="preserve">.</w:t>
      </w:r>
    </w:p>
    <w:bookmarkEnd w:id="210"/>
    <w:bookmarkStart w:id="212" w:name="ref-sherwood2015"/>
    <w:p>
      <w:pPr>
        <w:pStyle w:val="Bibliography"/>
      </w:pPr>
      <w:r>
        <w:t xml:space="preserve">Sherwood, E. T., H. S. Greening, L. Garcia, K. Kaufman, T. Janicki, R. Pribble, B. Cunningham, et al. 2015.</w:t>
      </w:r>
      <w:r>
        <w:t xml:space="preserve"> </w:t>
      </w:r>
      <w:hyperlink r:id="rId211">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12"/>
    <w:bookmarkStart w:id="214"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13">
        <w:r>
          <w:rPr>
            <w:rStyle w:val="Hyperlink"/>
          </w:rPr>
          <w:t xml:space="preserve">https://doi.org/10.1016/j.rsma.2015.05.005</w:t>
        </w:r>
      </w:hyperlink>
      <w:r>
        <w:t xml:space="preserve">.</w:t>
      </w:r>
    </w:p>
    <w:bookmarkEnd w:id="214"/>
    <w:bookmarkStart w:id="216"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15">
        <w:r>
          <w:rPr>
            <w:rStyle w:val="Hyperlink"/>
          </w:rPr>
          <w:t xml:space="preserve">https://doi.org/10.1353/sgo.2017.0026</w:t>
        </w:r>
      </w:hyperlink>
      <w:r>
        <w:t xml:space="preserve">.</w:t>
      </w:r>
    </w:p>
    <w:bookmarkEnd w:id="216"/>
    <w:bookmarkStart w:id="218"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17">
        <w:r>
          <w:rPr>
            <w:rStyle w:val="Hyperlink"/>
          </w:rPr>
          <w:t xml:space="preserve">https://doi.org/10.21203/rs.3.rs-3528678/v1</w:t>
        </w:r>
      </w:hyperlink>
      <w:r>
        <w:t xml:space="preserve">.</w:t>
      </w:r>
    </w:p>
    <w:bookmarkEnd w:id="218"/>
    <w:bookmarkStart w:id="220"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19">
        <w:r>
          <w:rPr>
            <w:rStyle w:val="Hyperlink"/>
          </w:rPr>
          <w:t xml:space="preserve">https://doi.org/10.1016/j.scitotenv.2011.09.088</w:t>
        </w:r>
      </w:hyperlink>
      <w:r>
        <w:t xml:space="preserve">.</w:t>
      </w:r>
    </w:p>
    <w:bookmarkEnd w:id="220"/>
    <w:bookmarkStart w:id="222"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21">
        <w:r>
          <w:rPr>
            <w:rStyle w:val="Hyperlink"/>
          </w:rPr>
          <w:t xml:space="preserve">https://doi.org/10.3389/fevo.2023.1134069</w:t>
        </w:r>
      </w:hyperlink>
      <w:r>
        <w:t xml:space="preserve">.</w:t>
      </w:r>
    </w:p>
    <w:bookmarkEnd w:id="222"/>
    <w:bookmarkStart w:id="224"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23">
        <w:r>
          <w:rPr>
            <w:rStyle w:val="Hyperlink"/>
          </w:rPr>
          <w:t xml:space="preserve">https://doi.org/10.1016/j.rsma.2015.11.010</w:t>
        </w:r>
      </w:hyperlink>
      <w:r>
        <w:t xml:space="preserve">.</w:t>
      </w:r>
    </w:p>
    <w:bookmarkEnd w:id="224"/>
    <w:bookmarkStart w:id="226" w:name="ref-tbep0923"/>
    <w:p>
      <w:pPr>
        <w:pStyle w:val="Bibliography"/>
      </w:pPr>
      <w:r>
        <w:t xml:space="preserve">Todd, A., H. Walsh, and J. Neville. 2023.</w:t>
      </w:r>
      <w:r>
        <w:t xml:space="preserve"> </w:t>
      </w:r>
      <w:hyperlink r:id="rId225">
        <w:r>
          <w:rPr>
            <w:rStyle w:val="Hyperlink"/>
            <w:iCs/>
            <w:i/>
          </w:rPr>
          <w:t xml:space="preserve">2023 economic valuation of</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09-23. St. Petersburg, Florida: Tampa Bay Estuary Program.</w:t>
      </w:r>
    </w:p>
    <w:bookmarkEnd w:id="226"/>
    <w:bookmarkStart w:id="227"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27"/>
    <w:bookmarkStart w:id="229" w:name="ref-tomasko2020"/>
    <w:p>
      <w:pPr>
        <w:pStyle w:val="Bibliography"/>
      </w:pPr>
      <w:r>
        <w:t xml:space="preserve">Tomasko, D. A., M. Alderson, R. Burnes, J. Hecker, N. Iadevaia, J. Leverone, G. Raulerson, and E. Sherwood. 2020. The effects of Hurricane Irma on seagrass meadows in previously eutrophic estuaries in Southwest Florida (USA).</w:t>
      </w:r>
      <w:r>
        <w:t xml:space="preserve"> </w:t>
      </w:r>
      <w:r>
        <w:rPr>
          <w:iCs/>
          <w:i/>
        </w:rPr>
        <w:t xml:space="preserve">Marine Pollution Bulletin</w:t>
      </w:r>
      <w:r>
        <w:t xml:space="preserve"> </w:t>
      </w:r>
      <w:r>
        <w:t xml:space="preserve">156: 111247.</w:t>
      </w:r>
      <w:r>
        <w:t xml:space="preserve"> </w:t>
      </w:r>
      <w:hyperlink r:id="rId228">
        <w:r>
          <w:rPr>
            <w:rStyle w:val="Hyperlink"/>
          </w:rPr>
          <w:t xml:space="preserve">https://doi.org/10.1016/j.marpolbul.2020.111247</w:t>
        </w:r>
      </w:hyperlink>
      <w:r>
        <w:t xml:space="preserve">.</w:t>
      </w:r>
    </w:p>
    <w:bookmarkEnd w:id="229"/>
    <w:bookmarkStart w:id="231" w:name="ref-usup1994"/>
    <w:p>
      <w:pPr>
        <w:pStyle w:val="Bibliography"/>
      </w:pPr>
      <w:r>
        <w:t xml:space="preserve">Usup, G., D. M. Kulis, and D. M. Anderson. 1994. Growth and toxin production of the toxic dinoflagellate</w:t>
      </w:r>
      <w:r>
        <w:t xml:space="preserve"> </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30">
        <w:r>
          <w:rPr>
            <w:rStyle w:val="Hyperlink"/>
          </w:rPr>
          <w:t xml:space="preserve">https://doi.org/10.1002/nt.2620020503</w:t>
        </w:r>
      </w:hyperlink>
      <w:r>
        <w:t xml:space="preserve">.</w:t>
      </w:r>
    </w:p>
    <w:bookmarkEnd w:id="231"/>
    <w:bookmarkStart w:id="233"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32">
        <w:r>
          <w:rPr>
            <w:rStyle w:val="Hyperlink"/>
          </w:rPr>
          <w:t xml:space="preserve">https://doi.org/10.1002/lol2.10098</w:t>
        </w:r>
      </w:hyperlink>
      <w:r>
        <w:t xml:space="preserve">.</w:t>
      </w:r>
    </w:p>
    <w:bookmarkEnd w:id="233"/>
    <w:bookmarkStart w:id="235"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34">
        <w:r>
          <w:rPr>
            <w:rStyle w:val="Hyperlink"/>
          </w:rPr>
          <w:t xml:space="preserve">https://doi.org/10.1146/annurev.es.03.110172.000543</w:t>
        </w:r>
      </w:hyperlink>
      <w:r>
        <w:t xml:space="preserve">.</w:t>
      </w:r>
    </w:p>
    <w:bookmarkEnd w:id="235"/>
    <w:bookmarkStart w:id="237" w:name="ref-venables2002b"/>
    <w:p>
      <w:pPr>
        <w:pStyle w:val="Bibliography"/>
      </w:pPr>
      <w:r>
        <w:t xml:space="preserve">Venables, W. N., and B. D. Ripley. 2002.</w:t>
      </w:r>
      <w:r>
        <w:t xml:space="preserve"> </w:t>
      </w:r>
      <w:r>
        <w:rPr>
          <w:iCs/>
          <w:i/>
        </w:rPr>
        <w:t xml:space="preserve">Modern applied statistics with</w:t>
      </w:r>
      <w:r>
        <w:rPr>
          <w:iCs/>
          <w:i/>
        </w:rPr>
        <w:t xml:space="preserve"> </w:t>
      </w:r>
      <w:r>
        <w:rPr>
          <w:iCs/>
          <w:i/>
        </w:rPr>
        <w:t xml:space="preserve">S</w:t>
      </w:r>
      <w:r>
        <w:t xml:space="preserve">. New York: Springer.</w:t>
      </w:r>
      <w:r>
        <w:t xml:space="preserve"> </w:t>
      </w:r>
      <w:hyperlink r:id="rId236">
        <w:r>
          <w:rPr>
            <w:rStyle w:val="Hyperlink"/>
          </w:rPr>
          <w:t xml:space="preserve">https://doi.org/10.1007/978-0-387-21706-2</w:t>
        </w:r>
      </w:hyperlink>
      <w:r>
        <w:t xml:space="preserve">.</w:t>
      </w:r>
    </w:p>
    <w:bookmarkEnd w:id="237"/>
    <w:bookmarkStart w:id="239"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38">
        <w:r>
          <w:rPr>
            <w:rStyle w:val="Hyperlink"/>
          </w:rPr>
          <w:t xml:space="preserve">https://doi.org/10.1073/pnas.0905620106</w:t>
        </w:r>
      </w:hyperlink>
      <w:r>
        <w:t xml:space="preserve">.</w:t>
      </w:r>
    </w:p>
    <w:bookmarkEnd w:id="239"/>
    <w:bookmarkStart w:id="241"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40">
        <w:r>
          <w:rPr>
            <w:rStyle w:val="Hyperlink"/>
          </w:rPr>
          <w:t xml:space="preserve">https://doi.org/10.1111/1365-2745.13648</w:t>
        </w:r>
      </w:hyperlink>
      <w:r>
        <w:t xml:space="preserve">.</w:t>
      </w:r>
    </w:p>
    <w:bookmarkEnd w:id="241"/>
    <w:bookmarkStart w:id="243"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42">
        <w:r>
          <w:rPr>
            <w:rStyle w:val="Hyperlink"/>
          </w:rPr>
          <w:t xml:space="preserve">https://doi.org/10.1002/ehs2.1258</w:t>
        </w:r>
      </w:hyperlink>
      <w:r>
        <w:t xml:space="preserve">.</w:t>
      </w:r>
    </w:p>
    <w:bookmarkEnd w:id="243"/>
    <w:bookmarkStart w:id="244"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44"/>
    <w:bookmarkStart w:id="246"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45">
        <w:r>
          <w:rPr>
            <w:rStyle w:val="Hyperlink"/>
          </w:rPr>
          <w:t xml:space="preserve">https://doi.org/10.1016/j.marpolbul.2023.115043</w:t>
        </w:r>
      </w:hyperlink>
      <w:r>
        <w:t xml:space="preserve">.</w:t>
      </w:r>
    </w:p>
    <w:bookmarkEnd w:id="246"/>
    <w:bookmarkStart w:id="248"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47">
        <w:r>
          <w:rPr>
            <w:rStyle w:val="Hyperlink"/>
          </w:rPr>
          <w:t xml:space="preserve">https://doi.org/10.1016/0304-3770(75)90016-9</w:t>
        </w:r>
      </w:hyperlink>
      <w:r>
        <w:t xml:space="preserve">.</w:t>
      </w:r>
    </w:p>
    <w:bookmarkEnd w:id="248"/>
    <w:bookmarkStart w:id="250"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49">
        <w:r>
          <w:rPr>
            <w:rStyle w:val="Hyperlink"/>
          </w:rPr>
          <w:t xml:space="preserve">https://doi.org/10.1007/978-0-387-87458-6</w:t>
        </w:r>
      </w:hyperlink>
      <w:r>
        <w:t xml:space="preserve">.</w:t>
      </w:r>
    </w:p>
    <w:bookmarkEnd w:id="250"/>
    <w:bookmarkEnd w:id="251"/>
    <w:bookmarkEnd w:id="252"/>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58" Target="media/rId58.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image" Id="rId46" Target="media/rId46.png" /><Relationship Type="http://schemas.openxmlformats.org/officeDocument/2006/relationships/image" Id="rId66" Target="media/rId66.png" /><Relationship Type="http://schemas.openxmlformats.org/officeDocument/2006/relationships/hyperlink" Id="rId92" Target="https://CRAN.R-project.org/package=SPEI" TargetMode="External" /><Relationship Type="http://schemas.openxmlformats.org/officeDocument/2006/relationships/hyperlink" Id="rId110"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42" Target="https://doi.org/10.1002/ehs2.1258" TargetMode="External" /><Relationship Type="http://schemas.openxmlformats.org/officeDocument/2006/relationships/hyperlink" Id="rId94" Target="https://doi.org/10.1002/joc.3887" TargetMode="External" /><Relationship Type="http://schemas.openxmlformats.org/officeDocument/2006/relationships/hyperlink" Id="rId232" Target="https://doi.org/10.1002/lol2.10098" TargetMode="External" /><Relationship Type="http://schemas.openxmlformats.org/officeDocument/2006/relationships/hyperlink" Id="rId230" Target="https://doi.org/10.1002/nt.2620020503" TargetMode="External" /><Relationship Type="http://schemas.openxmlformats.org/officeDocument/2006/relationships/hyperlink" Id="rId236" Target="https://doi.org/10.1007/978-0-387-21706-2" TargetMode="External" /><Relationship Type="http://schemas.openxmlformats.org/officeDocument/2006/relationships/hyperlink" Id="rId249" Target="https://doi.org/10.1007/978-0-387-87458-6" TargetMode="External" /><Relationship Type="http://schemas.openxmlformats.org/officeDocument/2006/relationships/hyperlink" Id="rId162" Target="https://doi.org/10.1007/bf02691700" TargetMode="External" /><Relationship Type="http://schemas.openxmlformats.org/officeDocument/2006/relationships/hyperlink" Id="rId179" Target="https://doi.org/10.1007/bf02798652" TargetMode="External" /><Relationship Type="http://schemas.openxmlformats.org/officeDocument/2006/relationships/hyperlink" Id="rId130" Target="https://doi.org/10.1007/s00267-005-0079-4" TargetMode="External" /><Relationship Type="http://schemas.openxmlformats.org/officeDocument/2006/relationships/hyperlink" Id="rId209" Target="https://doi.org/10.1007/s00267-013-0179-5" TargetMode="External" /><Relationship Type="http://schemas.openxmlformats.org/officeDocument/2006/relationships/hyperlink" Id="rId118" Target="https://doi.org/10.1007/s12237-008-9038-7" TargetMode="External" /><Relationship Type="http://schemas.openxmlformats.org/officeDocument/2006/relationships/hyperlink" Id="rId90" Target="https://doi.org/10.1007/s12237-019-00619-w" TargetMode="External" /><Relationship Type="http://schemas.openxmlformats.org/officeDocument/2006/relationships/hyperlink" Id="rId189" Target="https://doi.org/10.1007/s12237-023-01252-4" TargetMode="External" /><Relationship Type="http://schemas.openxmlformats.org/officeDocument/2006/relationships/hyperlink" Id="rId247" Target="https://doi.org/10.1016/0304-3770(75)90016-9" TargetMode="External" /><Relationship Type="http://schemas.openxmlformats.org/officeDocument/2006/relationships/hyperlink" Id="rId181" Target="https://doi.org/10.1016/j.dsr2.2023.105321" TargetMode="External" /><Relationship Type="http://schemas.openxmlformats.org/officeDocument/2006/relationships/hyperlink" Id="rId203" Target="https://doi.org/10.1016/j.ecolind.2015.12.007" TargetMode="External" /><Relationship Type="http://schemas.openxmlformats.org/officeDocument/2006/relationships/hyperlink" Id="rId206" Target="https://doi.org/10.1016/j.ecolind.2020.107310" TargetMode="External" /><Relationship Type="http://schemas.openxmlformats.org/officeDocument/2006/relationships/hyperlink" Id="rId104" Target="https://doi.org/10.1016/j.ecolind.2023.111035" TargetMode="External" /><Relationship Type="http://schemas.openxmlformats.org/officeDocument/2006/relationships/hyperlink" Id="rId132" Target="https://doi.org/10.1016/j.ecss.2014.10.003" TargetMode="External" /><Relationship Type="http://schemas.openxmlformats.org/officeDocument/2006/relationships/hyperlink" Id="rId164" Target="https://doi.org/10.1016/j.ecss.2022.108134" TargetMode="External" /><Relationship Type="http://schemas.openxmlformats.org/officeDocument/2006/relationships/hyperlink" Id="rId108" Target="https://doi.org/10.1016/j.jembe.2007.06.024" TargetMode="External" /><Relationship Type="http://schemas.openxmlformats.org/officeDocument/2006/relationships/hyperlink" Id="rId114" Target="https://doi.org/10.1016/j.jenvman.2018.01.025" TargetMode="External" /><Relationship Type="http://schemas.openxmlformats.org/officeDocument/2006/relationships/hyperlink" Id="rId128" Target="https://doi.org/10.1016/j.marpolbul.2010.11.017" TargetMode="External" /><Relationship Type="http://schemas.openxmlformats.org/officeDocument/2006/relationships/hyperlink" Id="rId228" Target="https://doi.org/10.1016/j.marpolbul.2020.111247" TargetMode="External" /><Relationship Type="http://schemas.openxmlformats.org/officeDocument/2006/relationships/hyperlink" Id="rId84" Target="https://doi.org/10.1016/j.marpolbul.2022.113598" TargetMode="External" /><Relationship Type="http://schemas.openxmlformats.org/officeDocument/2006/relationships/hyperlink" Id="rId245" Target="https://doi.org/10.1016/j.marpolbul.2023.115043" TargetMode="External" /><Relationship Type="http://schemas.openxmlformats.org/officeDocument/2006/relationships/hyperlink" Id="rId112" Target="https://doi.org/10.1016/j.ocecoaman.2023.106490" TargetMode="External" /><Relationship Type="http://schemas.openxmlformats.org/officeDocument/2006/relationships/hyperlink" Id="rId76" Target="https://doi.org/10.1016/j.ocecoaman.2023.106929" TargetMode="External" /><Relationship Type="http://schemas.openxmlformats.org/officeDocument/2006/relationships/hyperlink" Id="rId213" Target="https://doi.org/10.1016/j.rsma.2015.05.005" TargetMode="External" /><Relationship Type="http://schemas.openxmlformats.org/officeDocument/2006/relationships/hyperlink" Id="rId223" Target="https://doi.org/10.1016/j.rsma.2015.11.010" TargetMode="External" /><Relationship Type="http://schemas.openxmlformats.org/officeDocument/2006/relationships/hyperlink" Id="rId219" Target="https://doi.org/10.1016/j.scitotenv.2011.09.088" TargetMode="External" /><Relationship Type="http://schemas.openxmlformats.org/officeDocument/2006/relationships/hyperlink" Id="rId171" Target="https://doi.org/10.1016/j.seares.2012.03.002" TargetMode="External" /><Relationship Type="http://schemas.openxmlformats.org/officeDocument/2006/relationships/hyperlink" Id="rId142" Target="https://doi.org/10.1029/wr018i001p00107" TargetMode="External" /><Relationship Type="http://schemas.openxmlformats.org/officeDocument/2006/relationships/hyperlink" Id="rId126" Target="https://doi.org/10.1038/ngeo1477" TargetMode="External" /><Relationship Type="http://schemas.openxmlformats.org/officeDocument/2006/relationships/hyperlink" Id="rId183" Target="https://doi.org/10.1038/s41467-018-03732-9" TargetMode="External" /><Relationship Type="http://schemas.openxmlformats.org/officeDocument/2006/relationships/hyperlink" Id="rId238" Target="https://doi.org/10.1073/pnas.0905620106" TargetMode="External" /><Relationship Type="http://schemas.openxmlformats.org/officeDocument/2006/relationships/hyperlink" Id="rId156" Target="https://doi.org/10.1073/pnas.1715798115" TargetMode="External" /><Relationship Type="http://schemas.openxmlformats.org/officeDocument/2006/relationships/hyperlink" Id="rId140" Target="https://doi.org/10.1073/pnas.2220678120" TargetMode="External" /><Relationship Type="http://schemas.openxmlformats.org/officeDocument/2006/relationships/hyperlink" Id="rId116" Target="https://doi.org/10.1080/00785236.1995.10422039" TargetMode="External" /><Relationship Type="http://schemas.openxmlformats.org/officeDocument/2006/relationships/hyperlink" Id="rId187" Target="https://doi.org/10.1093/biosci/bix058" TargetMode="External" /><Relationship Type="http://schemas.openxmlformats.org/officeDocument/2006/relationships/hyperlink" Id="rId144" Target="https://doi.org/10.1101/sqb.1957.022.01.039" TargetMode="External" /><Relationship Type="http://schemas.openxmlformats.org/officeDocument/2006/relationships/hyperlink" Id="rId102" Target="https://doi.org/10.1111/1365-2664.13169" TargetMode="External" /><Relationship Type="http://schemas.openxmlformats.org/officeDocument/2006/relationships/hyperlink" Id="rId240" Target="https://doi.org/10.1111/1365-2745.13648" TargetMode="External" /><Relationship Type="http://schemas.openxmlformats.org/officeDocument/2006/relationships/hyperlink" Id="rId173" Target="https://doi.org/10.1111/brv.12294" TargetMode="External" /><Relationship Type="http://schemas.openxmlformats.org/officeDocument/2006/relationships/hyperlink" Id="rId124" Target="https://doi.org/10.1111/conl.12938" TargetMode="External" /><Relationship Type="http://schemas.openxmlformats.org/officeDocument/2006/relationships/hyperlink" Id="rId193" Target="https://doi.org/10.1111/gcb.13084" TargetMode="External" /><Relationship Type="http://schemas.openxmlformats.org/officeDocument/2006/relationships/hyperlink" Id="rId158" Target="https://doi.org/10.1111/gcb.13623" TargetMode="External" /><Relationship Type="http://schemas.openxmlformats.org/officeDocument/2006/relationships/hyperlink" Id="rId122" Target="https://doi.org/10.1111/gcb.15684" TargetMode="External" /><Relationship Type="http://schemas.openxmlformats.org/officeDocument/2006/relationships/hyperlink" Id="rId191" Target="https://doi.org/10.1126/sciadv.abc6434" TargetMode="External" /><Relationship Type="http://schemas.openxmlformats.org/officeDocument/2006/relationships/hyperlink" Id="rId234" Target="https://doi.org/10.1146/annurev.es.03.110172.000543" TargetMode="External" /><Relationship Type="http://schemas.openxmlformats.org/officeDocument/2006/relationships/hyperlink" Id="rId215" Target="https://doi.org/10.1353/sgo.2017.0026" TargetMode="External" /><Relationship Type="http://schemas.openxmlformats.org/officeDocument/2006/relationships/hyperlink" Id="rId185" Target="https://doi.org/10.1641/0006-3568(2006)56[987:agcfse]2.0.co;2" TargetMode="External" /><Relationship Type="http://schemas.openxmlformats.org/officeDocument/2006/relationships/hyperlink" Id="rId78" Target="https://doi.org/10.18637/jss.v067.i01" TargetMode="External" /><Relationship Type="http://schemas.openxmlformats.org/officeDocument/2006/relationships/hyperlink" Id="rId88" Target="https://doi.org/10.21105/joss.03485" TargetMode="External" /><Relationship Type="http://schemas.openxmlformats.org/officeDocument/2006/relationships/hyperlink" Id="rId217" Target="https://doi.org/10.21203/rs.3.rs-3528678/v1" TargetMode="External" /><Relationship Type="http://schemas.openxmlformats.org/officeDocument/2006/relationships/hyperlink" Id="rId100" Target="https://doi.org/10.2134/jeq2001.302303x" TargetMode="External" /><Relationship Type="http://schemas.openxmlformats.org/officeDocument/2006/relationships/hyperlink" Id="rId106" Target="https://doi.org/10.2307/1352383" TargetMode="External" /><Relationship Type="http://schemas.openxmlformats.org/officeDocument/2006/relationships/hyperlink" Id="rId136" Target="https://doi.org/10.2307/1353210" TargetMode="External" /><Relationship Type="http://schemas.openxmlformats.org/officeDocument/2006/relationships/hyperlink" Id="rId175" Target="https://doi.org/10.2307/1932688" TargetMode="External" /><Relationship Type="http://schemas.openxmlformats.org/officeDocument/2006/relationships/hyperlink" Id="rId198" Target="https://doi.org/10.3354/meps08925" TargetMode="External" /><Relationship Type="http://schemas.openxmlformats.org/officeDocument/2006/relationships/hyperlink" Id="rId138" Target="https://doi.org/10.3354/meps11923" TargetMode="External" /><Relationship Type="http://schemas.openxmlformats.org/officeDocument/2006/relationships/hyperlink" Id="rId96" Target="https://doi.org/10.3354/meps147277" TargetMode="External" /><Relationship Type="http://schemas.openxmlformats.org/officeDocument/2006/relationships/hyperlink" Id="rId196" Target="https://doi.org/10.3354/meps322099" TargetMode="External" /><Relationship Type="http://schemas.openxmlformats.org/officeDocument/2006/relationships/hyperlink" Id="rId86" Target="https://doi.org/10.3389/fevo.2023.1070266" TargetMode="External" /><Relationship Type="http://schemas.openxmlformats.org/officeDocument/2006/relationships/hyperlink" Id="rId221" Target="https://doi.org/10.3389/fevo.2023.1134069" TargetMode="External" /><Relationship Type="http://schemas.openxmlformats.org/officeDocument/2006/relationships/hyperlink" Id="rId134" Target="https://doi.org/10.3389/fmars.2022.767440" TargetMode="External" /><Relationship Type="http://schemas.openxmlformats.org/officeDocument/2006/relationships/hyperlink" Id="rId120" Target="https://doi.org/10.3389/fpls.2021.612947" TargetMode="External" /><Relationship Type="http://schemas.openxmlformats.org/officeDocument/2006/relationships/hyperlink" Id="rId80" Target="https://doi.org/10.5281/zenodo.3648664" TargetMode="External" /><Relationship Type="http://schemas.openxmlformats.org/officeDocument/2006/relationships/hyperlink" Id="rId82" Target="https://doi.org/10.5281/zenodo.4319936" TargetMode="External" /><Relationship Type="http://schemas.openxmlformats.org/officeDocument/2006/relationships/hyperlink" Id="rId169" Target="https://drive.google.com/file/d/1-1Jq9vly5EvVwEp698brlBucXjSMDbNn/view?usp=sharing" TargetMode="External" /><Relationship Type="http://schemas.openxmlformats.org/officeDocument/2006/relationships/hyperlink" Id="rId225" Target="https://drive.google.com/file/d/15zetRgrFKkWah9KAY1in7q0so8ywHzkA/view?usp=drive_link" TargetMode="External" /><Relationship Type="http://schemas.openxmlformats.org/officeDocument/2006/relationships/hyperlink" Id="rId154" Target="https://drive.google.com/file/d/19bNEs2qy6z0hXa1IE7OtbFTjqk1LarFN/view?usp=drivesdk" TargetMode="External" /><Relationship Type="http://schemas.openxmlformats.org/officeDocument/2006/relationships/hyperlink" Id="rId211" Target="https://drive.google.com/file/d/1BCviGfLykVX-p1tA3b0306deP3pKMagr/view?usp=drivesdk" TargetMode="External" /><Relationship Type="http://schemas.openxmlformats.org/officeDocument/2006/relationships/hyperlink" Id="rId201" Target="https://drive.google.com/file/d/1Hp0l_qtbxp1JxKJoGatdyuANSzQrpL0I/view?usp=drivesdk" TargetMode="External" /><Relationship Type="http://schemas.openxmlformats.org/officeDocument/2006/relationships/hyperlink" Id="rId150" Target="https://drive.google.com/file/d/1KARuSC5fGx05MuT1wiOQFWNXysBokkQl/view?usp=share_link" TargetMode="External" /><Relationship Type="http://schemas.openxmlformats.org/officeDocument/2006/relationships/hyperlink" Id="rId152" Target="https://drive.google.com/file/d/1Z_8L9sYQWSl1hon1tP1Y8zBo7MHQK9zC/view?usp=drivesdk" TargetMode="External" /><Relationship Type="http://schemas.openxmlformats.org/officeDocument/2006/relationships/hyperlink" Id="rId166" Target="https://drive.google.com/file/d/1iXX_JZP5fLS3ORIkFb7WwNYv8HjpHyKw/view?usp=sharing" TargetMode="External" /><Relationship Type="http://schemas.openxmlformats.org/officeDocument/2006/relationships/hyperlink" Id="rId146" Target="https://drive.google.com/file/d/1kZkvuprvsMyN9nPS5PHYvXHyo1KQxKTr/view?usp=drivesdk" TargetMode="External" /><Relationship Type="http://schemas.openxmlformats.org/officeDocument/2006/relationships/hyperlink" Id="rId160" Target="https://drive.google.com/file/d/1sNp3FpjdeOjATZ9nDRRAiXEOqQen9W_p/view?usp=sharing" TargetMode="External" /><Relationship Type="http://schemas.openxmlformats.org/officeDocument/2006/relationships/hyperlink" Id="rId98" Target="https://drive.google.com/file/d/1tUkGW7TRAJ_skWj-UemDVIJnUAsy0ITf/view?usp=drivesdk" TargetMode="External" /><Relationship Type="http://schemas.openxmlformats.org/officeDocument/2006/relationships/hyperlink" Id="rId148"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77" Target="https://www.springer.com" TargetMode="External" /><Relationship Type="http://schemas.openxmlformats.org/officeDocument/2006/relationships/hyperlink" Id="rId30" Target="https://www.swfwmd.state.fl.us/resources/data-maps/rainfall-summary-data-region"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92" Target="https://CRAN.R-project.org/package=SPEI" TargetMode="External" /><Relationship Type="http://schemas.openxmlformats.org/officeDocument/2006/relationships/hyperlink" Id="rId110"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42" Target="https://doi.org/10.1002/ehs2.1258" TargetMode="External" /><Relationship Type="http://schemas.openxmlformats.org/officeDocument/2006/relationships/hyperlink" Id="rId94" Target="https://doi.org/10.1002/joc.3887" TargetMode="External" /><Relationship Type="http://schemas.openxmlformats.org/officeDocument/2006/relationships/hyperlink" Id="rId232" Target="https://doi.org/10.1002/lol2.10098" TargetMode="External" /><Relationship Type="http://schemas.openxmlformats.org/officeDocument/2006/relationships/hyperlink" Id="rId230" Target="https://doi.org/10.1002/nt.2620020503" TargetMode="External" /><Relationship Type="http://schemas.openxmlformats.org/officeDocument/2006/relationships/hyperlink" Id="rId236" Target="https://doi.org/10.1007/978-0-387-21706-2" TargetMode="External" /><Relationship Type="http://schemas.openxmlformats.org/officeDocument/2006/relationships/hyperlink" Id="rId249" Target="https://doi.org/10.1007/978-0-387-87458-6" TargetMode="External" /><Relationship Type="http://schemas.openxmlformats.org/officeDocument/2006/relationships/hyperlink" Id="rId162" Target="https://doi.org/10.1007/bf02691700" TargetMode="External" /><Relationship Type="http://schemas.openxmlformats.org/officeDocument/2006/relationships/hyperlink" Id="rId179" Target="https://doi.org/10.1007/bf02798652" TargetMode="External" /><Relationship Type="http://schemas.openxmlformats.org/officeDocument/2006/relationships/hyperlink" Id="rId130" Target="https://doi.org/10.1007/s00267-005-0079-4" TargetMode="External" /><Relationship Type="http://schemas.openxmlformats.org/officeDocument/2006/relationships/hyperlink" Id="rId209" Target="https://doi.org/10.1007/s00267-013-0179-5" TargetMode="External" /><Relationship Type="http://schemas.openxmlformats.org/officeDocument/2006/relationships/hyperlink" Id="rId118" Target="https://doi.org/10.1007/s12237-008-9038-7" TargetMode="External" /><Relationship Type="http://schemas.openxmlformats.org/officeDocument/2006/relationships/hyperlink" Id="rId90" Target="https://doi.org/10.1007/s12237-019-00619-w" TargetMode="External" /><Relationship Type="http://schemas.openxmlformats.org/officeDocument/2006/relationships/hyperlink" Id="rId189" Target="https://doi.org/10.1007/s12237-023-01252-4" TargetMode="External" /><Relationship Type="http://schemas.openxmlformats.org/officeDocument/2006/relationships/hyperlink" Id="rId247" Target="https://doi.org/10.1016/0304-3770(75)90016-9" TargetMode="External" /><Relationship Type="http://schemas.openxmlformats.org/officeDocument/2006/relationships/hyperlink" Id="rId181" Target="https://doi.org/10.1016/j.dsr2.2023.105321" TargetMode="External" /><Relationship Type="http://schemas.openxmlformats.org/officeDocument/2006/relationships/hyperlink" Id="rId203" Target="https://doi.org/10.1016/j.ecolind.2015.12.007" TargetMode="External" /><Relationship Type="http://schemas.openxmlformats.org/officeDocument/2006/relationships/hyperlink" Id="rId206" Target="https://doi.org/10.1016/j.ecolind.2020.107310" TargetMode="External" /><Relationship Type="http://schemas.openxmlformats.org/officeDocument/2006/relationships/hyperlink" Id="rId104" Target="https://doi.org/10.1016/j.ecolind.2023.111035" TargetMode="External" /><Relationship Type="http://schemas.openxmlformats.org/officeDocument/2006/relationships/hyperlink" Id="rId132" Target="https://doi.org/10.1016/j.ecss.2014.10.003" TargetMode="External" /><Relationship Type="http://schemas.openxmlformats.org/officeDocument/2006/relationships/hyperlink" Id="rId164" Target="https://doi.org/10.1016/j.ecss.2022.108134" TargetMode="External" /><Relationship Type="http://schemas.openxmlformats.org/officeDocument/2006/relationships/hyperlink" Id="rId108" Target="https://doi.org/10.1016/j.jembe.2007.06.024" TargetMode="External" /><Relationship Type="http://schemas.openxmlformats.org/officeDocument/2006/relationships/hyperlink" Id="rId114" Target="https://doi.org/10.1016/j.jenvman.2018.01.025" TargetMode="External" /><Relationship Type="http://schemas.openxmlformats.org/officeDocument/2006/relationships/hyperlink" Id="rId128" Target="https://doi.org/10.1016/j.marpolbul.2010.11.017" TargetMode="External" /><Relationship Type="http://schemas.openxmlformats.org/officeDocument/2006/relationships/hyperlink" Id="rId228" Target="https://doi.org/10.1016/j.marpolbul.2020.111247" TargetMode="External" /><Relationship Type="http://schemas.openxmlformats.org/officeDocument/2006/relationships/hyperlink" Id="rId84" Target="https://doi.org/10.1016/j.marpolbul.2022.113598" TargetMode="External" /><Relationship Type="http://schemas.openxmlformats.org/officeDocument/2006/relationships/hyperlink" Id="rId245" Target="https://doi.org/10.1016/j.marpolbul.2023.115043" TargetMode="External" /><Relationship Type="http://schemas.openxmlformats.org/officeDocument/2006/relationships/hyperlink" Id="rId112" Target="https://doi.org/10.1016/j.ocecoaman.2023.106490" TargetMode="External" /><Relationship Type="http://schemas.openxmlformats.org/officeDocument/2006/relationships/hyperlink" Id="rId76" Target="https://doi.org/10.1016/j.ocecoaman.2023.106929" TargetMode="External" /><Relationship Type="http://schemas.openxmlformats.org/officeDocument/2006/relationships/hyperlink" Id="rId213" Target="https://doi.org/10.1016/j.rsma.2015.05.005" TargetMode="External" /><Relationship Type="http://schemas.openxmlformats.org/officeDocument/2006/relationships/hyperlink" Id="rId223" Target="https://doi.org/10.1016/j.rsma.2015.11.010" TargetMode="External" /><Relationship Type="http://schemas.openxmlformats.org/officeDocument/2006/relationships/hyperlink" Id="rId219" Target="https://doi.org/10.1016/j.scitotenv.2011.09.088" TargetMode="External" /><Relationship Type="http://schemas.openxmlformats.org/officeDocument/2006/relationships/hyperlink" Id="rId171" Target="https://doi.org/10.1016/j.seares.2012.03.002" TargetMode="External" /><Relationship Type="http://schemas.openxmlformats.org/officeDocument/2006/relationships/hyperlink" Id="rId142" Target="https://doi.org/10.1029/wr018i001p00107" TargetMode="External" /><Relationship Type="http://schemas.openxmlformats.org/officeDocument/2006/relationships/hyperlink" Id="rId126" Target="https://doi.org/10.1038/ngeo1477" TargetMode="External" /><Relationship Type="http://schemas.openxmlformats.org/officeDocument/2006/relationships/hyperlink" Id="rId183" Target="https://doi.org/10.1038/s41467-018-03732-9" TargetMode="External" /><Relationship Type="http://schemas.openxmlformats.org/officeDocument/2006/relationships/hyperlink" Id="rId238" Target="https://doi.org/10.1073/pnas.0905620106" TargetMode="External" /><Relationship Type="http://schemas.openxmlformats.org/officeDocument/2006/relationships/hyperlink" Id="rId156" Target="https://doi.org/10.1073/pnas.1715798115" TargetMode="External" /><Relationship Type="http://schemas.openxmlformats.org/officeDocument/2006/relationships/hyperlink" Id="rId140" Target="https://doi.org/10.1073/pnas.2220678120" TargetMode="External" /><Relationship Type="http://schemas.openxmlformats.org/officeDocument/2006/relationships/hyperlink" Id="rId116" Target="https://doi.org/10.1080/00785236.1995.10422039" TargetMode="External" /><Relationship Type="http://schemas.openxmlformats.org/officeDocument/2006/relationships/hyperlink" Id="rId187" Target="https://doi.org/10.1093/biosci/bix058" TargetMode="External" /><Relationship Type="http://schemas.openxmlformats.org/officeDocument/2006/relationships/hyperlink" Id="rId144" Target="https://doi.org/10.1101/sqb.1957.022.01.039" TargetMode="External" /><Relationship Type="http://schemas.openxmlformats.org/officeDocument/2006/relationships/hyperlink" Id="rId102" Target="https://doi.org/10.1111/1365-2664.13169" TargetMode="External" /><Relationship Type="http://schemas.openxmlformats.org/officeDocument/2006/relationships/hyperlink" Id="rId240" Target="https://doi.org/10.1111/1365-2745.13648" TargetMode="External" /><Relationship Type="http://schemas.openxmlformats.org/officeDocument/2006/relationships/hyperlink" Id="rId173" Target="https://doi.org/10.1111/brv.12294" TargetMode="External" /><Relationship Type="http://schemas.openxmlformats.org/officeDocument/2006/relationships/hyperlink" Id="rId124" Target="https://doi.org/10.1111/conl.12938" TargetMode="External" /><Relationship Type="http://schemas.openxmlformats.org/officeDocument/2006/relationships/hyperlink" Id="rId193" Target="https://doi.org/10.1111/gcb.13084" TargetMode="External" /><Relationship Type="http://schemas.openxmlformats.org/officeDocument/2006/relationships/hyperlink" Id="rId158" Target="https://doi.org/10.1111/gcb.13623" TargetMode="External" /><Relationship Type="http://schemas.openxmlformats.org/officeDocument/2006/relationships/hyperlink" Id="rId122" Target="https://doi.org/10.1111/gcb.15684" TargetMode="External" /><Relationship Type="http://schemas.openxmlformats.org/officeDocument/2006/relationships/hyperlink" Id="rId191" Target="https://doi.org/10.1126/sciadv.abc6434" TargetMode="External" /><Relationship Type="http://schemas.openxmlformats.org/officeDocument/2006/relationships/hyperlink" Id="rId234" Target="https://doi.org/10.1146/annurev.es.03.110172.000543" TargetMode="External" /><Relationship Type="http://schemas.openxmlformats.org/officeDocument/2006/relationships/hyperlink" Id="rId215" Target="https://doi.org/10.1353/sgo.2017.0026" TargetMode="External" /><Relationship Type="http://schemas.openxmlformats.org/officeDocument/2006/relationships/hyperlink" Id="rId185" Target="https://doi.org/10.1641/0006-3568(2006)56[987:agcfse]2.0.co;2" TargetMode="External" /><Relationship Type="http://schemas.openxmlformats.org/officeDocument/2006/relationships/hyperlink" Id="rId78" Target="https://doi.org/10.18637/jss.v067.i01" TargetMode="External" /><Relationship Type="http://schemas.openxmlformats.org/officeDocument/2006/relationships/hyperlink" Id="rId88" Target="https://doi.org/10.21105/joss.03485" TargetMode="External" /><Relationship Type="http://schemas.openxmlformats.org/officeDocument/2006/relationships/hyperlink" Id="rId217" Target="https://doi.org/10.21203/rs.3.rs-3528678/v1" TargetMode="External" /><Relationship Type="http://schemas.openxmlformats.org/officeDocument/2006/relationships/hyperlink" Id="rId100" Target="https://doi.org/10.2134/jeq2001.302303x" TargetMode="External" /><Relationship Type="http://schemas.openxmlformats.org/officeDocument/2006/relationships/hyperlink" Id="rId106" Target="https://doi.org/10.2307/1352383" TargetMode="External" /><Relationship Type="http://schemas.openxmlformats.org/officeDocument/2006/relationships/hyperlink" Id="rId136" Target="https://doi.org/10.2307/1353210" TargetMode="External" /><Relationship Type="http://schemas.openxmlformats.org/officeDocument/2006/relationships/hyperlink" Id="rId175" Target="https://doi.org/10.2307/1932688" TargetMode="External" /><Relationship Type="http://schemas.openxmlformats.org/officeDocument/2006/relationships/hyperlink" Id="rId198" Target="https://doi.org/10.3354/meps08925" TargetMode="External" /><Relationship Type="http://schemas.openxmlformats.org/officeDocument/2006/relationships/hyperlink" Id="rId138" Target="https://doi.org/10.3354/meps11923" TargetMode="External" /><Relationship Type="http://schemas.openxmlformats.org/officeDocument/2006/relationships/hyperlink" Id="rId96" Target="https://doi.org/10.3354/meps147277" TargetMode="External" /><Relationship Type="http://schemas.openxmlformats.org/officeDocument/2006/relationships/hyperlink" Id="rId196" Target="https://doi.org/10.3354/meps322099" TargetMode="External" /><Relationship Type="http://schemas.openxmlformats.org/officeDocument/2006/relationships/hyperlink" Id="rId86" Target="https://doi.org/10.3389/fevo.2023.1070266" TargetMode="External" /><Relationship Type="http://schemas.openxmlformats.org/officeDocument/2006/relationships/hyperlink" Id="rId221" Target="https://doi.org/10.3389/fevo.2023.1134069" TargetMode="External" /><Relationship Type="http://schemas.openxmlformats.org/officeDocument/2006/relationships/hyperlink" Id="rId134" Target="https://doi.org/10.3389/fmars.2022.767440" TargetMode="External" /><Relationship Type="http://schemas.openxmlformats.org/officeDocument/2006/relationships/hyperlink" Id="rId120" Target="https://doi.org/10.3389/fpls.2021.612947" TargetMode="External" /><Relationship Type="http://schemas.openxmlformats.org/officeDocument/2006/relationships/hyperlink" Id="rId80" Target="https://doi.org/10.5281/zenodo.3648664" TargetMode="External" /><Relationship Type="http://schemas.openxmlformats.org/officeDocument/2006/relationships/hyperlink" Id="rId82" Target="https://doi.org/10.5281/zenodo.4319936" TargetMode="External" /><Relationship Type="http://schemas.openxmlformats.org/officeDocument/2006/relationships/hyperlink" Id="rId169" Target="https://drive.google.com/file/d/1-1Jq9vly5EvVwEp698brlBucXjSMDbNn/view?usp=sharing" TargetMode="External" /><Relationship Type="http://schemas.openxmlformats.org/officeDocument/2006/relationships/hyperlink" Id="rId225" Target="https://drive.google.com/file/d/15zetRgrFKkWah9KAY1in7q0so8ywHzkA/view?usp=drive_link" TargetMode="External" /><Relationship Type="http://schemas.openxmlformats.org/officeDocument/2006/relationships/hyperlink" Id="rId154" Target="https://drive.google.com/file/d/19bNEs2qy6z0hXa1IE7OtbFTjqk1LarFN/view?usp=drivesdk" TargetMode="External" /><Relationship Type="http://schemas.openxmlformats.org/officeDocument/2006/relationships/hyperlink" Id="rId211" Target="https://drive.google.com/file/d/1BCviGfLykVX-p1tA3b0306deP3pKMagr/view?usp=drivesdk" TargetMode="External" /><Relationship Type="http://schemas.openxmlformats.org/officeDocument/2006/relationships/hyperlink" Id="rId201" Target="https://drive.google.com/file/d/1Hp0l_qtbxp1JxKJoGatdyuANSzQrpL0I/view?usp=drivesdk" TargetMode="External" /><Relationship Type="http://schemas.openxmlformats.org/officeDocument/2006/relationships/hyperlink" Id="rId150" Target="https://drive.google.com/file/d/1KARuSC5fGx05MuT1wiOQFWNXysBokkQl/view?usp=share_link" TargetMode="External" /><Relationship Type="http://schemas.openxmlformats.org/officeDocument/2006/relationships/hyperlink" Id="rId152" Target="https://drive.google.com/file/d/1Z_8L9sYQWSl1hon1tP1Y8zBo7MHQK9zC/view?usp=drivesdk" TargetMode="External" /><Relationship Type="http://schemas.openxmlformats.org/officeDocument/2006/relationships/hyperlink" Id="rId166" Target="https://drive.google.com/file/d/1iXX_JZP5fLS3ORIkFb7WwNYv8HjpHyKw/view?usp=sharing" TargetMode="External" /><Relationship Type="http://schemas.openxmlformats.org/officeDocument/2006/relationships/hyperlink" Id="rId146" Target="https://drive.google.com/file/d/1kZkvuprvsMyN9nPS5PHYvXHyo1KQxKTr/view?usp=drivesdk" TargetMode="External" /><Relationship Type="http://schemas.openxmlformats.org/officeDocument/2006/relationships/hyperlink" Id="rId160" Target="https://drive.google.com/file/d/1sNp3FpjdeOjATZ9nDRRAiXEOqQen9W_p/view?usp=sharing" TargetMode="External" /><Relationship Type="http://schemas.openxmlformats.org/officeDocument/2006/relationships/hyperlink" Id="rId98" Target="https://drive.google.com/file/d/1tUkGW7TRAJ_skWj-UemDVIJnUAsy0ITf/view?usp=drivesdk" TargetMode="External" /><Relationship Type="http://schemas.openxmlformats.org/officeDocument/2006/relationships/hyperlink" Id="rId148"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77" Target="https://www.springer.com" TargetMode="External" /><Relationship Type="http://schemas.openxmlformats.org/officeDocument/2006/relationships/hyperlink" Id="rId30" Target="https://www.swfwmd.state.fl.us/resources/data-maps/rainfall-summary-data-region"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evidence of climate-related suboptimal conditions for seagrass in a large Gulf coast estuary</dc:title>
  <dc:creator>Marcus W Beck1,✉, Kerry Flaherty-Walia1, Sheila Scolaro1, Maya C Burke1, and Edward T Sherwood1</dc:creator>
  <cp:keywords/>
  <dcterms:created xsi:type="dcterms:W3CDTF">2024-01-25T20:39:39Z</dcterms:created>
  <dcterms:modified xsi:type="dcterms:W3CDTF">2024-01-25T20:39:39Z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estuaries-and-coasts.csl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