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3.png" ContentType="image/png"/>
  <Override PartName="/word/media/rId61.png" ContentType="image/png"/>
  <Override PartName="/word/media/rId45.png" ContentType="image/png"/>
  <Override PartName="/word/media/rId57.png" ContentType="image/png"/>
  <Override PartName="/word/media/rId65.png" ContentType="image/png"/>
  <Override PartName="/word/media/rId49.png" ContentType="image/png"/>
  <Override PartName="/word/media/rId69.png" ContentType="image/png"/>
  <Override PartName="/word/media/rId7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evidence</w:t>
      </w:r>
      <w:r>
        <w:t xml:space="preserve"> </w:t>
      </w:r>
      <w:r>
        <w:t xml:space="preserve">of</w:t>
      </w:r>
      <w:r>
        <w:t xml:space="preserve"> </w:t>
      </w:r>
      <w:r>
        <w:t xml:space="preserve">climate-related</w:t>
      </w:r>
      <w:r>
        <w:t xml:space="preserve"> </w:t>
      </w:r>
      <w:r>
        <w:t xml:space="preserve">suboptimal</w:t>
      </w:r>
      <w:r>
        <w:t xml:space="preserve"> </w:t>
      </w:r>
      <w:r>
        <w:t xml:space="preserve">water</w:t>
      </w:r>
      <w:r>
        <w:t xml:space="preserve"> </w:t>
      </w:r>
      <w:r>
        <w:t xml:space="preserve">conditions</w:t>
      </w:r>
      <w:r>
        <w:t xml:space="preserve"> </w:t>
      </w:r>
      <w:r>
        <w:t xml:space="preserve">for</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Bradley T Furman</w:t>
      </w:r>
      <w:r>
        <w:rPr>
          <w:vertAlign w:val="superscript"/>
        </w:rPr>
        <w:t xml:space="preserve">2</w:t>
      </w:r>
      <w:r>
        <w:t xml:space="preserve">,</w:t>
      </w:r>
      <w:r>
        <w:t xml:space="preserve"> </w:t>
      </w:r>
      <w:r>
        <w:t xml:space="preserve">David J Karlen</w:t>
      </w:r>
      <w:r>
        <w:rPr>
          <w:vertAlign w:val="superscript"/>
        </w:rPr>
        <w:t xml:space="preserve">3</w:t>
      </w:r>
      <w:r>
        <w:t xml:space="preserve">,</w:t>
      </w:r>
      <w:r>
        <w:t xml:space="preserve"> </w:t>
      </w:r>
      <w:r>
        <w:t xml:space="preserve">Christopher Pratt</w:t>
      </w:r>
      <w:r>
        <w:rPr>
          <w:vertAlign w:val="superscript"/>
        </w:rPr>
        <w:t xml:space="preserve">3</w:t>
      </w:r>
      <w:r>
        <w:t xml:space="preserve">,</w:t>
      </w:r>
      <w:r>
        <w:t xml:space="preserve"> </w:t>
      </w:r>
      <w:r>
        <w:t xml:space="preserve">Christopher J Anastasiou</w:t>
      </w:r>
      <w:r>
        <w:rPr>
          <w:vertAlign w:val="superscript"/>
        </w:rPr>
        <w:t xml:space="preserve">4</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Florida Fish and Wildlife Conservation Commission, Florida Fish and Wildlife Research Institute, 100 8th Avenue SE, St. Petersburg, FL 33701, USA</w:t>
      </w:r>
      <w:r>
        <w:br/>
      </w:r>
      <w:r>
        <w:rPr>
          <w:vertAlign w:val="superscript"/>
        </w:rPr>
        <w:t xml:space="preserve">3</w:t>
      </w:r>
      <w:r>
        <w:t xml:space="preserve"> </w:t>
      </w:r>
      <w:r>
        <w:t xml:space="preserve">Environmental Protection Commission of Hillsborough County, 3629 Queen Palm Drive, Tampa, FL 33619, USA</w:t>
      </w:r>
      <w:r>
        <w:br/>
      </w:r>
      <w:r>
        <w:rPr>
          <w:vertAlign w:val="superscript"/>
        </w:rPr>
        <w:t xml:space="preserve">4</w:t>
      </w:r>
      <w:r>
        <w:t xml:space="preserve"> </w:t>
      </w:r>
      <w:r>
        <w:t xml:space="preserve">Southwest Florida Water Management District, 7601 US Highway 301 North, Tampa, FL 33637,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Seagrasses have long been a focal point for management efforts aimed at restoring ecosystem health in estuaries worldwide. In Tampa Bay, Florida (USA), seagrass coverage has declined since 2016 by nearly a third (11,518 acres), despite sustained reductions of nitrogen loads supportive of light environments for growth. Changing physical water quality conditions related to climate change may be stressing seagrasses beyond their optimal growth ranges, requiring an assessment to determine if this decline can be linked to climate stress. Three ambient water quality datasets of varying sampling design and coverage were evaluated to characterize physicochemical environments in Tampa Bay and the potential relationships with seagrass change. Tampa Bay has become hotter and fresher with water temperature increasing by 0.03 - 0.04</w:t>
      </w:r>
      <w:r>
        <w:t xml:space="preserve"> </w:t>
      </w:r>
      <m:oMath>
        <m:sSup>
          <m:e>
            <m:r>
              <m:t>​</m:t>
            </m:r>
          </m:e>
          <m:sup>
            <m:r>
              <m:rPr>
                <m:sty m:val="p"/>
              </m:rPr>
              <m:t>∘</m:t>
            </m:r>
          </m:sup>
        </m:sSup>
      </m:oMath>
      <w:r>
        <w:t xml:space="preserve">C per year and salinity decreasing by 0.04 - 0.06 ppt per year, translating to an increase of 1.3 to 1.7</w:t>
      </w:r>
      <w:r>
        <w:t xml:space="preserve"> </w:t>
      </w:r>
      <m:oMath>
        <m:sSup>
          <m:e>
            <m:r>
              <m:t>​</m:t>
            </m:r>
          </m:e>
          <m:sup>
            <m:r>
              <m:rPr>
                <m:sty m:val="p"/>
              </m:rPr>
              <m:t>∘</m:t>
            </m:r>
          </m:sup>
        </m:sSup>
      </m:oMath>
      <w:r>
        <w:t xml:space="preserve">C and a decrease of 1.6 to 2.6 ppt over the last fifty years. Additionally, the number of days when temperature was above 30</w:t>
      </w:r>
      <w:r>
        <w:t xml:space="preserve"> </w:t>
      </w:r>
      <m:oMath>
        <m:sSup>
          <m:e>
            <m:r>
              <m:t>​</m:t>
            </m:r>
          </m:e>
          <m:sup>
            <m:r>
              <m:rPr>
                <m:sty m:val="p"/>
              </m:rPr>
              <m:t>∘</m:t>
            </m:r>
          </m:sup>
        </m:sSup>
      </m:oMath>
      <w:r>
        <w:t xml:space="preserve">C or salinity was below 25 ppt has increased on average across all bay segments by 48 and 37 days, respectively, since 1975. These changes varied spatially and seasonally, with the most dramatic changes observed in the upper bay. Generalized Additive Models provided a weight-of-evidence that recent seagrass declines are somewhat associated with hotter and fresher conditions. Trends in warming and increased precipitation in the region are likely to continue, further creating suboptimal conditions for seagrasses in Tampa Bay. These results should compel resource managers to consider the likelihood that reduced resilience of estuarine resources due to shifting ecological baselines driven by additional climate change drivers will complicate long-standing management paradigms. While conventional management approaches that focus on limiting nutrient loads should be continued, their future effectiveness may be confounded by climate change drivers and warrant additional, complementary interventions and continuous monitoring data to support ecosystem health into the future.</w:t>
      </w:r>
    </w:p>
    <w:p>
      <w:pPr>
        <w:pStyle w:val="BodyText"/>
      </w:pPr>
      <w:r>
        <w:rPr>
          <w:iCs/>
          <w:i/>
        </w:rPr>
        <w:t xml:space="preserve">Key words</w:t>
      </w:r>
      <w:r>
        <w:t xml:space="preserve">: climate change; seagrass; salinity; temperature; Tampa Bay</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on a global scale. Seagrasses are fundamental indicators of coastal ecosystem health</w:t>
      </w:r>
      <w:r>
        <w:t xml:space="preserve"> </w:t>
      </w:r>
      <w:r>
        <w:t xml:space="preserve">(Roca et al. 2016; Orth et al. 2017)</w:t>
      </w:r>
      <w:r>
        <w:t xml:space="preserve">, while also serving as foundation species that provide numerous ecosystem services</w:t>
      </w:r>
      <w:r>
        <w:t xml:space="preserve"> </w:t>
      </w:r>
      <w:r>
        <w:t xml:space="preserve">(James W. 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to, if not more significant than, other interconnected critical coastal environments such as mangroves and salt marshes</w:t>
      </w:r>
      <w:r>
        <w:t xml:space="preserve"> </w:t>
      </w:r>
      <w:r>
        <w:t xml:space="preserve">(Duarte et al. 2008)</w:t>
      </w:r>
      <w:r>
        <w:t xml:space="preserve">. Losses have been attributed to numerous stressors including decline in light environments with nutrient enrichment, sedimentation, and physical disturbance primarily from human activities</w:t>
      </w:r>
      <w:r>
        <w:t xml:space="preserve"> </w:t>
      </w:r>
      <w:r>
        <w:t xml:space="preserve">(Duarte 1995; M. O. Hall et al. 1999; Orth et al. 2006; Burkholder et al. 2007)</w:t>
      </w:r>
      <w:r>
        <w:t xml:space="preserve">. Furthermore, natural disturbances such as storm events and disease have also been implicated</w:t>
      </w:r>
      <w:r>
        <w:t xml:space="preserve"> </w:t>
      </w:r>
      <w:r>
        <w:t xml:space="preserve">(Robblee et al. 1991; Tomasko et al. 2020)</w:t>
      </w:r>
      <w:r>
        <w:t xml:space="preserve">. Contemporary management actions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coastal environments requires environmental conditions that support vegetative growth, reproduction, and coverage expansion. A long-standing approach adopted by numerous management entities has been the control of external nutrient inputs in systems where excessive algal growth has created poor light environments for seagrasses</w:t>
      </w:r>
      <w:r>
        <w:t xml:space="preserve"> </w:t>
      </w:r>
      <w:r>
        <w:t xml:space="preserve">(Boesch et al. 2001; Greening and Janicki 2006; Greening et al. 2014; Han and Liu 2014)</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 </w:t>
      </w:r>
      <w:r>
        <w:t xml:space="preserve">and the much larger Chesapeake Bay on the east Atlantic US coast</w:t>
      </w:r>
      <w:r>
        <w:t xml:space="preserve"> </w:t>
      </w:r>
      <w:r>
        <w:t xml:space="preserve">(Lefcheck et al. 2018)</w:t>
      </w:r>
      <w:r>
        <w:t xml:space="preserve">, where both showed significant increase in seagrass areal coverage through sustained and long-term reductions in external nutrient loads. Cooperation among management, regulatory, public, and private sectors were critical aspects of both examples</w:t>
      </w:r>
      <w:r>
        <w:t xml:space="preserve"> </w:t>
      </w:r>
      <w:r>
        <w:t xml:space="preserve">(Sherwood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Top-down effects and associated trophic cascades can also complicate the sustained growth or recovery of seagrass, particularly where herbivores are abundant</w:t>
      </w:r>
      <w:r>
        <w:t xml:space="preserve"> </w:t>
      </w:r>
      <w:r>
        <w:t xml:space="preserve">(e.g., sea turtles, manatees, Heck and Valentine 2007; J. W. Fourqurean et al. 2010)</w:t>
      </w:r>
      <w:r>
        <w:t xml:space="preserve">. Complementary management actions, in addition to nutrient reductions, are needed in these situations.</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Sherwood and Greening 2013)</w:t>
      </w:r>
      <w:r>
        <w:t xml:space="preserve">. In addition to sea-level rise, the most anticipated effects of climate change in coastal environments are increased temperature and altered precipitation patterns. These changes will profoundly alter physicochemical habitats, creating suboptimal or uninhabitable conditions for many species</w:t>
      </w:r>
      <w:r>
        <w:t xml:space="preserve"> </w:t>
      </w:r>
      <w:r>
        <w:t xml:space="preserve">(Madeira et al. 2012; Lefcheck et al. 2017; Hammer et al. 2018;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environmental stress on seagrasses from acute warming related to climate change was compounded by stress from poor light environments in shallow waters, demonstrating a concerning synergy of stressors most likely to affect Tampa Bay.</w:t>
      </w:r>
      <w:r>
        <w:t xml:space="preserve"> </w:t>
      </w:r>
      <w:r>
        <w:t xml:space="preserve">Moreno-Marín et al. (2018)</w:t>
      </w:r>
      <w:r>
        <w:t xml:space="preserve"> </w:t>
      </w:r>
      <w:r>
        <w:t xml:space="preserve">produced similar results using a multifactorial experiment that considered temperature, light, and nutrient (nitrogen) availability for North Sea eelgrass (</w:t>
      </w:r>
      <w:r>
        <w:rPr>
          <w:iCs/>
          <w:i/>
        </w:rPr>
        <w:t xml:space="preserve">Zostera marina</w:t>
      </w:r>
      <w:r>
        <w:t xml:space="preserve">). Species shifts are also expected to occur as changing physical conditions decrease the competitive advantages of historically abundant species. In Chesapeake Bay, the abundance of widgeongrass (</w:t>
      </w:r>
      <w:r>
        <w:rPr>
          <w:iCs/>
          <w:i/>
        </w:rPr>
        <w:t xml:space="preserve">Ruppia maritima</w:t>
      </w:r>
      <w:r>
        <w:t xml:space="preserve">) has responded positively to nutrient reduction and is replacing the formerly dominant but now heat-stressed</w:t>
      </w:r>
      <w:r>
        <w:t xml:space="preserve"> </w:t>
      </w:r>
      <w:r>
        <w:t xml:space="preserve">(</w:t>
      </w:r>
      <w:r>
        <w:rPr>
          <w:iCs/>
          <w:i/>
        </w:rPr>
        <w:t xml:space="preserve">Z. marina</w:t>
      </w:r>
      <w:r>
        <w:t xml:space="preserve">, Hensel et al. 2023; also see Bartenfelder et al. 2022)</w:t>
      </w:r>
      <w:r>
        <w:t xml:space="preserve">. Changing frequency and severity of precipitation patterns may further alter salinity regimes and with it the distribution and abundance of seagrasses throughout the estuary</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 species may respond differently under individual or multiple stressors and each watershed will respond differently to climate change</w:t>
      </w:r>
      <w:r>
        <w:t xml:space="preserve"> </w:t>
      </w:r>
      <w:r>
        <w:t xml:space="preserve">(M. O. Hall et al. 2016; Lefcheck et al. 2017; Zhang et al. 2023)</w:t>
      </w:r>
      <w:r>
        <w:t xml:space="preserve">, suggesting place-based empirical assessments will be needed to properly inform management decisions.</w:t>
      </w:r>
    </w:p>
    <w:p>
      <w:pPr>
        <w:pStyle w:val="BodyText"/>
      </w:pPr>
      <w:r>
        <w:t xml:space="preserve">In Tampa Bay, Florida, seagrasses are a primary indicator of bay health and have been the focus of management efforts for the last thirty years</w:t>
      </w:r>
      <w:r>
        <w:t xml:space="preserve"> </w:t>
      </w:r>
      <w:r>
        <w:t xml:space="preserve">(Sherwood et al. 2017)</w:t>
      </w:r>
      <w:r>
        <w:t xml:space="preserve">. Through successful reduction of external nitrogen loads, seagrasses have recovered from a low, system-wide coverage in the 1980s to an all-time high in 2016 of 41,655 acres</w:t>
      </w:r>
      <w:r>
        <w:t xml:space="preserve"> </w:t>
      </w:r>
      <w:r>
        <w:t xml:space="preserve">(16,857 ha, 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w:t>
      </w:r>
      <w:r>
        <w:t xml:space="preserve"> </w:t>
      </w:r>
      <w:r>
        <w:t xml:space="preserve">(Janicki and Wade 1996; Beck 2020a)</w:t>
      </w:r>
      <w:r>
        <w:t xml:space="preserve">. Factors that have influenced this recent decline are unknown and the effects of climate change drivers on physical water quality conditions independent of light environments have been implicated as potential stressors.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This information can fill a critical knowledge gap that can inform regional management activities, while also demonstrating the confounding effects of climate change with ecosystem response to conventional stressors. The improvement of bio-optical models that can describe light requirements for seagrasses may also result from this information.</w:t>
      </w:r>
    </w:p>
    <w:p>
      <w:pPr>
        <w:pStyle w:val="BodyText"/>
      </w:pPr>
      <w:r>
        <w:t xml:space="preserve">This paper describes a comprehensive assessment of long-term trends in water temperature and salinity in the Tampa Bay estuary over the last fifty years. Three datasets of varying sampling designs and temporal coverage were used to assess the primary hypothesis that Tampa Bay is trending towards hotter and fresher conditions that are likely stressing seagrasses beyond their optimal tolerance ranges, particularly in upper bay segments that are more shallow and receive a majority of hydrologic inflow. This hypothesis was generated from preliminary assessments of datasets used herein and discussions with the regional scientific and management community. While other studies have suggested negative effects from climate change in the form of increased salinity</w:t>
      </w:r>
      <w:r>
        <w:t xml:space="preserve"> </w:t>
      </w:r>
      <w:r>
        <w:t xml:space="preserve">(e.g., Costa et al. 2023)</w:t>
      </w:r>
      <w:r>
        <w:t xml:space="preserve">, lower salinity may be a stressor for seagrass in Tampa Bay. The analysis was supported by 30-year seagrass datasets including aerial surveys of total seagrass distribution, annual transect monitoring describing species-specific percent cover, and synoptic seagrass data collected with routine biotic and water quality surveys.</w:t>
      </w:r>
    </w:p>
    <w:bookmarkEnd w:id="22"/>
    <w:bookmarkStart w:id="37"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that contribute to a majority of freshwater inflow to the bay. The climate of Tampa Bay is subtropical with warm humid summers and cool less humid winters</w:t>
      </w:r>
      <w:r>
        <w:t xml:space="preserve"> </w:t>
      </w:r>
      <w:r>
        <w:t xml:space="preserve">(Garcia et al. 2023)</w:t>
      </w:r>
      <w:r>
        <w:t xml:space="preserve">. Unique to Tampa Bay and the entire central Florida peninsula is that this region is within a transition zone from more temperate weather to the north, similar to the rest of the southeastern United States, and more tropical weather to the south</w:t>
      </w:r>
      <w:r>
        <w:t xml:space="preserve"> </w:t>
      </w:r>
      <w:r>
        <w:t xml:space="preserve">(Morrison et al. 2006)</w:t>
      </w:r>
      <w:r>
        <w:t xml:space="preserve">. El Niño weather events have also been associated with prolonged periods of heavy rainfall contributing to seagrass reductions through increased stormwater nutrient loads</w:t>
      </w:r>
      <w:r>
        <w:t xml:space="preserve"> </w:t>
      </w:r>
      <w:r>
        <w:t xml:space="preserve">(Schmidt and Luther 2002; Greening and Janicki 2006; Morrison et al. 2006)</w:t>
      </w:r>
      <w:r>
        <w:t xml:space="preserve">. The watershed is heavily developed and includes over 3 million people</w:t>
      </w:r>
      <w:r>
        <w:t xml:space="preserve"> </w:t>
      </w:r>
      <w:r>
        <w:t xml:space="preserve">(Todd et al. 2023)</w:t>
      </w:r>
      <w:r>
        <w:t xml:space="preserve"> </w:t>
      </w:r>
      <w:r>
        <w:t xml:space="preserve">with 42% of the land as urban or suburban contributing substantial inputs of wastewater and stormwater runoff that can stress bay resources</w:t>
      </w:r>
      <w:r>
        <w:t xml:space="preserve"> </w:t>
      </w:r>
      <w:r>
        <w:t xml:space="preserve">(Beck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direct external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channelized tributaries and manmade flood control conveyances</w:t>
      </w:r>
      <w:r>
        <w:t xml:space="preserve"> </w:t>
      </w:r>
      <w:r>
        <w:t xml:space="preserve">(Janicki Environmental, Inc. 2023)</w:t>
      </w:r>
      <w:r>
        <w:t xml:space="preserve">. Notably, Old Tampa Bay has restricted circulation from multiple land bridges associated with causeways that traverse the bay, causing longer residence times and accumulation of legacy pollutant loads compared to the other bay segments</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shallow, with a baywide mean depth of approximately 3 m. Light penetration typically reaches bottom habitats under current conditions (Figure</w:t>
      </w:r>
      <w:r>
        <w:t xml:space="preserve"> </w:t>
      </w:r>
      <w:hyperlink w:anchor="fig-seagrasschg">
        <w:r>
          <w:rPr>
            <w:rStyle w:val="Hyperlink"/>
          </w:rPr>
          <w:t xml:space="preserve">2</w:t>
        </w:r>
      </w:hyperlink>
      <w:r>
        <w:t xml:space="preserve">c), although seagrasses were historically limited by high phytoplankton production that affected light environments</w:t>
      </w:r>
      <w:r>
        <w:t xml:space="preserve"> </w:t>
      </w:r>
      <w:r>
        <w:t xml:space="preserve">(Greening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since the 1980s is a nationally recognized success story that demonstrates application of a successful management paradigm through the EPA-administered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what was present in the 1950s. Though Tampa Bay was far from pristine at the time, aerial imagery was sufficient to estimate a relatively unimpacted condition for seagrass coverage. Since then, the greatest areal coverage expansions were observed in the upper bay segments (OTB, HB, and MTB; Figure</w:t>
      </w:r>
      <w:r>
        <w:t xml:space="preserve"> </w:t>
      </w:r>
      <w:hyperlink w:anchor="fig-seagrasschg">
        <w:r>
          <w:rPr>
            <w:rStyle w:val="Hyperlink"/>
          </w:rPr>
          <w:t xml:space="preserve">2</w:t>
        </w:r>
      </w:hyperlink>
      <w:r>
        <w:t xml:space="preserve">a). Light environments have improved (Figure</w:t>
      </w:r>
      <w:r>
        <w:t xml:space="preserve"> </w:t>
      </w:r>
      <w:hyperlink w:anchor="fig-seagrasschg">
        <w:r>
          <w:rPr>
            <w:rStyle w:val="Hyperlink"/>
          </w:rPr>
          <w:t xml:space="preserve">2</w:t>
        </w:r>
      </w:hyperlink>
      <w:r>
        <w:t xml:space="preserve">c) through reduction of external nitrogen loadings by about 2/3 by the 1980s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and additional stormwater control projects implemented in the watershed</w:t>
      </w:r>
      <w:r>
        <w:t xml:space="preserve"> </w:t>
      </w:r>
      <w:r>
        <w:t xml:space="preserve">(Greening et al. 2014; Beck et al. 2019)</w:t>
      </w:r>
      <w:r>
        <w:t xml:space="preserve">.</w:t>
      </w:r>
    </w:p>
    <w:p>
      <w:pPr>
        <w:pStyle w:val="BodyText"/>
      </w:pPr>
      <w:r>
        <w:t xml:space="preserve">From 2016 to present, dramatic seagrass loss has been observed in Tampa Bay, despite light environments remaining supportive of growth (Figure</w:t>
      </w:r>
      <w:r>
        <w:t xml:space="preserve"> </w:t>
      </w:r>
      <w:hyperlink w:anchor="fig-seagrasschg">
        <w:r>
          <w:rPr>
            <w:rStyle w:val="Hyperlink"/>
          </w:rPr>
          <w:t xml:space="preserve">2</w:t>
        </w:r>
      </w:hyperlink>
      <w:r>
        <w:t xml:space="preserve">c) as defined by historical relationships between nitrogen, chlorophyll-a, and water clarity</w:t>
      </w:r>
      <w:r>
        <w:t xml:space="preserve"> </w:t>
      </w:r>
      <w:r>
        <w:t xml:space="preserve">(Janicki and Wade 1996; Greening et al. 2011)</w:t>
      </w:r>
      <w:r>
        <w:t xml:space="preserve">. Total cover in Tampa Bay has decreased by 28% (11,518 acres/4,661 ha) from the 2016 peak to a total baywide coverage of 30,137 acres (12,196 ha) in 2022.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which is close to the mapping error. As such, trajectories of recovery and decline have varied by bay segment in magnitude and timing of the change, although a consistent decline baywide has been observed since 2016. Change by species has been most notable for</w:t>
      </w:r>
      <w:r>
        <w:t xml:space="preserve"> </w:t>
      </w:r>
      <w:r>
        <w:rPr>
          <w:iCs/>
          <w:i/>
        </w:rPr>
        <w:t xml:space="preserve">Halodule wrightii</w:t>
      </w:r>
      <w:r>
        <w:t xml:space="preserve"> </w:t>
      </w:r>
      <w:r>
        <w:t xml:space="preserve">(shoal grass) in OTB and HB, whereas some losses have been observed for</w:t>
      </w:r>
      <w:r>
        <w:t xml:space="preserve"> </w:t>
      </w:r>
      <w:r>
        <w:rPr>
          <w:iCs/>
          <w:i/>
        </w:rPr>
        <w:t xml:space="preserve">Thalassia testudinum</w:t>
      </w:r>
      <w:r>
        <w:t xml:space="preserve"> </w:t>
      </w:r>
      <w:r>
        <w:t xml:space="preserve">(turtle grass) in LTB, likely related to dominance of each species across the salinity gradient and proximity to hydrologic inputs</w:t>
      </w:r>
      <w:r>
        <w:t xml:space="preserve"> </w:t>
      </w:r>
      <w:r>
        <w:t xml:space="preserve">(Lewis III et al. 1985)</w:t>
      </w:r>
      <w:r>
        <w:t xml:space="preserve">.</w:t>
      </w:r>
    </w:p>
    <w:bookmarkEnd w:id="24"/>
    <w:bookmarkStart w:id="27" w:name="seagrass-data"/>
    <w:p>
      <w:pPr>
        <w:pStyle w:val="Heading3"/>
      </w:pPr>
      <w:r>
        <w:t xml:space="preserve">2.3 Seagrass data</w:t>
      </w:r>
    </w:p>
    <w:p>
      <w:pPr>
        <w:pStyle w:val="FirstParagraph"/>
      </w:pPr>
      <w:r>
        <w:t xml:space="preserve">Two primary sources of data have been used to track seagrass change in Tampa Bay (</w:t>
      </w:r>
      <w:hyperlink w:anchor="tbl-dattab">
        <w:r>
          <w:rPr>
            <w:rStyle w:val="Hyperlink"/>
          </w:rPr>
          <w:t xml:space="preserve">Table 1</w:t>
        </w:r>
      </w:hyperlink>
      <w:r>
        <w:t xml:space="preserve">). The Southwest Florida Water Management District (SWFWMD) has estimated areal coverage of seagrasses approximately biennially since the late 1980s (Figure</w:t>
      </w:r>
      <w:r>
        <w:t xml:space="preserve"> </w:t>
      </w:r>
      <w:hyperlink w:anchor="fig-seagrasschg">
        <w:r>
          <w:rPr>
            <w:rStyle w:val="Hyperlink"/>
          </w:rPr>
          <w:t xml:space="preserve">2</w:t>
        </w:r>
      </w:hyperlink>
      <w:r>
        <w:t xml:space="preserve">a, available at</w:t>
      </w:r>
      <w:r>
        <w:t xml:space="preserve"> </w:t>
      </w:r>
      <w:hyperlink r:id="rId25">
        <w:r>
          <w:rPr>
            <w:rStyle w:val="Hyperlink"/>
          </w:rPr>
          <w:t xml:space="preserve">https://data-swfwmd.opendata.arcgis.com/</w:t>
        </w:r>
      </w:hyperlink>
      <w:r>
        <w:t xml:space="preserve">). These maps are created from aerial images collected specifically to map seagrass and are acquired during a flight window from December and February. The maps are created by photointerpretation of image signatures coupled with a robust field verification and accuracy assessment. The maps provide a spatial estimate of seagrass cover at the landscape scale and is irrespective of species. Complementary to the SWFWMD seagrass mapping program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6">
        <w:r>
          <w:rPr>
            <w:rStyle w:val="Hyperlink"/>
          </w:rPr>
          <w:t xml:space="preserve">https://tampabay.wateratlas.usf.edu/seagrass-monitoring/</w:t>
        </w:r>
      </w:hyperlink>
      <w:r>
        <w:t xml:space="preserve">). Annual transect surveys have been conducted since 1998 at 62 fixed locations in Tampa Bay, many of which were chosen to target seagrass beds of interest</w:t>
      </w:r>
      <w:r>
        <w:t xml:space="preserve"> </w:t>
      </w:r>
      <w:r>
        <w:t xml:space="preserve">(Johansson 2016; Sherwood et al. 2017)</w:t>
      </w:r>
      <w:r>
        <w:t xml:space="preserve">. This dataset provides species information on cover-abundance, frequency occurrence</w:t>
      </w:r>
      <w:r>
        <w:t xml:space="preserve"> </w:t>
      </w:r>
      <w:r>
        <w:t xml:space="preserve">(number of sample points with seagrass divided by total points on a transect, as in Sherwood et al. 2017)</w:t>
      </w:r>
      <w:r>
        <w:t xml:space="preserve">, and condition, collected at fixed meter marks along a transect extending from the shoreline to the deepwater edge of the seagrass bed. Although the areal maps provide the standard for assessment of restoration goals, the maps are produced every other year. The transect data are collected each year, allowing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7"/>
    <w:bookmarkStart w:id="29"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w:t>
      </w:r>
      <w:hyperlink w:anchor="tbl-dattab">
        <w:r>
          <w:rPr>
            <w:rStyle w:val="Hyperlink"/>
          </w:rPr>
          <w:t xml:space="preserve">Table 1</w:t>
        </w:r>
      </w:hyperlink>
      <w:r>
        <w:t xml:space="preserve">).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fixed stations in the major bay segments since the early 1970s (Figure</w:t>
      </w:r>
      <w:r>
        <w:t xml:space="preserve"> </w:t>
      </w:r>
      <w:hyperlink w:anchor="fig-map">
        <w:r>
          <w:rPr>
            <w:rStyle w:val="Hyperlink"/>
          </w:rPr>
          <w:t xml:space="preserve">1</w:t>
        </w:r>
      </w:hyperlink>
      <w:r>
        <w:t xml:space="preserve">b). The 45 stations with the longest and most complete temporal record from 1975 to present were used herein. Water quality samples are collected at each station from surface water grabs (e.g., nutrients, biological, and chemical constituents) or</w:t>
      </w:r>
      <w:r>
        <w:t xml:space="preserve"> </w:t>
      </w:r>
      <w:r>
        <w:rPr>
          <w:iCs/>
          <w:i/>
        </w:rPr>
        <w:t xml:space="preserve">in situ</w:t>
      </w:r>
      <w:r>
        <w:t xml:space="preserve"> </w:t>
      </w:r>
      <w:r>
        <w:t xml:space="preserve">measurements of physical parameters (e.g., salinity, temperature) collected at the surface, mid-depth, and bottom. Most analyses herein used only bottom water measurements given the shallow depth and mixed water column of most of Tampa Bay</w:t>
      </w:r>
      <w:r>
        <w:t xml:space="preserve"> </w:t>
      </w:r>
      <w:r>
        <w:t xml:space="preserve">(Weisberg and Zheng 2006)</w:t>
      </w:r>
      <w:r>
        <w:t xml:space="preserve">, although 1975 bottom salinity used middle water column sampling since the former was not available until the following year. Most samples are collected from mid-morning to early afternoon. Compared to the additional datasets described below, the monitoring stations are generally in deeper water beyond where seagrasses occur along the shallow margins of the bay.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gear types that target different habitats</w:t>
      </w:r>
      <w:r>
        <w:t xml:space="preserve"> </w:t>
      </w:r>
      <w:r>
        <w:t xml:space="preserve">(Schrandt et al. 2021)</w:t>
      </w:r>
      <w:r>
        <w:t xml:space="preserve">. A stratified sampling design is used to select sites for 21.3-meter center-bag seines that target shallow habitats (&lt;1.5 m)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In addition to collecting fish and selected invertebrates,</w:t>
      </w:r>
      <w:r>
        <w:t xml:space="preserve"> </w:t>
      </w:r>
      <w:r>
        <w:rPr>
          <w:iCs/>
          <w:i/>
        </w:rPr>
        <w:t xml:space="preserve">in situ</w:t>
      </w:r>
      <w:r>
        <w:t xml:space="preserve"> </w:t>
      </w:r>
      <w:r>
        <w:t xml:space="preserve">physical measurements for water temperature and salinity are collected at the bag, and at the surface and at 1-m intervals to the bottom. Only measurements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upon request.</w:t>
      </w:r>
    </w:p>
    <w:p>
      <w:pPr>
        <w:pStyle w:val="BodyText"/>
      </w:pPr>
      <w:r>
        <w:t xml:space="preserve">The third and final dataset evaluated was from the Pinellas County Department of Environmental Management (PDEM). Data were obtained by request to PDEM staff for the western portion of Old Tampa Bay where sampling occurred from 2003 to present (Figure</w:t>
      </w:r>
      <w:r>
        <w:t xml:space="preserve"> </w:t>
      </w:r>
      <w:hyperlink w:anchor="fig-map">
        <w:r>
          <w:rPr>
            <w:rStyle w:val="Hyperlink"/>
          </w:rPr>
          <w:t xml:space="preserve">1</w:t>
        </w:r>
      </w:hyperlink>
      <w:r>
        <w:t xml:space="preserve">d, also available at</w:t>
      </w:r>
      <w:r>
        <w:t xml:space="preserve"> </w:t>
      </w:r>
      <w:hyperlink r:id="rId28">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Water quality samples at each site are similar to those collected by EPC but can occur in shallower locations. Only bottom temperature and salinity were used for analysis.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bookmarkEnd w:id="29"/>
    <w:bookmarkStart w:id="30"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water quality change in Tampa Bay as context for understanding potential relationships with seagrass change. An assumption was that any changes in physical characteristics in Tampa Bay were driven by interannual changes in weather conditions related to long-term (multi-decadal) climate change drivers. For comparison to water quality conditions, daily air temperature (Tampa International Airport [TIA] National Weather Service site) and precipitation (SWFWMD area-weighted watershed summaries) were used to characterize regional conditions for the most consistent period of record covered by the water quality samples (i.e., 1975 to present for the EPC data,</w:t>
      </w:r>
      <w:r>
        <w:t xml:space="preserve"> </w:t>
      </w:r>
      <w:hyperlink w:anchor="tbl-dattab">
        <w:r>
          <w:rPr>
            <w:rStyle w:val="Hyperlink"/>
          </w:rPr>
          <w:t xml:space="preserve">Table 1</w:t>
        </w:r>
      </w:hyperlink>
      <w:r>
        <w:t xml:space="preserve">). The rnoaa R package</w:t>
      </w:r>
      <w:r>
        <w:t xml:space="preserve"> </w:t>
      </w:r>
      <w:r>
        <w:t xml:space="preserve">(Chamberlain and Hocking 2023)</w:t>
      </w:r>
      <w:r>
        <w:t xml:space="preserve"> </w:t>
      </w:r>
      <w:r>
        <w:t xml:space="preserve">was used to obtain the TIA temperature data. Regional precipitation summaries were obtained directly from the SWFWMD (https://www.swfwmd.state.fl.us/resources/data-maps/rainfall-summary-data-region). Only rainfall data for the wet season (June to September) were evaluated for trends, whereas the complete record was used to calculate the Standardized Precipitation Index</w:t>
      </w:r>
      <w:r>
        <w:t xml:space="preserve"> </w:t>
      </w:r>
      <w:r>
        <w:t xml:space="preserve">(SPI, Beguería et al. 2013)</w:t>
      </w:r>
      <w:r>
        <w:t xml:space="preserve"> </w:t>
      </w:r>
      <w:r>
        <w:t xml:space="preserve">to identify periods of time when rainfall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All climate data were evaluated annually with simple linear regression trends to assess change over time. Water temperature and salinity trends using the EPC, FIM, and PDEM data were similarly evaluated by averaging the monthly data each year for each bay segment.</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Kendall tests were also used to evaluate changes over time for each month across years to determine when the trends were most pronounced seasonally (e.g., all January estimates across years, all February estimates, etc.).</w:t>
      </w:r>
    </w:p>
    <w:bookmarkEnd w:id="30"/>
    <w:bookmarkStart w:id="31"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The conceptual model for evaluating these changes describes the fundamental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be conceptualized as a bell curve with optimal conditions defined within a range of values for a single parameter, where reduced growth or mortality is observed outside of these ranges. Because both water temperature and salinity were evaluated, the same model can be conceptualized in two-dimensional space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fundamental niche space can be defined in multiple dimensions for many parameters, we focus on water temperature and salinity given that other dominant forcing factors, i.e., light availability, have been sufficient for growth in recent years (Figure</w:t>
      </w:r>
      <w:r>
        <w:t xml:space="preserve"> </w:t>
      </w:r>
      <w:hyperlink w:anchor="fig-seagrasschg">
        <w:r>
          <w:rPr>
            <w:rStyle w:val="Hyperlink"/>
          </w:rPr>
          <w:t xml:space="preserve">2</w:t>
        </w:r>
      </w:hyperlink>
      <w:r>
        <w:t xml:space="preserve">c).</w:t>
      </w:r>
    </w:p>
    <w:p>
      <w:pPr>
        <w:pStyle w:val="BodyText"/>
      </w:pPr>
      <w:r>
        <w:t xml:space="preserve">A fundamental challenge describing niche space is identifying the boundaries for optimal conditions. In Tampa Bay, three dominant seagrass species occur:</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testudinum</w:t>
      </w:r>
      <w:r>
        <w:t xml:space="preserve"> </w:t>
      </w:r>
      <w:r>
        <w:t xml:space="preserve">(turtle grass)</w:t>
      </w:r>
      <w:r>
        <w:t xml:space="preserve"> </w:t>
      </w:r>
      <w:r>
        <w:t xml:space="preserve">(Lewis III et al. 1985; R. Phillips and Meñez 1988)</w:t>
      </w:r>
      <w:r>
        <w:t xml:space="preserve">. Other less common species include</w:t>
      </w:r>
      <w:r>
        <w:t xml:space="preserve"> </w:t>
      </w:r>
      <w:r>
        <w:rPr>
          <w:iCs/>
          <w:i/>
        </w:rPr>
        <w:t xml:space="preserve">Ruppia maritima</w:t>
      </w:r>
      <w:r>
        <w:t xml:space="preserve"> </w:t>
      </w:r>
      <w:r>
        <w:t xml:space="preserve">(widgeon grass) and</w:t>
      </w:r>
      <w:r>
        <w:t xml:space="preserve"> </w:t>
      </w:r>
      <w:r>
        <w:rPr>
          <w:iCs/>
          <w:i/>
        </w:rPr>
        <w:t xml:space="preserve">Halophila engelmannii</w:t>
      </w:r>
      <w:r>
        <w:t xml:space="preserve"> </w:t>
      </w:r>
      <w:r>
        <w:t xml:space="preserve">(star grass), where the former is often mapped during wet years in the upper bay segments from the aerial surveys.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w:t>
      </w:r>
      <w:r>
        <w:t xml:space="preserve">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(R. C. Phillips 1960; McMillan and Moseley 1967; Zieman 1975; Lewis III et al. 1985)</w:t>
      </w:r>
      <w:r>
        <w:t xml:space="preserve">, although most studies place lower limits of salinity in the range of 15-25 ppt. Optimal temperature ranges are similar between these temperate-tropical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w:t>
      </w:r>
      <w:r>
        <w:t xml:space="preserve"> </w:t>
      </w:r>
      <w:r>
        <w:rPr>
          <w:iCs/>
          <w:i/>
        </w:rPr>
        <w:t xml:space="preserve">in situ</w:t>
      </w:r>
      <w:r>
        <w:t xml:space="preserve"> </w:t>
      </w:r>
      <w:r>
        <w:t xml:space="preserve">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as well as challenges of modeling fundamental and realized niche spaces between competing species</w:t>
      </w:r>
      <w:r>
        <w:t xml:space="preserve"> </w:t>
      </w:r>
      <w:r>
        <w:t xml:space="preserve">(Araújo and Guisan 2006)</w:t>
      </w:r>
      <w:r>
        <w:t xml:space="preserve">.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or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w:t>
      </w:r>
      <w:r>
        <w:t xml:space="preserve"> </w:t>
      </w:r>
      <w:r>
        <w:t xml:space="preserve">(S. N. Wood 2017)</w:t>
      </w:r>
      <w:r>
        <w:t xml:space="preserve">. Model fit for each station was considered sufficient to calculate daily predictions to assess potential stressor metrics (Figure S5, R</w:t>
      </w:r>
      <m:oMath>
        <m:sSup>
          <m:e>
            <m:r>
              <m:t>​</m:t>
            </m:r>
          </m:e>
          <m:sup>
            <m:r>
              <m:t>2</m:t>
            </m:r>
          </m:sup>
        </m:sSup>
      </m:oMath>
      <w:r>
        <w:t xml:space="preserve"> </w:t>
      </w:r>
      <w:r>
        <w:t xml:space="preserve">ranged from 0.85 to 0.95 for temperature models, 0.66 to 0.95 for salinity models, Tables S1, S2).</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w:r>
        <w:t xml:space="preserve"> </w:t>
      </w:r>
      <m:oMath>
        <m:sSup>
          <m:e>
            <m:r>
              <m:t>​</m:t>
            </m:r>
          </m:e>
          <m:sup>
            <m:r>
              <m:rPr>
                <m:sty m:val="p"/>
              </m:rPr>
              <m:t>∘</m:t>
            </m:r>
          </m:sup>
        </m:sSup>
      </m:oMath>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w:t>
      </w:r>
    </w:p>
    <w:bookmarkEnd w:id="31"/>
    <w:bookmarkStart w:id="36" w:name="links-to-seagrass"/>
    <w:p>
      <w:pPr>
        <w:pStyle w:val="Heading3"/>
      </w:pPr>
      <w:r>
        <w:t xml:space="preserve">2.7 Links to seagrass</w:t>
      </w:r>
    </w:p>
    <w:p>
      <w:pPr>
        <w:pStyle w:val="FirstParagraph"/>
      </w:pPr>
      <w:r>
        <w:t xml:space="preserve">For comparison to seagrass, the annual metrics calculated from the EPC data were referenced to approximate periods of time between the annual seagrass transect surveys, as opposed to the calendar year for describing trends above.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from 1998 to 2022. Preliminary analyses evaluated different lagged associations between the stressor metrics and seagrass change, although initial results suggested no additional insight could be gained using lagged assessments compared to the transect year summaries. As such, the stressor metrics were compared to frequency occurrence (all species) each year by bay segment. GAMs were used to evaluate frequency occurrence in response to the independent variables, where the latter were the stressor metrics for temperature, salinity, or both. Additional predictors included year and light attenuation as estimated from Secchi depth</w:t>
      </w:r>
      <w:r>
        <w:t xml:space="preserve"> </w:t>
      </w:r>
      <w:r>
        <w:t xml:space="preserve">(Janicki and Wade 1996)</w:t>
      </w:r>
      <w:r>
        <w:t xml:space="preserve">. For 1998 to 2022, 17% of the Secchi observations were recorded on the bottom. A single smooth term was used for each predictor using a thin plate regression spline, including a tensor product interaction term with a cubic regression spline that evaluated the potential interacting effects of each predictor with year. Two models were evaluated, one with the bottom temperature and salinity metrics together (</w:t>
      </w:r>
      <w:hyperlink w:anchor="eq-epcmod1">
        <w:r>
          <w:rPr>
            <w:rStyle w:val="Hyperlink"/>
          </w:rPr>
          <w:t xml:space="preserve">Equation 1</w:t>
        </w:r>
      </w:hyperlink>
      <w:r>
        <w:t xml:space="preserve">) and another with the both metric (</w:t>
      </w:r>
      <w:hyperlink w:anchor="eq-epcmod2">
        <w:r>
          <w:rPr>
            <w:rStyle w:val="Hyperlink"/>
          </w:rPr>
          <w:t xml:space="preserve">Equation 2</w:t>
        </w:r>
      </w:hyperlink>
      <w:r>
        <w:t xml:space="preserve">). All models excluded Lower Tampa Bay because of minimal seagrass change over time. Additionally, total seagrass frequency occurrence was used as a response variable as an aggregate measure of community change to potential stressors given the likelihood that species-specific changes may be more difficult to model and that the majority of seagrass loss in recent years was dominated by</w:t>
      </w:r>
      <w:r>
        <w:t xml:space="preserve"> </w:t>
      </w:r>
      <w:r>
        <w:rPr>
          <w:iCs/>
          <w:i/>
        </w:rPr>
        <w:t xml:space="preserve">H. wrightii</w:t>
      </w:r>
      <w:r>
        <w:t xml:space="preserve"> </w:t>
      </w:r>
      <w:r>
        <w:t xml:space="preserve">in the upper bay segments (Figure</w:t>
      </w:r>
      <w:r>
        <w:t xml:space="preserve"> </w:t>
      </w:r>
      <w:hyperlink w:anchor="fig-seagrasschg">
        <w:r>
          <w:rPr>
            <w:rStyle w:val="Hyperlink"/>
          </w:rPr>
          <w:t xml:space="preserve">2</w:t>
        </w:r>
      </w:hyperlink>
      <w:r>
        <w:t xml:space="preserve">b). The GAM equations in mgcv R package notation</w:t>
      </w:r>
      <w:r>
        <w:t xml:space="preserve"> </w:t>
      </w:r>
      <w:r>
        <w:t xml:space="preserve">(S. N. Wood 2017)</w:t>
      </w:r>
      <w:r>
        <w:t xml:space="preserve"> </w:t>
      </w:r>
      <w:r>
        <w:t xml:space="preserve">are below, where</w:t>
      </w:r>
      <w:r>
        <w:t xml:space="preserve"> </w:t>
      </w:r>
      <m:oMath>
        <m:r>
          <m:t>s</m:t>
        </m:r>
      </m:oMath>
      <w:r>
        <w:t xml:space="preserve"> </w:t>
      </w:r>
      <w:r>
        <w:t xml:space="preserve">is a smoother function for a single predictor and</w:t>
      </w:r>
      <w:r>
        <w:t xml:space="preserve"> </w:t>
      </w:r>
      <m:oMath>
        <m:r>
          <m:t>t</m:t>
        </m:r>
        <m:r>
          <m:t>i</m:t>
        </m:r>
      </m:oMath>
      <w:r>
        <w:t xml:space="preserve"> </w:t>
      </w:r>
      <w:r>
        <w:t xml:space="preserve">is the tensor product interaction between predictors. All GAMs were fit using restricted maximum likelihood evaluation</w:t>
      </w:r>
      <w:r>
        <w:t xml:space="preserve"> </w:t>
      </w:r>
      <w:r>
        <w:t xml:space="preserve">(S. N. Wood 2011)</w:t>
      </w:r>
      <w:r>
        <w:t xml:space="preserve">.</w:t>
      </w:r>
    </w:p>
    <w:p>
      <w:pPr>
        <w:pStyle w:val="BodyText"/>
      </w:pPr>
      <w:bookmarkStart w:id="32" w:name="eq-epcmod1"/>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l</m:t>
                    </m:r>
                    <m:r>
                      <m:t>i</m:t>
                    </m:r>
                    <m:r>
                      <m:t>g</m:t>
                    </m:r>
                    <m:r>
                      <m:t>h</m:t>
                    </m:r>
                    <m:r>
                      <m:t>t</m:t>
                    </m:r>
                    <m:r>
                      <m:t> </m:t>
                    </m:r>
                    <m:r>
                      <m:t>a</m:t>
                    </m:r>
                    <m:r>
                      <m:t>t</m:t>
                    </m:r>
                    <m:r>
                      <m:t>t</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s</m:t>
                </m:r>
                <m:d>
                  <m:dPr>
                    <m:begChr m:val="("/>
                    <m:endChr m:val=")"/>
                    <m:sepChr m:val=""/>
                    <m:grow/>
                  </m:dPr>
                  <m:e>
                    <m:r>
                      <m:t>t</m:t>
                    </m:r>
                    <m:r>
                      <m:t>e</m:t>
                    </m:r>
                    <m:r>
                      <m:t>m</m:t>
                    </m:r>
                    <m:r>
                      <m:t>p</m:t>
                    </m:r>
                    <m:r>
                      <m:t>e</m:t>
                    </m:r>
                    <m:r>
                      <m:t>r</m:t>
                    </m:r>
                    <m:r>
                      <m:t>a</m:t>
                    </m:r>
                    <m:r>
                      <m:t>t</m:t>
                    </m:r>
                    <m:r>
                      <m:t>u</m:t>
                    </m:r>
                    <m:r>
                      <m:t>r</m:t>
                    </m:r>
                    <m:r>
                      <m:t>e</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s</m:t>
                    </m:r>
                    <m:r>
                      <m:t>a</m:t>
                    </m:r>
                    <m:r>
                      <m:t>l</m:t>
                    </m:r>
                    <m:r>
                      <m:t>i</m:t>
                    </m:r>
                    <m:r>
                      <m:t>n</m:t>
                    </m:r>
                    <m:r>
                      <m:t>i</m:t>
                    </m:r>
                    <m:r>
                      <m:t>t</m:t>
                    </m:r>
                    <m:r>
                      <m:t>y</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l</m:t>
                    </m:r>
                    <m:r>
                      <m:t>i</m:t>
                    </m:r>
                    <m:r>
                      <m:t>g</m:t>
                    </m:r>
                    <m:r>
                      <m:t>h</m:t>
                    </m:r>
                    <m:r>
                      <m:t>t</m:t>
                    </m:r>
                    <m:r>
                      <m:t> </m:t>
                    </m:r>
                    <m:r>
                      <m:t>a</m:t>
                    </m:r>
                    <m:r>
                      <m:t>t</m:t>
                    </m:r>
                    <m:r>
                      <m:t>t</m:t>
                    </m:r>
                    <m:r>
                      <m:rPr>
                        <m:sty m:val="p"/>
                      </m:rPr>
                      <m:t>,</m:t>
                    </m:r>
                    <m:r>
                      <m:t> </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t</m:t>
                </m:r>
                <m:r>
                  <m:t>i</m:t>
                </m:r>
                <m:d>
                  <m:dPr>
                    <m:begChr m:val="("/>
                    <m:endChr m:val=")"/>
                    <m:sepChr m:val=""/>
                    <m:grow/>
                  </m:dPr>
                  <m:e>
                    <m:r>
                      <m:t>t</m:t>
                    </m:r>
                    <m:r>
                      <m:t>e</m:t>
                    </m:r>
                    <m:r>
                      <m:t>m</m:t>
                    </m:r>
                    <m:r>
                      <m:t>p</m:t>
                    </m:r>
                    <m:r>
                      <m:t>e</m:t>
                    </m:r>
                    <m:r>
                      <m:t>r</m:t>
                    </m:r>
                    <m:r>
                      <m:t>a</m:t>
                    </m:r>
                    <m:r>
                      <m:t>t</m:t>
                    </m:r>
                    <m:r>
                      <m:t>u</m:t>
                    </m:r>
                    <m:r>
                      <m:t>r</m:t>
                    </m:r>
                    <m:r>
                      <m:t>e</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s</m:t>
                    </m:r>
                    <m:r>
                      <m:t>a</m:t>
                    </m:r>
                    <m:r>
                      <m:t>l</m:t>
                    </m:r>
                    <m:r>
                      <m:t>i</m:t>
                    </m:r>
                    <m:r>
                      <m:t>n</m:t>
                    </m:r>
                    <m:r>
                      <m:t>i</m:t>
                    </m:r>
                    <m:r>
                      <m:t>t</m:t>
                    </m:r>
                    <m:r>
                      <m:t>y</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e>
            </m:mr>
          </m:m>
          <m:r>
            <m:t>  </m:t>
          </m:r>
          <m:d>
            <m:dPr>
              <m:begChr m:val="("/>
              <m:endChr m:val=")"/>
              <m:sepChr m:val=""/>
              <m:grow/>
            </m:dPr>
            <m:e>
              <m:r>
                <m:t>1</m:t>
              </m:r>
            </m:e>
          </m:d>
        </m:oMath>
      </m:oMathPara>
      <w:bookmarkEnd w:id="32"/>
    </w:p>
    <w:p>
      <w:pPr>
        <w:pStyle w:val="FirstParagraph"/>
      </w:pPr>
      <w:bookmarkStart w:id="33" w:name="eq-epcmod2"/>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l</m:t>
                    </m:r>
                    <m:r>
                      <m:t>i</m:t>
                    </m:r>
                    <m:r>
                      <m:t>g</m:t>
                    </m:r>
                    <m:r>
                      <m:t>h</m:t>
                    </m:r>
                    <m:r>
                      <m:t>t</m:t>
                    </m:r>
                    <m:r>
                      <m:t> </m:t>
                    </m:r>
                    <m:r>
                      <m:t>a</m:t>
                    </m:r>
                    <m:r>
                      <m:t>t</m:t>
                    </m:r>
                    <m:r>
                      <m:t>t</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s</m:t>
                </m:r>
                <m:d>
                  <m:dPr>
                    <m:begChr m:val="("/>
                    <m:endChr m:val=")"/>
                    <m:sepChr m:val=""/>
                    <m:grow/>
                  </m:dPr>
                  <m:e>
                    <m:r>
                      <m:t>b</m:t>
                    </m:r>
                    <m:r>
                      <m:t>o</m:t>
                    </m:r>
                    <m:r>
                      <m:t>t</m:t>
                    </m:r>
                    <m:r>
                      <m:t>h</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l</m:t>
                    </m:r>
                    <m:r>
                      <m:t>i</m:t>
                    </m:r>
                    <m:r>
                      <m:t>g</m:t>
                    </m:r>
                    <m:r>
                      <m:t>h</m:t>
                    </m:r>
                    <m:r>
                      <m:t>t</m:t>
                    </m:r>
                    <m:r>
                      <m:t> </m:t>
                    </m:r>
                    <m:r>
                      <m:t>a</m:t>
                    </m:r>
                    <m:r>
                      <m:t>t</m:t>
                    </m:r>
                    <m:r>
                      <m:t>t</m:t>
                    </m:r>
                    <m:r>
                      <m:rPr>
                        <m:sty m:val="p"/>
                      </m:rPr>
                      <m:t>,</m:t>
                    </m:r>
                    <m:r>
                      <m:t> </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t</m:t>
                </m:r>
                <m:r>
                  <m:t>i</m:t>
                </m:r>
                <m:d>
                  <m:dPr>
                    <m:begChr m:val="("/>
                    <m:endChr m:val=")"/>
                    <m:sepChr m:val=""/>
                    <m:grow/>
                  </m:dPr>
                  <m:e>
                    <m:r>
                      <m:t>b</m:t>
                    </m:r>
                    <m:r>
                      <m:t>o</m:t>
                    </m:r>
                    <m:r>
                      <m:t>t</m:t>
                    </m:r>
                    <m:r>
                      <m:t>h</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e>
            </m:mr>
          </m:m>
          <m:r>
            <m:t>  </m:t>
          </m:r>
          <m:d>
            <m:dPr>
              <m:begChr m:val="("/>
              <m:endChr m:val=")"/>
              <m:sepChr m:val=""/>
              <m:grow/>
            </m:dPr>
            <m:e>
              <m:r>
                <m:t>2</m:t>
              </m:r>
            </m:e>
          </m:d>
        </m:oMath>
      </m:oMathPara>
      <w:bookmarkEnd w:id="33"/>
    </w:p>
    <w:p>
      <w:pPr>
        <w:pStyle w:val="FirstParagraph"/>
      </w:pPr>
      <w:r>
        <w:t xml:space="preserve">Separate models were constructed to provide an additional weight-of-evidence for the FIM and PDEM temperature and salinity datasets relative to seagrass change. These models used direct measurements of bottom salinity and temperature as independent variables because the stressor metrics could not be calculated using the sampling designs from these monitoring programs (i.e., each sample was a distinct location). GAMs were used for the FIM data to evaluate annual average seagrass percent cover using year, temperature, and salinity as independent variables. Separate smoothed terms for each predictor and interactions with year for each predictor for each bay segment were included as above. GAMs for the PDEM data were constructed similarly, except only Old Tampa Bay was evaluated due to spatial limitations of the data. Neither the FIM nor PDEM models used light attenuation as a predictor variable given that a large percentage of Secchi observations were measured on the bottom (92% and 45%, respectively), providing further support that light environments have not been limiting for seagrasses. Model input data were further subset to include only months from July to October to describe seagrasses during the growing season and to reduce potential seasonal effects. Lastly, all data were averaged annually for the monthly subsets for comparability of sample size (i.e., power) with the EPC models. For the PDEM models, presence/absence was converted to frequency occurrence as the number of sites with seagrass in a year divided by the total number of sites and all data were subset to less than 2 meters to better characterize locations where seagrass occurs. The GAM equations for the FIM (</w:t>
      </w:r>
      <w:hyperlink w:anchor="eq-fimmod">
        <w:r>
          <w:rPr>
            <w:rStyle w:val="Hyperlink"/>
          </w:rPr>
          <w:t xml:space="preserve">Equation 3</w:t>
        </w:r>
      </w:hyperlink>
      <w:r>
        <w:t xml:space="preserve">) and PDEM (</w:t>
      </w:r>
      <w:hyperlink w:anchor="eq-pincomod">
        <w:r>
          <w:rPr>
            <w:rStyle w:val="Hyperlink"/>
          </w:rPr>
          <w:t xml:space="preserve">Equation 4</w:t>
        </w:r>
      </w:hyperlink>
      <w:r>
        <w:t xml:space="preserve">) datasets, respectively, were as follows.</w:t>
      </w:r>
    </w:p>
    <w:p>
      <w:pPr>
        <w:pStyle w:val="BodyText"/>
      </w:pPr>
      <w:bookmarkStart w:id="34" w:name="eq-fimmod"/>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t</m:t>
                    </m:r>
                    <m:r>
                      <m:t>e</m:t>
                    </m:r>
                    <m:r>
                      <m:t>m</m:t>
                    </m:r>
                    <m:r>
                      <m:t>p</m:t>
                    </m:r>
                    <m:r>
                      <m:t>e</m:t>
                    </m:r>
                    <m:r>
                      <m:t>r</m:t>
                    </m:r>
                    <m:r>
                      <m:t>a</m:t>
                    </m:r>
                    <m:r>
                      <m:t>t</m:t>
                    </m:r>
                    <m:r>
                      <m:t>u</m:t>
                    </m:r>
                    <m:r>
                      <m:t>r</m:t>
                    </m:r>
                    <m:r>
                      <m:t>e</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s</m:t>
                </m:r>
                <m:d>
                  <m:dPr>
                    <m:begChr m:val="("/>
                    <m:endChr m:val=")"/>
                    <m:sepChr m:val=""/>
                    <m:grow/>
                  </m:dPr>
                  <m:e>
                    <m:r>
                      <m:t>s</m:t>
                    </m:r>
                    <m:r>
                      <m:t>a</m:t>
                    </m:r>
                    <m:r>
                      <m:t>l</m:t>
                    </m:r>
                    <m:r>
                      <m:t>i</m:t>
                    </m:r>
                    <m:r>
                      <m:t>n</m:t>
                    </m:r>
                    <m:r>
                      <m:t>i</m:t>
                    </m:r>
                    <m:r>
                      <m:t>t</m:t>
                    </m:r>
                    <m:r>
                      <m:t>y</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t</m:t>
                    </m:r>
                    <m:r>
                      <m:t>e</m:t>
                    </m:r>
                    <m:r>
                      <m:t>m</m:t>
                    </m:r>
                    <m:r>
                      <m:t>p</m:t>
                    </m:r>
                    <m:r>
                      <m:t>e</m:t>
                    </m:r>
                    <m:r>
                      <m:t>r</m:t>
                    </m:r>
                    <m:r>
                      <m:t>a</m:t>
                    </m:r>
                    <m:r>
                      <m:t>t</m:t>
                    </m:r>
                    <m:r>
                      <m:t>u</m:t>
                    </m:r>
                    <m:r>
                      <m:t>r</m:t>
                    </m:r>
                    <m:r>
                      <m:t>e</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t</m:t>
                </m:r>
                <m:r>
                  <m:t>i</m:t>
                </m:r>
                <m:d>
                  <m:dPr>
                    <m:begChr m:val="("/>
                    <m:endChr m:val=")"/>
                    <m:sepChr m:val=""/>
                    <m:grow/>
                  </m:dPr>
                  <m:e>
                    <m:r>
                      <m:t>s</m:t>
                    </m:r>
                    <m:r>
                      <m:t>a</m:t>
                    </m:r>
                    <m:r>
                      <m:t>l</m:t>
                    </m:r>
                    <m:r>
                      <m:t>i</m:t>
                    </m:r>
                    <m:r>
                      <m:t>n</m:t>
                    </m:r>
                    <m:r>
                      <m:t>i</m:t>
                    </m:r>
                    <m:r>
                      <m:t>t</m:t>
                    </m:r>
                    <m:r>
                      <m:t>y</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e>
            </m:mr>
          </m:m>
          <m:r>
            <m:t>  </m:t>
          </m:r>
          <m:d>
            <m:dPr>
              <m:begChr m:val="("/>
              <m:endChr m:val=")"/>
              <m:sepChr m:val=""/>
              <m:grow/>
            </m:dPr>
            <m:e>
              <m:r>
                <m:t>3</m:t>
              </m:r>
            </m:e>
          </m:d>
        </m:oMath>
      </m:oMathPara>
      <w:bookmarkEnd w:id="34"/>
    </w:p>
    <w:p>
      <w:pPr>
        <w:pStyle w:val="FirstParagraph"/>
      </w:pPr>
      <w:bookmarkStart w:id="35" w:name="eq-pincomod"/>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e>
                </m:d>
                <m:r>
                  <m:rPr>
                    <m:sty m:val="p"/>
                  </m:rPr>
                  <m:t>+</m:t>
                </m:r>
                <m:r>
                  <m:t>s</m:t>
                </m:r>
                <m:d>
                  <m:dPr>
                    <m:begChr m:val="("/>
                    <m:endChr m:val=")"/>
                    <m:sepChr m:val=""/>
                    <m:grow/>
                  </m:dPr>
                  <m:e>
                    <m:r>
                      <m:t>t</m:t>
                    </m:r>
                    <m:r>
                      <m:t>e</m:t>
                    </m:r>
                    <m:r>
                      <m:t>m</m:t>
                    </m:r>
                    <m:r>
                      <m:t>p</m:t>
                    </m:r>
                    <m:r>
                      <m:t>e</m:t>
                    </m:r>
                    <m:r>
                      <m:t>r</m:t>
                    </m:r>
                    <m:r>
                      <m:t>a</m:t>
                    </m:r>
                    <m:r>
                      <m:t>t</m:t>
                    </m:r>
                    <m:r>
                      <m:t>u</m:t>
                    </m:r>
                    <m:r>
                      <m:t>r</m:t>
                    </m:r>
                    <m:r>
                      <m:t>e</m:t>
                    </m:r>
                  </m:e>
                </m:d>
                <m:r>
                  <m:rPr>
                    <m:sty m:val="p"/>
                  </m:rPr>
                  <m:t>+</m:t>
                </m:r>
                <m:r>
                  <m:t>s</m:t>
                </m:r>
                <m:d>
                  <m:dPr>
                    <m:begChr m:val="("/>
                    <m:endChr m:val=")"/>
                    <m:sepChr m:val=""/>
                    <m:grow/>
                  </m:dPr>
                  <m:e>
                    <m:r>
                      <m:t>s</m:t>
                    </m:r>
                    <m:r>
                      <m:t>a</m:t>
                    </m:r>
                    <m:r>
                      <m:t>l</m:t>
                    </m:r>
                    <m:r>
                      <m:t>i</m:t>
                    </m:r>
                    <m:r>
                      <m:t>n</m:t>
                    </m:r>
                    <m:r>
                      <m:t>i</m:t>
                    </m:r>
                    <m:r>
                      <m:t>t</m:t>
                    </m:r>
                    <m:r>
                      <m:t>y</m:t>
                    </m:r>
                  </m:e>
                </m:d>
                <m:r>
                  <m:rPr>
                    <m:sty m:val="p"/>
                  </m:rPr>
                  <m:t>+</m:t>
                </m:r>
              </m:e>
            </m:mr>
            <m:mr>
              <m:e>
                <m:r>
                  <m:t>t</m:t>
                </m:r>
                <m:r>
                  <m:t>i</m:t>
                </m:r>
                <m:d>
                  <m:dPr>
                    <m:begChr m:val="("/>
                    <m:endChr m:val=")"/>
                    <m:sepChr m:val=""/>
                    <m:grow/>
                  </m:dPr>
                  <m:e>
                    <m:r>
                      <m:t>t</m:t>
                    </m:r>
                    <m:r>
                      <m:t>e</m:t>
                    </m:r>
                    <m:r>
                      <m:t>m</m:t>
                    </m:r>
                    <m:r>
                      <m:t>p</m:t>
                    </m:r>
                    <m:r>
                      <m:t>e</m:t>
                    </m:r>
                    <m:r>
                      <m:t>r</m:t>
                    </m:r>
                    <m:r>
                      <m:t>a</m:t>
                    </m:r>
                    <m:r>
                      <m:t>t</m:t>
                    </m:r>
                    <m:r>
                      <m:t>u</m:t>
                    </m:r>
                    <m:r>
                      <m:t>r</m:t>
                    </m:r>
                    <m:r>
                      <m:t>e</m:t>
                    </m:r>
                    <m:r>
                      <m:rPr>
                        <m:sty m:val="p"/>
                      </m:rPr>
                      <m:t>,</m:t>
                    </m:r>
                    <m:r>
                      <m:t>y</m:t>
                    </m:r>
                    <m:r>
                      <m:t>e</m:t>
                    </m:r>
                    <m:r>
                      <m:t>a</m:t>
                    </m:r>
                    <m:r>
                      <m:t>r</m:t>
                    </m:r>
                  </m:e>
                </m:d>
                <m:r>
                  <m:rPr>
                    <m:sty m:val="p"/>
                  </m:rPr>
                  <m:t>+</m:t>
                </m:r>
                <m:r>
                  <m:t>t</m:t>
                </m:r>
                <m:r>
                  <m:t>i</m:t>
                </m:r>
                <m:d>
                  <m:dPr>
                    <m:begChr m:val="("/>
                    <m:endChr m:val=")"/>
                    <m:sepChr m:val=""/>
                    <m:grow/>
                  </m:dPr>
                  <m:e>
                    <m:r>
                      <m:t>s</m:t>
                    </m:r>
                    <m:r>
                      <m:t>a</m:t>
                    </m:r>
                    <m:r>
                      <m:t>l</m:t>
                    </m:r>
                    <m:r>
                      <m:t>i</m:t>
                    </m:r>
                    <m:r>
                      <m:t>n</m:t>
                    </m:r>
                    <m:r>
                      <m:t>i</m:t>
                    </m:r>
                    <m:r>
                      <m:t>t</m:t>
                    </m:r>
                    <m:r>
                      <m:t>y</m:t>
                    </m:r>
                    <m:r>
                      <m:rPr>
                        <m:sty m:val="p"/>
                      </m:rPr>
                      <m:t>,</m:t>
                    </m:r>
                    <m:r>
                      <m:t>y</m:t>
                    </m:r>
                    <m:r>
                      <m:t>e</m:t>
                    </m:r>
                    <m:r>
                      <m:t>a</m:t>
                    </m:r>
                    <m:r>
                      <m:t>r</m:t>
                    </m:r>
                  </m:e>
                </m:d>
              </m:e>
            </m:mr>
          </m:m>
          <m:r>
            <m:t>  </m:t>
          </m:r>
          <m:d>
            <m:dPr>
              <m:begChr m:val="("/>
              <m:endChr m:val=")"/>
              <m:sepChr m:val=""/>
              <m:grow/>
            </m:dPr>
            <m:e>
              <m:r>
                <m:t>4</m:t>
              </m:r>
            </m:e>
          </m:d>
        </m:oMath>
      </m:oMathPara>
      <w:bookmarkEnd w:id="35"/>
    </w:p>
    <w:bookmarkEnd w:id="36"/>
    <w:bookmarkEnd w:id="37"/>
    <w:bookmarkStart w:id="41" w:name="results"/>
    <w:p>
      <w:pPr>
        <w:pStyle w:val="Heading2"/>
      </w:pPr>
      <w:r>
        <w:t xml:space="preserve">3 Results</w:t>
      </w:r>
    </w:p>
    <w:bookmarkStart w:id="38" w:name="temperature-and-salinity-trends"/>
    <w:p>
      <w:pPr>
        <w:pStyle w:val="Heading3"/>
      </w:pPr>
      <w:r>
        <w:t xml:space="preserve">3.1 Temperature and salinity trends</w:t>
      </w:r>
    </w:p>
    <w:p>
      <w:pPr>
        <w:pStyle w:val="FirstParagraph"/>
      </w:pPr>
      <w:r>
        <w:t xml:space="preserve">Long-term meteorological data showed increasing trends for air temperature and precipitation (</w:t>
      </w:r>
      <w:hyperlink w:anchor="fig-meteowqraw">
        <w:r>
          <w:rPr>
            <w:rStyle w:val="Hyperlink"/>
          </w:rPr>
          <w:t xml:space="preserve">Figure 4</w:t>
        </w:r>
      </w:hyperlink>
      <w:r>
        <w:t xml:space="preserve">). Mean annual air temperature has increased by 0.04</w:t>
      </w:r>
      <w:r>
        <w:t xml:space="preserve"> </w:t>
      </w:r>
      <m:oMath>
        <m:sSup>
          <m:e>
            <m:r>
              <m:t>​</m:t>
            </m:r>
          </m:e>
          <m:sup>
            <m:r>
              <m:rPr>
                <m:sty m:val="p"/>
              </m:rPr>
              <m:t>∘</m:t>
            </m:r>
          </m:sup>
        </m:sSup>
      </m:oMath>
      <w:r>
        <w:t xml:space="preserve">C per year (n = 48, p &lt; 0.001,</w:t>
      </w:r>
      <w:r>
        <w:t xml:space="preserve"> </w:t>
      </w:r>
      <m:oMath>
        <m:sSup>
          <m:e>
            <m:r>
              <m:t>R</m:t>
            </m:r>
          </m:e>
          <m:sup>
            <m:r>
              <m:t>2</m:t>
            </m:r>
          </m:sup>
        </m:sSup>
      </m:oMath>
      <w:r>
        <w:t xml:space="preserve"> </w:t>
      </w:r>
      <w:r>
        <w:t xml:space="preserve">0.51). Mean annual air temperature in 1975 was 22.1 (+/-0.17 st. err.)</w:t>
      </w:r>
      <w:r>
        <w:t xml:space="preserve"> </w:t>
      </w:r>
      <m:oMath>
        <m:sSup>
          <m:e>
            <m:r>
              <m:t>​</m:t>
            </m:r>
          </m:e>
          <m:sup>
            <m:r>
              <m:rPr>
                <m:sty m:val="p"/>
              </m:rPr>
              <m:t>∘</m:t>
            </m:r>
          </m:sup>
        </m:sSup>
      </m:oMath>
      <w:r>
        <w:t xml:space="preserve">C, whereas current mean annual air temperature in 2022 was 24.1 (+/-0.17 st. err.)</w:t>
      </w:r>
      <w:r>
        <w:t xml:space="preserve"> </w:t>
      </w:r>
      <m:oMath>
        <m:sSup>
          <m:e>
            <m:r>
              <m:t>​</m:t>
            </m:r>
          </m:e>
          <m:sup>
            <m:r>
              <m:rPr>
                <m:sty m:val="p"/>
              </m:rPr>
              <m:t>∘</m:t>
            </m:r>
          </m:sup>
        </m:sSup>
      </m:oMath>
      <w:r>
        <w:t xml:space="preserve">C, showing an overall increase in the period of record of 2</w:t>
      </w:r>
      <w:r>
        <w:t xml:space="preserve"> </w:t>
      </w:r>
      <m:oMath>
        <m:sSup>
          <m:e>
            <m:r>
              <m:t>​</m:t>
            </m:r>
          </m:e>
          <m:sup>
            <m:r>
              <m:rPr>
                <m:sty m:val="p"/>
              </m:rPr>
              <m:t>∘</m:t>
            </m:r>
          </m:sup>
        </m:sSup>
      </m:oMath>
      <w:r>
        <w:t xml:space="preserve">C. Similarly, total precipitation during the rainy season has increased by 2.21 mm per year, although the trend was weak (n = 47, p = 0.104,</w:t>
      </w:r>
      <w:r>
        <w:t xml:space="preserve"> </w:t>
      </w:r>
      <m:oMath>
        <m:sSup>
          <m:e>
            <m:r>
              <m:t>R</m:t>
            </m:r>
          </m:e>
          <m:sup>
            <m:r>
              <m:t>2</m:t>
            </m:r>
          </m:sup>
        </m:sSup>
      </m:oMath>
      <w:r>
        <w:t xml:space="preserve"> </w:t>
      </w:r>
      <w:r>
        <w:t xml:space="preserve">= 0.04). Removing September from the rainy season showed a slightly larger trend of 2.4 mm per year and slightly more powerful trend model (n = 48, p = 0.039,</w:t>
      </w:r>
      <w:r>
        <w:t xml:space="preserve"> </w:t>
      </w:r>
      <m:oMath>
        <m:sSup>
          <m:e>
            <m:r>
              <m:t>R</m:t>
            </m:r>
          </m:e>
          <m:sup>
            <m:r>
              <m:t>2</m:t>
            </m:r>
          </m:sup>
        </m:sSup>
      </m:oMath>
      <w:r>
        <w:t xml:space="preserve"> </w:t>
      </w:r>
      <w:r>
        <w:t xml:space="preserve">= 0.07), suggesting precipitation increases were driven by the earlier months (June - August). Using this model, mean precipitation for June to August in 1975 was 559.1 (+/-30.72 st. err.) mm, whereas current mean precipitation for June to August in 2022 was 669.3 (+/-29.76 st. err.) mm, showing an overall increase in the period of record of 110.3 mm. Notably, rainfall during the dry season (October through May) has decreased slightly over time at 1.97 mm per year, although the trend model was weak (n = 48, p = 0.261,</w:t>
      </w:r>
      <w:r>
        <w:t xml:space="preserve"> </w:t>
      </w:r>
      <m:oMath>
        <m:sSup>
          <m:e>
            <m:r>
              <m:t>R</m:t>
            </m:r>
          </m:e>
          <m:sup>
            <m:r>
              <m:t>2</m:t>
            </m:r>
          </m:sup>
        </m:sSup>
      </m:oMath>
      <w:r>
        <w:t xml:space="preserve"> </w:t>
      </w:r>
      <w:r>
        <w:t xml:space="preserve">= 0.01) The SPI showed notable anomalies in precipitation, with pronounced rainy periods in the early 1980s, late 1990s, 2005, and 2015-2020.</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4</w:t>
        </w:r>
      </w:hyperlink>
      <w:r>
        <w:t xml:space="preserve">, Tables</w:t>
      </w:r>
      <w:r>
        <w:t xml:space="preserve"> </w:t>
      </w:r>
      <w:hyperlink w:anchor="tbl-temptrndtab">
        <w:r>
          <w:rPr>
            <w:rStyle w:val="Hyperlink"/>
          </w:rPr>
          <w:t xml:space="preserve">2</w:t>
        </w:r>
      </w:hyperlink>
      <w:r>
        <w:t xml:space="preserve">,</w:t>
      </w:r>
      <w:r>
        <w:t xml:space="preserve"> </w:t>
      </w:r>
      <w:hyperlink w:anchor="tbl-saltrndtab">
        <w:r>
          <w:rPr>
            <w:rStyle w:val="Hyperlink"/>
          </w:rPr>
          <w:t xml:space="preserve">3</w:t>
        </w:r>
      </w:hyperlink>
      <w:r>
        <w:t xml:space="preserve">, Figures S1, S2, S3). Note that for tables</w:t>
      </w:r>
      <w:r>
        <w:t xml:space="preserve"> </w:t>
      </w:r>
      <w:hyperlink w:anchor="tbl-temptrndtab">
        <w:r>
          <w:rPr>
            <w:rStyle w:val="Hyperlink"/>
          </w:rPr>
          <w:t xml:space="preserve">2</w:t>
        </w:r>
      </w:hyperlink>
      <w:r>
        <w:t xml:space="preserve"> </w:t>
      </w:r>
      <w:r>
        <w:t xml:space="preserve">and</w:t>
      </w:r>
      <w:r>
        <w:t xml:space="preserve"> </w:t>
      </w:r>
      <w:hyperlink w:anchor="tbl-saltrndtab">
        <w:r>
          <w:rPr>
            <w:rStyle w:val="Hyperlink"/>
          </w:rPr>
          <w:t xml:space="preserve">3</w:t>
        </w:r>
      </w:hyperlink>
      <w:r>
        <w:t xml:space="preserve">, comparable time periods were evaluated between the datasets when possible given the different sample sizes, and therefore power, to detect trends (starting year 1975: n = 48, 1996: n = 27, 2004: n = 19). The strongest trends were observed for the EPC dataset based on the standard errors for the slope estimates. The top and bottom water temperature or salinity changes were similar across bay segments (</w:t>
      </w:r>
      <w:hyperlink w:anchor="fig-meteowqraw">
        <w:r>
          <w:rPr>
            <w:rStyle w:val="Hyperlink"/>
          </w:rPr>
          <w:t xml:space="preserve">Figure 4</w:t>
        </w:r>
      </w:hyperlink>
      <w:r>
        <w:t xml:space="preserve">). Trends in water temperature were similar across bay segments with large increases for all four bay segments varying from 0.03 to 0.04</w:t>
      </w:r>
      <w:r>
        <w:t xml:space="preserve"> </w:t>
      </w:r>
      <m:oMath>
        <m:sSup>
          <m:e>
            <m:r>
              <m:t>​</m:t>
            </m:r>
          </m:e>
          <m:sup>
            <m:r>
              <m:rPr>
                <m:sty m:val="p"/>
              </m:rPr>
              <m:t>∘</m:t>
            </m:r>
          </m:sup>
        </m:sSup>
      </m:oMath>
      <w:r>
        <w:t xml:space="preserve">C per year, with a total change from 1.3 (OTB) to 1.7 (HB)</w:t>
      </w:r>
      <w:r>
        <w:t xml:space="preserve"> </w:t>
      </w:r>
      <m:oMath>
        <m:sSup>
          <m:e>
            <m:r>
              <m:t>​</m:t>
            </m:r>
          </m:e>
          <m:sup>
            <m:r>
              <m:rPr>
                <m:sty m:val="p"/>
              </m:rPr>
              <m:t>∘</m:t>
            </m:r>
          </m:sup>
        </m:sSup>
      </m:oMath>
      <w:r>
        <w:t xml:space="preserve">C across the period of record from 1975 to 2022 (</w:t>
      </w:r>
      <w:hyperlink w:anchor="tbl-temptrndtab">
        <w:r>
          <w:rPr>
            <w:rStyle w:val="Hyperlink"/>
          </w:rPr>
          <w:t xml:space="preserve">Table 2</w:t>
        </w:r>
      </w:hyperlink>
      <w:r>
        <w:t xml:space="preserve">). Salinity trends were also similar between bay segments, although overall salinity was predictably higher for bay segments closer to the Gulf of Mexico. Only Old Tampa Bay and Lower Tampa Bay had notable decreasing trends, with decreases of 0.06 (OTB) and 0.04 (LTB) ppt per year, with a total decrease of 2.6 (OTB) and 1.6 (LTB) ppt from 1975 to present. Increasing temperature trends and decreasing salinity trends were also observed for the FIM and PDEM dataset, although confidence in the slope estimates (larger standard errors) generally decreased for shorter time periods of assessment.</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see Figure S4 for 1998 to 2022). All stations had increasing temperature and decreasing salinity from 1975 to present, although several stations in HB did not have weak salinity trends (Figure</w:t>
      </w:r>
      <w:r>
        <w:t xml:space="preserve"> </w:t>
      </w:r>
      <w:hyperlink w:anchor="fig-kendall">
        <w:r>
          <w:rPr>
            <w:rStyle w:val="Hyperlink"/>
          </w:rPr>
          <w:t xml:space="preserve">5</w:t>
        </w:r>
      </w:hyperlink>
      <w:r>
        <w:t xml:space="preserve">a). Seasonally, most bay segments had more stronger trends in the early fall/winter periods for both temperature and salinity (Figure</w:t>
      </w:r>
      <w:r>
        <w:t xml:space="preserve"> </w:t>
      </w:r>
      <w:hyperlink w:anchor="fig-kendall">
        <w:r>
          <w:rPr>
            <w:rStyle w:val="Hyperlink"/>
          </w:rPr>
          <w:t xml:space="preserve">5</w:t>
        </w:r>
      </w:hyperlink>
      <w:r>
        <w:t xml:space="preserve">b), although some variation was observed throughout the bay. Temperature trends were generally stronger in the fall for OTB, whereas the remaining bay segments showed the strongest trends in the winter (February). Seasonal trends in salinity showed the largest decreases in the fall following the rainy season, with trends being especially strong in OTB. Small increases in salinity were observed in the spring for all but LTB.</w:t>
      </w:r>
    </w:p>
    <w:bookmarkEnd w:id="38"/>
    <w:bookmarkStart w:id="39" w:name="stressor-metrics"/>
    <w:p>
      <w:pPr>
        <w:pStyle w:val="Heading3"/>
      </w:pPr>
      <w:r>
        <w:t xml:space="preserve">3.2 Stressor metrics</w:t>
      </w:r>
    </w:p>
    <w:p>
      <w:pPr>
        <w:pStyle w:val="FirstParagraph"/>
      </w:pPr>
      <w:r>
        <w:t xml:space="preserve">Linear mixed-effects models for the EPC data showed similar trends in each bay segment for the number of days when temperature was above different thresholds. All the temperature models for each of the three thresholds (29, 30, 31</w:t>
      </w:r>
      <w:r>
        <w:t xml:space="preserve"> </w:t>
      </w:r>
      <m:oMath>
        <m:sSup>
          <m:e>
            <m:r>
              <m:t>​</m:t>
            </m:r>
          </m:e>
          <m:sup>
            <m:r>
              <m:rPr>
                <m:sty m:val="p"/>
              </m:rPr>
              <m:t>∘</m:t>
            </m:r>
          </m:sup>
        </m:sSup>
      </m:oMath>
      <w:r>
        <w:t xml:space="preserve">C) showed increasing trends for each bay segment, with the largest slope of 1.5 days per year in OTB when temperature was above 29</w:t>
      </w:r>
      <w:r>
        <w:t xml:space="preserve"> </w:t>
      </w:r>
      <m:oMath>
        <m:sSup>
          <m:e>
            <m:r>
              <m:t>​</m:t>
            </m:r>
          </m:e>
          <m:sup>
            <m:r>
              <m:rPr>
                <m:sty m:val="p"/>
              </m:rPr>
              <m:t>∘</m:t>
            </m:r>
          </m:sup>
        </m:sSup>
      </m:oMath>
      <w:r>
        <w:t xml:space="preserve">C (Table S3). The estimated slopes for the number of days when temperature was above 30</w:t>
      </w:r>
      <w:r>
        <w:t xml:space="preserve"> </w:t>
      </w:r>
      <m:oMath>
        <m:sSup>
          <m:e>
            <m:r>
              <m:t>​</m:t>
            </m:r>
          </m:e>
          <m:sup>
            <m:r>
              <m:rPr>
                <m:sty m:val="p"/>
              </m:rPr>
              <m:t>∘</m:t>
            </m:r>
          </m:sup>
        </m:sSup>
      </m:oMath>
      <w:r>
        <w:t xml:space="preserve">C varied from less than 1 day per year in LTB to 1.1 days per year in MTB. Likewise, the mean number of days when temperature was above 30</w:t>
      </w:r>
      <w:r>
        <w:t xml:space="preserve"> </w:t>
      </w:r>
      <m:oMath>
        <m:sSup>
          <m:e>
            <m:r>
              <m:t>​</m:t>
            </m:r>
          </m:e>
          <m:sup>
            <m:r>
              <m:rPr>
                <m:sty m:val="p"/>
              </m:rPr>
              <m:t>∘</m:t>
            </m:r>
          </m:sup>
        </m:sSup>
      </m:oMath>
      <w:r>
        <w:t xml:space="preserve">C at the beginning and end of the period of record were similar between bay segments, with an average increase of 48 days across the bay segments for the period of record (</w:t>
      </w:r>
      <w:hyperlink w:anchor="tbl-mixdaytab">
        <w:r>
          <w:rPr>
            <w:rStyle w:val="Hyperlink"/>
          </w:rPr>
          <w:t xml:space="preserve">Table 4</w:t>
        </w:r>
      </w:hyperlink>
      <w:r>
        <w:t xml:space="preserve">, Table S5, see Table S6 for 1998 to 2022). The increase in the number of days each year when temperatures were above 29 or 31</w:t>
      </w:r>
      <w:r>
        <w:t xml:space="preserve"> </w:t>
      </w:r>
      <m:oMath>
        <m:sSup>
          <m:e>
            <m:r>
              <m:t>​</m:t>
            </m:r>
          </m:e>
          <m:sup>
            <m:r>
              <m:rPr>
                <m:sty m:val="p"/>
              </m:rPr>
              <m:t>∘</m:t>
            </m:r>
          </m:sup>
        </m:sSup>
      </m:oMath>
      <w:r>
        <w:t xml:space="preserve">C was similar.</w:t>
      </w:r>
    </w:p>
    <w:p>
      <w:pPr>
        <w:pStyle w:val="BodyText"/>
      </w:pPr>
      <w:r>
        <w:t xml:space="preserve">The salinity models were less similar between bay segments compared to the temperature models, primarily because of the natural salinity gradient along the bay’s longitudinal axis (Tables S3, S4). None of the bay segments had strong trends in the number of days per year when salinity was below 15 ppt. Both OTB and HB had models showing an increasing number of days when salinity was below 20 or 25 ppt, whereas MTB only showed an increase in the number of days when salinity was below 25 ppt. LTB had no notable salinity models. Some salinity models had decreasing trends, although the total number of days at the beginning and end of the period of record were neglible (Table S5). Overall, OTB showed the largest increase in the number of days each year when salinity was below a threshold, particularly for 25 ppt, where the change was 86 days per year from 1975 to 2022 (130 days to 216 days per year,</w:t>
      </w:r>
      <w:r>
        <w:t xml:space="preserve"> </w:t>
      </w:r>
      <w:hyperlink w:anchor="tbl-mixdaytab">
        <w:r>
          <w:rPr>
            <w:rStyle w:val="Hyperlink"/>
          </w:rPr>
          <w:t xml:space="preserve">Table 4</w:t>
        </w:r>
      </w:hyperlink>
      <w:r>
        <w:t xml:space="preserve">, Table S5, see Table S6 for 1998 to 2022). Across all bay segments, the average increase in the number of days salinity was below 25 ppt from 1975 to 2022 was 36 days, although a distinct gradient towards the mouth of the bay was observed.</w:t>
      </w:r>
    </w:p>
    <w:p>
      <w:pPr>
        <w:pStyle w:val="BodyText"/>
      </w:pPr>
      <w:r>
        <w:t xml:space="preserve">The number of days when both temperature was above and salinity was below a threshold also varied by bay segment (Table S3). The number of days when temperature was above 29</w:t>
      </w:r>
      <w:r>
        <w:t xml:space="preserve"> </w:t>
      </w:r>
      <m:oMath>
        <m:sSup>
          <m:e>
            <m:r>
              <m:t>​</m:t>
            </m:r>
          </m:e>
          <m:sup>
            <m:r>
              <m:rPr>
                <m:sty m:val="p"/>
              </m:rPr>
              <m:t>∘</m:t>
            </m:r>
          </m:sup>
        </m:sSup>
      </m:oMath>
      <w:r>
        <w:t xml:space="preserve">C and salinity was below 25 ppt had the largest slopes of 1.4, 1.1,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showed the greatest increase for OTB of 68 days (4 days to 72 days per year from 1975 to 2022).</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from 1975 to present when temperature was above 30</w:t>
      </w:r>
      <m:oMath>
        <m:sSup>
          <m:e>
            <m:r>
              <m:t>​</m:t>
            </m:r>
          </m:e>
          <m:sup>
            <m:r>
              <m:rPr>
                <m:sty m:val="p"/>
              </m:rPr>
              <m:t>∘</m:t>
            </m:r>
          </m:sup>
        </m:sSup>
      </m:oMath>
      <w:r>
        <w:t xml:space="preserve">, salinity was below 25 ppt, and when both occurred (see Figure S6 for 1998 to 2022). Temperature trends were similar among segments, whereas the number of days when salinity was below the threshold decreased with proximity to the Gulf of Mexico (</w:t>
      </w:r>
      <w:hyperlink w:anchor="tbl-mixdaytab">
        <w:r>
          <w:rPr>
            <w:rStyle w:val="Hyperlink"/>
          </w:rPr>
          <w:t xml:space="preserve">Table 4</w:t>
        </w:r>
      </w:hyperlink>
      <w:r>
        <w:t xml:space="preserve">). The number of days when both temperature was above and salinity was below the threshold generally followed the trends for the number of days when salinity was below the threshold. These thresholds were used for comparison to seagrass changes described below, based primarily on the statistical strength of the trends and the variance of counts across stations within each bay segment (points in</w:t>
      </w:r>
      <w:r>
        <w:t xml:space="preserve"> </w:t>
      </w:r>
      <w:hyperlink w:anchor="fig-mixeff">
        <w:r>
          <w:rPr>
            <w:rStyle w:val="Hyperlink"/>
          </w:rPr>
          <w:t xml:space="preserve">Figure 6</w:t>
        </w:r>
      </w:hyperlink>
      <w:r>
        <w:t xml:space="preserve">). That is, more restrictive thresholds did not provide sufficient counts of days per year to more rigorously develop seagrass response models and the chosen thresholds were based primarily on statistical considerations.</w:t>
      </w:r>
    </w:p>
    <w:bookmarkEnd w:id="39"/>
    <w:bookmarkStart w:id="40" w:name="seagrass-response"/>
    <w:p>
      <w:pPr>
        <w:pStyle w:val="Heading3"/>
      </w:pPr>
      <w:r>
        <w:t xml:space="preserve">3.3 Seagrass response</w:t>
      </w:r>
    </w:p>
    <w:p>
      <w:pPr>
        <w:pStyle w:val="FirstParagraph"/>
      </w:pPr>
      <w:r>
        <w:t xml:space="preserve">GAMs to assess the potential effects of year, light attenuation, temperature and salinity on seagrass change provided some evidence that seagrass change was influenced by climate stressors, particularly for the FIM and PDEM datasets. The model for the EPC data (n = 75, Adj. R</w:t>
      </w:r>
      <m:oMath>
        <m:sSup>
          <m:e>
            <m:r>
              <m:t>​</m:t>
            </m:r>
          </m:e>
          <m:sup>
            <m:r>
              <m:t>2</m:t>
            </m:r>
          </m:sup>
        </m:sSup>
      </m:oMath>
      <w:r>
        <w:t xml:space="preserve"> </w:t>
      </w:r>
      <w:r>
        <w:t xml:space="preserve">= 0.93, Deviance explained = 97%) had notable associations with year for the OTB and MTB bay segments and for light attenuation for the HB bay segment (</w:t>
      </w:r>
      <w:hyperlink w:anchor="fig-sgmod1">
        <w:r>
          <w:rPr>
            <w:rStyle w:val="Hyperlink"/>
          </w:rPr>
          <w:t xml:space="preserve">Figure 7</w:t>
        </w:r>
      </w:hyperlink>
      <w:r>
        <w:t xml:space="preserve">, Table S7). Associations of seagrass change with the temperature and salinity metrics were weak and somewhat contrary to expectation (i.e., an increasing partial effect on seagrass as the stressor metrics increased). The EPC model using the</w:t>
      </w:r>
      <w:r>
        <w:t xml:space="preserve"> </w:t>
      </w:r>
      <w:r>
        <w:t xml:space="preserve">“</w:t>
      </w:r>
      <w:r>
        <w:t xml:space="preserve">both</w:t>
      </w:r>
      <w:r>
        <w:t xml:space="preserve">”</w:t>
      </w:r>
      <w:r>
        <w:t xml:space="preserve"> </w:t>
      </w:r>
      <w:r>
        <w:t xml:space="preserve">stressor metric was similar (n = 75, Adj. R</w:t>
      </w:r>
      <m:oMath>
        <m:sSup>
          <m:e>
            <m:r>
              <m:t>​</m:t>
            </m:r>
          </m:e>
          <m:sup>
            <m:r>
              <m:t>2</m:t>
            </m:r>
          </m:sup>
        </m:sSup>
      </m:oMath>
      <w:r>
        <w:t xml:space="preserve"> </w:t>
      </w:r>
      <w:r>
        <w:t xml:space="preserve">= 0.97, Deviance explained = 99%, Figure S7, Table S8), suggesting no added benefit of evaluating times when both temperature was above and salinity was below the threshold.</w:t>
      </w:r>
    </w:p>
    <w:p>
      <w:pPr>
        <w:pStyle w:val="BodyText"/>
      </w:pPr>
      <w:r>
        <w:t xml:space="preserve">The GAMs for the FIM and PDEM datasets had notable associations with temperature and salinity stress, where an increase in temperature and a decrease in salinity was often associated with a decline in seagrass depending on bay segment. The FIM model (n = 81, Adj. R</w:t>
      </w:r>
      <m:oMath>
        <m:sSup>
          <m:e>
            <m:r>
              <m:t>​</m:t>
            </m:r>
          </m:e>
          <m:sup>
            <m:r>
              <m:t>2</m:t>
            </m:r>
          </m:sup>
        </m:sSup>
      </m:oMath>
      <w:r>
        <w:t xml:space="preserve"> </w:t>
      </w:r>
      <w:r>
        <w:t xml:space="preserve">= 0.81, Deviance explained = 89%), Figure</w:t>
      </w:r>
      <w:r>
        <w:t xml:space="preserve"> </w:t>
      </w:r>
      <w:hyperlink w:anchor="fig-sgmod2">
        <w:r>
          <w:rPr>
            <w:rStyle w:val="Hyperlink"/>
          </w:rPr>
          <w:t xml:space="preserve">8</w:t>
        </w:r>
      </w:hyperlink>
      <w:r>
        <w:t xml:space="preserve">a, Table S9) showed a slight decrease in seagrass with increasing temperature for HB and MTB, with a similar change as salinity decreased. The PDEM model (n = 19, Adj. R</w:t>
      </w:r>
      <m:oMath>
        <m:sSup>
          <m:e>
            <m:r>
              <m:t>​</m:t>
            </m:r>
          </m:e>
          <m:sup>
            <m:r>
              <m:t>2</m:t>
            </m:r>
          </m:sup>
        </m:sSup>
      </m:oMath>
      <w:r>
        <w:t xml:space="preserve"> </w:t>
      </w:r>
      <w:r>
        <w:t xml:space="preserve">= 0.69, Deviance explained = 81%, Figure</w:t>
      </w:r>
      <w:r>
        <w:t xml:space="preserve"> </w:t>
      </w:r>
      <w:hyperlink w:anchor="fig-sgmod2">
        <w:r>
          <w:rPr>
            <w:rStyle w:val="Hyperlink"/>
          </w:rPr>
          <w:t xml:space="preserve">8</w:t>
        </w:r>
      </w:hyperlink>
      <w:r>
        <w:t xml:space="preserve">b, Table S10) that evaluated only OTB showed a distinct decrease with seagrass as temperature increased, but no association with salinity. Some of the interaction terms of the predictors with year suggested the relationships with seagrass may have changed over time, but the results were not consistent between bay segments or models (Tables S7 to S10).</w:t>
      </w:r>
    </w:p>
    <w:bookmarkEnd w:id="40"/>
    <w:bookmarkEnd w:id="41"/>
    <w:bookmarkStart w:id="44" w:name="discussion"/>
    <w:p>
      <w:pPr>
        <w:pStyle w:val="Heading2"/>
      </w:pPr>
      <w:r>
        <w:t xml:space="preserve">4 Discussion</w:t>
      </w:r>
    </w:p>
    <w:p>
      <w:pPr>
        <w:pStyle w:val="FirstParagraph"/>
      </w:pPr>
      <w:r>
        <w:t xml:space="preserve">Global increases in temperature and altered precipitation patterns related to climate change have had measurable effects on the structure and functioning of a wide range of natural environments</w:t>
      </w:r>
      <w:r>
        <w:t xml:space="preserve"> </w:t>
      </w:r>
      <w:r>
        <w:t xml:space="preserve">(Osland et al. 2015; Oliver et al. 2018)</w:t>
      </w:r>
      <w:r>
        <w:t xml:space="preserve">. For Tampa Bay, these changes have been demonstrated using long-term trends in water temperature and salinity, which mirrored long-term changes in air temperature and precipitation. Tampa Bay has gotten hotter and fresher; water temperature has increased by 0.03 - 0.04</w:t>
      </w:r>
      <w:r>
        <w:t xml:space="preserve"> </w:t>
      </w:r>
      <m:oMath>
        <m:sSup>
          <m:e>
            <m:r>
              <m:t>​</m:t>
            </m:r>
          </m:e>
          <m:sup>
            <m:r>
              <m:rPr>
                <m:sty m:val="p"/>
              </m:rPr>
              <m:t>∘</m:t>
            </m:r>
          </m:sup>
        </m:sSup>
      </m:oMath>
      <w:r>
        <w:t xml:space="preserve">C per year and salinity has decreased by 0.04 - 0.06 ppt per year, translating to an increase of 1.3 to 1.7</w:t>
      </w:r>
      <w:r>
        <w:t xml:space="preserve"> </w:t>
      </w:r>
      <m:oMath>
        <m:sSup>
          <m:e>
            <m:r>
              <m:t>​</m:t>
            </m:r>
          </m:e>
          <m:sup>
            <m:r>
              <m:rPr>
                <m:sty m:val="p"/>
              </m:rPr>
              <m:t>∘</m:t>
            </m:r>
          </m:sup>
        </m:sSup>
      </m:oMath>
      <w:r>
        <w:t xml:space="preserve">C and a decrease of 1.6 to 2.6 ppt over the past fifty years. The number of days each year when temperature was above 30</w:t>
      </w:r>
      <w:r>
        <w:t xml:space="preserve"> </w:t>
      </w:r>
      <m:oMath>
        <m:sSup>
          <m:e>
            <m:r>
              <m:t>​</m:t>
            </m:r>
          </m:e>
          <m:sup>
            <m:r>
              <m:rPr>
                <m:sty m:val="p"/>
              </m:rPr>
              <m:t>∘</m:t>
            </m:r>
          </m:sup>
        </m:sSup>
      </m:oMath>
      <w:r>
        <w:t xml:space="preserve">C or salinity was below 25 ppt has also increased consistently, with an average increase baywide of 48 and 37 days, respectively, since 1975. These changes were demonstrated in three long-term datasets with different sampling methods and periods of record. Understandably, the trends were most clearly observed in the dataset with the longest period of record (EPC), covering nearly fifty years of monthly observations. These long-term changes manifested into consistent trends in known seagrass stressors; the continuous number of days increased each year when temperature, salinity, or both crossed thresholds.</w:t>
      </w:r>
    </w:p>
    <w:p>
      <w:pPr>
        <w:pStyle w:val="BodyText"/>
      </w:pPr>
      <w:r>
        <w:t xml:space="preserve">Similar regional, long-term changes in coastal waters and estuaries have been observed by others</w:t>
      </w:r>
      <w:r>
        <w:t xml:space="preserve"> </w:t>
      </w:r>
      <w:r>
        <w:t xml:space="preserve">(Carlson et al. 2018; 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to those herein for Tampa Bay (the EPC dataset was also used).</w:t>
      </w:r>
      <w:r>
        <w:t xml:space="preserve"> </w:t>
      </w:r>
      <w:r>
        <w:t xml:space="preserve">Nickerson et al. (2023)</w:t>
      </w:r>
      <w:r>
        <w:t xml:space="preserve"> </w:t>
      </w:r>
      <w:r>
        <w:t xml:space="preserve">also noted that temperature increases in Tampa Bay were most pronounced in the winter, although they rightfully acknowledge the sensitivity of their results to conditions at the start and end of the time series. Our assessment evaluated non-parametric trends (i.e., Kendall tests, less sensitive to outliers) at individual EPC stations and bay segments, whereas</w:t>
      </w:r>
      <w:r>
        <w:t xml:space="preserve"> </w:t>
      </w:r>
      <w:r>
        <w:t xml:space="preserve">Nickerson et al. (2023)</w:t>
      </w:r>
      <w:r>
        <w:t xml:space="preserve"> </w:t>
      </w:r>
      <w:r>
        <w:t xml:space="preserve">evaluated the EPC data as an average for the entire bay for consistency of comparison to their larger spatial area and model domain. Our results showing increases in temperature and decreases in salinity in the fall, winter period provided a finer-scale comparison, where trends were most notable for OTB and northern stations of HB (</w:t>
      </w:r>
      <w:hyperlink w:anchor="fig-kendall">
        <w:r>
          <w:rPr>
            <w:rStyle w:val="Hyperlink"/>
          </w:rPr>
          <w:t xml:space="preserve">Figure 5</w:t>
        </w:r>
      </w:hyperlink>
      <w:r>
        <w:t xml:space="preserv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The significant reduction in salinity for LTB is also of note, perhaps related to gravitational circulation patterns that export lower salinity water from upstream in the main shipping channels</w:t>
      </w:r>
      <w:r>
        <w:t xml:space="preserve"> </w:t>
      </w:r>
      <w:r>
        <w:t xml:space="preserve">(Weisberg and Zheng 2006)</w:t>
      </w:r>
      <w:r>
        <w:t xml:space="preserve">.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 for Tampa Bay is comparable. Notably,</w:t>
      </w:r>
      <w:r>
        <w:t xml:space="preserve"> </w:t>
      </w:r>
      <w:r>
        <w:t xml:space="preserve">Carlson et al. (2018)</w:t>
      </w:r>
      <w:r>
        <w:t xml:space="preserve"> </w:t>
      </w:r>
      <w:r>
        <w:t xml:space="preserve">suggest a link between historical seagrass losses in Florida Bay and rapid warming in shallow areas with low surface reflectance.</w:t>
      </w:r>
    </w:p>
    <w:p>
      <w:pPr>
        <w:pStyle w:val="BodyText"/>
      </w:pPr>
      <w:r>
        <w:t xml:space="preserve">Our relatively simple modeling approach provided some evidence that climate-related stressors impart some effect on recent seagrass losses in Tampa Bay. The models did not provide a consistent explanation that increasing temperature and decreasing salinity were key (or the sole) drivers. However, evaluating all models together as weight-of-evidence suggests there is value in considering multiple datasets and models to interpret noisy patterns and compounding ecological processes. Model results for the FIM and PDEM datasets both suggested that increasing temperature and decreasing salinity were associated with potential seagrass loss in recent years (</w:t>
      </w:r>
      <w:hyperlink w:anchor="fig-sgmod2">
        <w:r>
          <w:rPr>
            <w:rStyle w:val="Hyperlink"/>
          </w:rPr>
          <w:t xml:space="preserve">Figure 8</w:t>
        </w:r>
      </w:hyperlink>
      <w:r>
        <w:t xml:space="preserve">). For the EPC model, none of the stressor metrics were associated with seagrass change. An important distinction between the EPC and other models is that the former evaluated the number of days above/below thresholds each year to quantify annual temperature or salinity stress, whereas the latter evaluated observed temperature and salinity values at the time of seagrass sampling. Additionally, the EPC models evaluated water quality changes from data collected at relatively deeper locations than where seagrass typically grows (Figure</w:t>
      </w:r>
      <w:r>
        <w:t xml:space="preserve"> </w:t>
      </w:r>
      <w:hyperlink w:anchor="fig-map">
        <w:r>
          <w:rPr>
            <w:rStyle w:val="Hyperlink"/>
          </w:rPr>
          <w:t xml:space="preserve">1</w:t>
        </w:r>
      </w:hyperlink>
      <w:r>
        <w:t xml:space="preserve">b), suggesting a potential disconnect in relating the two. As such, both models attempted to describe the role of these stressors on potential seagrass change, but use different independent variables given the different sampling designs of each monitoring program. These differences highlight challenges describing autecological relationships in long-term datasets, while also demonstrating the utility of our weight-of-evidence approach to describe such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w:r>
        <w:t xml:space="preserve"> </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That is, sufficient change and variation in the independent variables for the models of seagrass change were needed to statistically describe potential relationships. The reported threshold values in tropical and sub-tropical environments suggest that the limits of the ecological niche for seagrasses are higher for temperature and lower for salinity</w:t>
      </w:r>
      <w:r>
        <w:t xml:space="preserve"> </w:t>
      </w:r>
      <w:r>
        <w:t xml:space="preserve">(R. C. Phillips 1960; McMillan and Moseley 1967; Zieman 1975; Lirman and Cropper 2003)</w:t>
      </w:r>
      <w:r>
        <w:t xml:space="preserve">. Because we did not see a dramatic increase in the number of days each year when the thresholds were crossed at more stressful values, conditions in Tampa Bay in recent years are generally within the ecological niche for seagrasses. This is especially true for</w:t>
      </w:r>
      <w:r>
        <w:t xml:space="preserve"> </w:t>
      </w:r>
      <w:r>
        <w:rPr>
          <w:iCs/>
          <w:i/>
        </w:rPr>
        <w:t xml:space="preserve">H. wrightii</w:t>
      </w:r>
      <w:r>
        <w:t xml:space="preserve"> that had the greatest changes over the period of record and is tolerant of a wide range of salinity. However, this does not suggest that these factors are unimportant, both currently and in the future. Extreme temperature or precipitation events acting individually or in combination are likely captured by the trends in stressor metrics using these lower thresholds, i.e., an increase in a bay segment median number of days also suggests extremes are increasing given the variation around these summary metrics (</w:t>
      </w:r>
      <w:hyperlink w:anchor="fig-mixeff">
        <w:r>
          <w:rPr>
            <w:rStyle w:val="Hyperlink"/>
          </w:rPr>
          <w:t xml:space="preserve">Figure 6</w:t>
        </w:r>
      </w:hyperlink>
      <w:r>
        <w:t xml:space="preserve">). Our thresholds may also be indicative of the potential for chronic sublethal effects of stress on seagrasses, reducing their resilience to other stressors. Regardless, our models suggested that temperature and salinity are at least associated with seagrass loss and, if so, long-term trends in both are set to amplify their effect.</w:t>
      </w:r>
    </w:p>
    <w:p>
      <w:pPr>
        <w:pStyle w:val="BodyText"/>
      </w:pPr>
      <w:r>
        <w:t xml:space="preserve">Additional limitations of our models may relate to an incomplete description of factors influencing seagrass growth, such as the inclusion of additional drivers and an incomplete or overly simplified causal network. For the former, the primary management paradigm in Tampa Bay for the past three decades has relied on the role of external nitrogen inputs in affecting light environments for seagrass growth</w:t>
      </w:r>
      <w:r>
        <w:t xml:space="preserve"> </w:t>
      </w:r>
      <w:r>
        <w:t xml:space="preserve">(Greening et al. 2014; Sherwood et al. 2017)</w:t>
      </w:r>
      <w:r>
        <w:t xml:space="preserve">. Our inclusion of light attenuation in the EPC models was meant to account for how the light environment may be influencing seagrass growth, in addition to climate-related stressors. However, light attenuation has improved over the period of record and within the limits estimated to be supportive of seagrass growth in Tampa Bay</w:t>
      </w:r>
      <w:r>
        <w:t xml:space="preserve"> </w:t>
      </w:r>
      <w:r>
        <w:t xml:space="preserve">(Janicki and Wade 1996; Greening et al. 2011)</w:t>
      </w:r>
      <w:r>
        <w:t xml:space="preserve">, particularly in OTB where the most loss occurred (Figure</w:t>
      </w:r>
      <w:r>
        <w:t xml:space="preserve"> </w:t>
      </w:r>
      <w:hyperlink w:anchor="fig-seagrasschg">
        <w:r>
          <w:rPr>
            <w:rStyle w:val="Hyperlink"/>
          </w:rPr>
          <w:t xml:space="preserve">2</w:t>
        </w:r>
      </w:hyperlink>
      <w:r>
        <w:t xml:space="preserve">c). Additional water quality parameters could be included in the models to provide further evidence that light-limitation is not the present driver for seagrass change (e.g., nitrogen loading, chlorophyll-a, color), although nutrient management for the benefit of seagrass growth will likely continue to be a dominant management paradigm for Tampa Bay. A final consideration for our models relates to how seagrasses may influence their environment, particularly for the PDEM and FIM datasets where temperature and salinity were measured at the same locations as seagrass. For example, temperature may simply be lower in locations where seagrasses are present and can absorb solar radiation, i.e., seagrasses may be influencing their environment rather than the environment influencing seagrasses</w:t>
      </w:r>
      <w:r>
        <w:t xml:space="preserve"> </w:t>
      </w:r>
      <w:r>
        <w:t xml:space="preserve">(Carlson et al. 2018)</w:t>
      </w:r>
      <w:r>
        <w:t xml:space="preserve">. This explanation cannot be ruled out with the existing datasets, although the trend analyses and models suggest that climate-related stressors are a more likely scenario. This is especially true for water temperature trends captured by the EPC dataset which includes deeper, fixed sites adjacent to shallow seagrass flats.</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w:t>
      </w:r>
      <w:r>
        <w:t xml:space="preserve"> </w:t>
      </w:r>
      <w:r>
        <w:t xml:space="preserve">(Tomasko et al. 2020)</w:t>
      </w:r>
      <w:r>
        <w:t xml:space="preserve">. These regional losses suggest that large-scale stressors are driving these changes, supporting our initial hypothesis that climate-related stressors could partially explain the change in Tampa Bay. Based on our results, the losses elsewhere may potentially be explained by temperature and salinity and are worth exploring in other southwest Florida coastal regions where long-term datasets exist</w:t>
      </w:r>
      <w:r>
        <w:t xml:space="preserve"> </w:t>
      </w:r>
      <w:r>
        <w:t xml:space="preserve">(Tomasko et al. 2005)</w:t>
      </w:r>
      <w:r>
        <w:t xml:space="preserve">. Additional factors that could explain these changes are also likely co-occurring with climate stress, some of which are unique to Tampa Bay and others that are more likely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water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(Koch et al. 2007; Stelling et al. 2023)</w:t>
      </w:r>
      <w:r>
        <w:t xml:space="preserve">, and ultimately contribute to changes in the light environment affecting seagrass resources in this bay segment.</w:t>
      </w:r>
    </w:p>
    <w:p>
      <w:pPr>
        <w:pStyle w:val="BodyText"/>
      </w:pPr>
      <w:r>
        <w:t xml:space="preserve">Additional biotic factors could be influencing regional patterns in seagrass growth. In Tampa Bay and elsewhere, enhanced macroalgal production has been a recent concern</w:t>
      </w:r>
      <w:r>
        <w:t xml:space="preserve"> </w:t>
      </w:r>
      <w:r>
        <w:t xml:space="preserve">(L. M. Hall et al. 2022; Janicki Environmental, Inc. 2022; Brewton and Lapointe 2023; Scolaro et al. 2023)</w:t>
      </w:r>
      <w:r>
        <w:t xml:space="preserve">. Attached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 Taplin et al. 2005; Brewton and Lapointe 2023)</w:t>
      </w:r>
      <w:r>
        <w:t xml:space="preserve">, in addition to insufficient macroalgae data in Tampa Bay that cannot clearly describe seasonal growth, distribution patterns, and nutrient cycling. Discrete pollutant loading events in Tampa Bay have been documented to promote both phytoplankton and macroalgae growth</w:t>
      </w:r>
      <w:r>
        <w:t xml:space="preserve"> </w:t>
      </w:r>
      <w:r>
        <w:t xml:space="preserve">(Beck et al. 2022; Scolaro et al. 2023; Tomasko 2023)</w:t>
      </w:r>
      <w:r>
        <w:t xml:space="preserve">. The role that evolving nutrient loading and changing climatic conditions may have on Tampa Bay’s primary producers – particularly algal and seagrass growth and interactions in recent years – is not well understood.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 More research should be directed towards the influence of climate stressors on seagrass pathogen vulnerability.</w:t>
      </w:r>
    </w:p>
    <w:p>
      <w:pPr>
        <w:pStyle w:val="BodyText"/>
      </w:pPr>
      <w:r>
        <w:t xml:space="preserve">Lastly, our result showing that salinity has decreased in Tampa Bay is contrary to expectations for how sea-level rise will affect coastal systems</w:t>
      </w:r>
      <w:r>
        <w:t xml:space="preserve"> </w:t>
      </w:r>
      <w:r>
        <w:t xml:space="preserve">(Costa et al. 2023; Alarcon et al. 2024)</w:t>
      </w:r>
      <w:r>
        <w:t xml:space="preserve">, as salinity increases with sea-level rise have already caused numerous alterations of subtidal and nearshore habitats</w:t>
      </w:r>
      <w:r>
        <w:t xml:space="preserve"> </w:t>
      </w:r>
      <w:r>
        <w:t xml:space="preserve">(Brinson et al. 1995; White and Kaplan 2017)</w:t>
      </w:r>
      <w:r>
        <w:t xml:space="preserve">. In southwest Florida, the most common ecological example is the upland expansion of mangroves in response to increased porewater salinity and water levels over the past few decades</w:t>
      </w:r>
      <w:r>
        <w:t xml:space="preserve"> </w:t>
      </w:r>
      <w:r>
        <w:t xml:space="preserve">(Borchert et al. 2018)</w:t>
      </w:r>
      <w:r>
        <w:t xml:space="preserve">. Alteration of salinity regimes for surface and groundwater resources have been well documented. In Florida Bay, for example, widespread decline of</w:t>
      </w:r>
      <w:r>
        <w:t xml:space="preserve"> </w:t>
      </w:r>
      <w:r>
        <w:rPr>
          <w:iCs/>
          <w:i/>
        </w:rPr>
        <w:t xml:space="preserve">T. testudinum</w:t>
      </w:r>
      <w:r>
        <w:t xml:space="preserve"> </w:t>
      </w:r>
      <w:r>
        <w:t xml:space="preserve">has been attributed to altered hydrology and drought-induced hypersaline conditions, and sea level rise is expected to further modify salinity dynamics in the region</w:t>
      </w:r>
      <w:r>
        <w:t xml:space="preserve"> </w:t>
      </w:r>
      <w:r>
        <w:t xml:space="preserve">(M. O. Hall et al. 2016)</w:t>
      </w:r>
      <w:r>
        <w:t xml:space="preserve">. However, elevated summertime temperatures were also implicated in the decline.</w:t>
      </w:r>
      <w:r>
        <w:t xml:space="preserve"> </w:t>
      </w:r>
      <w:r>
        <w:t xml:space="preserve">Dessu et al. (2018)</w:t>
      </w:r>
      <w:r>
        <w:t xml:space="preserve"> </w:t>
      </w:r>
      <w:r>
        <w:t xml:space="preserve">noted that sea level rise is expected to have the largest effect on salinity changes during periods of low freshwater outflow from the Florida Everglades, emphasizing that measured salinity represents the relative contributions of oceanic and freshwater surface waters. In Tampa Bay, the long-term trends of decreasing salinity, especially in the upper bay segments, suggest that the hydrologic loading has had a greater influence on salinity regimes than the effects of sea-level rise. This hypothesis is supported by our assessment of precipitation patterns over time, where the long-term increase is inversely associated with the decrease in salinity.</w:t>
      </w:r>
    </w:p>
    <w:bookmarkStart w:id="43"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GAMs provided partially-supporting evidence that these changes can be linked to recent seagrass losses. Future analyses may show stronger associations between physicochemical habitat conditions and seagrass change as the trends are very likely to continue to push seagrasses further outside of their tolerance ranges. These analyses should be supported by additional data collection efforts, particularly high-resolution continuous monitoring data that provide a more precise assessment of diurnal stress across multiple time-scales. Ongoing work in OTB using continuous data loggers in shallow areas will provide insights into short-term diurnal changes as potential acute temperature stress on seagrass (see</w:t>
      </w:r>
      <w:r>
        <w:t xml:space="preserve"> </w:t>
      </w:r>
      <w:hyperlink r:id="rId42">
        <w:r>
          <w:rPr>
            <w:rStyle w:val="Hyperlink"/>
          </w:rPr>
          <w:t xml:space="preserve">https://tbep-tech.github.io/otb-temp/tempeval</w:t>
        </w:r>
      </w:hyperlink>
      <w:r>
        <w:t xml:space="preserve">). Morpohological or physiological measurements at the individual level could also provide early indications of heat and osmotic stress</w:t>
      </w:r>
      <w:r>
        <w:t xml:space="preserve"> </w:t>
      </w:r>
      <w:r>
        <w:t xml:space="preserve">(Congdon et al. 2023)</w:t>
      </w:r>
      <w:r>
        <w:t xml:space="preserve">.</w:t>
      </w:r>
    </w:p>
    <w:p>
      <w:pPr>
        <w:pStyle w:val="BodyText"/>
      </w:pPr>
      <w:r>
        <w:t xml:space="preserve">Natural resource managers should consider how these climate-related stressors may alter the effectiveness of intervention activities aimed at protecting ecological resources in Tampa Bay. Management actions that have historically been effective may not be able to maintain ecosystem resilience to climatic change. For example, nitrogen load reductions have been effective at restoring seagrass in Tampa Bay</w:t>
      </w:r>
      <w:r>
        <w:t xml:space="preserve"> </w:t>
      </w:r>
      <w:r>
        <w:t xml:space="preserve">(Greening and Janicki 2006; Greening et al. 2014)</w:t>
      </w:r>
      <w:r>
        <w:t xml:space="preserve">. As Tampa Bay becomes hotter and fresher, current nutrient loads may no longer be effectively assimilated and algal and seagrass ecology dynamics may shift. Strategies that mimic or restore pre-development hydrology or that further reduce allowable load inputs from regulated entities (e.g., additional stormwater controls, hydrological modifications) may be needed to confer additional resilience and adaptive capacity for seagrass in Tampa Bay. These considerations are especially critical for upper parts of Tampa Bay where a majority of seagrass loss has occurred and where temperature and salinity trends appear most pronounced. Reversal of recent trends may be more likely to occur if aggressive actions and controls are pursued sooner rather than later, given the challenges of restoring these long-lived foundation species once lost, ongoing development in the watershed, and the current climate trajectory.</w:t>
      </w:r>
    </w:p>
    <w:p>
      <w:r>
        <w:br w:type="page"/>
      </w:r>
    </w:p>
    <w:bookmarkEnd w:id="43"/>
    <w:bookmarkEnd w:id="44"/>
    <w:bookmarkStart w:id="77"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8" w:name="fig-map"/>
          <w:p>
            <w:pPr>
              <w:pStyle w:val="Compact"/>
              <w:jc w:val="center"/>
            </w:pPr>
            <w:r>
              <w:drawing>
                <wp:inline>
                  <wp:extent cx="3669832" cy="5963478"/>
                  <wp:effectExtent b="0" l="0" r="0" t="0"/>
                  <wp:docPr descr="" title="" id="46" name="Picture"/>
                  <a:graphic>
                    <a:graphicData uri="http://schemas.openxmlformats.org/drawingml/2006/picture">
                      <pic:pic>
                        <pic:nvPicPr>
                          <pic:cNvPr descr="figs/map.png" id="47" name="Picture"/>
                          <pic:cNvPicPr>
                            <a:picLocks noChangeArrowheads="1" noChangeAspect="1"/>
                          </pic:cNvPicPr>
                        </pic:nvPicPr>
                        <pic:blipFill>
                          <a:blip r:embed="rId45"/>
                          <a:stretch>
                            <a:fillRect/>
                          </a:stretch>
                        </pic:blipFill>
                        <pic:spPr bwMode="auto">
                          <a:xfrm>
                            <a:off x="0" y="0"/>
                            <a:ext cx="3669832" cy="5963478"/>
                          </a:xfrm>
                          <a:prstGeom prst="rect">
                            <a:avLst/>
                          </a:prstGeom>
                          <a:noFill/>
                          <a:ln w="9525">
                            <a:noFill/>
                            <a:headEnd/>
                            <a:tailEnd/>
                          </a:ln>
                        </pic:spPr>
                      </pic:pic>
                    </a:graphicData>
                  </a:graphic>
                </wp:inline>
              </w:drawing>
            </w:r>
          </w:p>
          <w:p>
            <w:pPr>
              <w:jc w:val="center"/>
            </w:pPr>
            <w:pPr>
              <w:jc w:val="start"/>
              <w:spacing w:before="200"/>
              <w:pStyle w:val="ImageCaption"/>
            </w:pPr>
            <w:r>
              <w:t xml:space="preserve">Fig. 1: Map of Tampa Bay and the three datasets used for trend analysis, including (a) bay segments, 2022 seagrass coverage (green), and transect starting points (black), (b) Environmental Protection Commission (EPC) long-term monitoring sites, (c) Fisheries Independent Monitoring (FIM) random sampling for seine hauls, and (d) OTB portion of Pinellas County Department of Environmental Management (PDEM) random sampling. Date ranges for each dataset are shown in the title. OTB: Old Tampa Bay, HB: Hillsborough Bay, MTB: Middle Tampa Bay, LTB: Lower Tampa Bay.</w:t>
            </w:r>
          </w:p>
          <w:bookmarkEnd w:id="4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2" w:name="fig-seagrasschg"/>
          <w:p>
            <w:pPr>
              <w:pStyle w:val="Compact"/>
              <w:jc w:val="center"/>
            </w:pPr>
            <w:r>
              <w:drawing>
                <wp:inline>
                  <wp:extent cx="5943600" cy="5943600"/>
                  <wp:effectExtent b="0" l="0" r="0" t="0"/>
                  <wp:docPr descr="" title="" id="50" name="Picture"/>
                  <a:graphic>
                    <a:graphicData uri="http://schemas.openxmlformats.org/drawingml/2006/picture">
                      <pic:pic>
                        <pic:nvPicPr>
                          <pic:cNvPr descr="figs/seagrasschg.png" id="51" name="Picture"/>
                          <pic:cNvPicPr>
                            <a:picLocks noChangeArrowheads="1" noChangeAspect="1"/>
                          </pic:cNvPicPr>
                        </pic:nvPicPr>
                        <pic:blipFill>
                          <a:blip r:embed="rId49"/>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 2: Seagrass changes over time in Tampa Bay for (a) areal coverage 1988 - 2022 from mapping, (b) frequency occurrence of major species 1998 - 2022 from annual transect monitoring, and (c) mean annual light attenuation from 1970 to 2022. Changes are shown for major bay segments. Red lines in (a) show approximate capacity of seagrass coverage based on the baywide target of 40,000 acres and red lines in (c) show the approximate linear trend for the period of record covered by the transect data in (b). The dashed line in (c) shows the light attenuation threshold to support seagrass growth in each bay segment. OTB: Old Tampa Bay, HB: Hillsborough Bay, MTB: Middle Tampa Bay, LTB: Lower Tampa Bay.</w:t>
            </w:r>
          </w:p>
          <w:bookmarkEnd w:id="5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6" w:name="fig-concept"/>
          <w:p>
            <w:pPr>
              <w:pStyle w:val="Compact"/>
              <w:jc w:val="center"/>
            </w:pPr>
            <w:r>
              <w:drawing>
                <wp:inline>
                  <wp:extent cx="4905519" cy="5002796"/>
                  <wp:effectExtent b="0" l="0" r="0" t="0"/>
                  <wp:docPr descr="" title="" id="54" name="Picture"/>
                  <a:graphic>
                    <a:graphicData uri="http://schemas.openxmlformats.org/drawingml/2006/picture">
                      <pic:pic>
                        <pic:nvPicPr>
                          <pic:cNvPr descr="figs/concept.png" id="55" name="Picture"/>
                          <pic:cNvPicPr>
                            <a:picLocks noChangeArrowheads="1" noChangeAspect="1"/>
                          </pic:cNvPicPr>
                        </pic:nvPicPr>
                        <pic:blipFill>
                          <a:blip r:embed="rId53"/>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 3: Conceptual stressor diagram demonstrating a two-dimensional niche space for temperature and salinity. Tampa Bay is trending towards the bottom right.</w:t>
            </w:r>
          </w:p>
          <w:bookmarkEnd w:id="5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0" w:name="fig-meteowqraw"/>
          <w:p>
            <w:pPr>
              <w:pStyle w:val="Compact"/>
              <w:jc w:val="center"/>
            </w:pPr>
            <w:r>
              <w:drawing>
                <wp:inline>
                  <wp:extent cx="5943600" cy="6368142"/>
                  <wp:effectExtent b="0" l="0" r="0" t="0"/>
                  <wp:docPr descr="" title="" id="58" name="Picture"/>
                  <a:graphic>
                    <a:graphicData uri="http://schemas.openxmlformats.org/drawingml/2006/picture">
                      <pic:pic>
                        <pic:nvPicPr>
                          <pic:cNvPr descr="figs/meteowqraw.png" id="59" name="Picture"/>
                          <pic:cNvPicPr>
                            <a:picLocks noChangeArrowheads="1" noChangeAspect="1"/>
                          </pic:cNvPicPr>
                        </pic:nvPicPr>
                        <pic:blipFill>
                          <a:blip r:embed="rId57"/>
                          <a:stretch>
                            <a:fillRect/>
                          </a:stretch>
                        </pic:blipFill>
                        <pic:spPr bwMode="auto">
                          <a:xfrm>
                            <a:off x="0" y="0"/>
                            <a:ext cx="5943600" cy="6368142"/>
                          </a:xfrm>
                          <a:prstGeom prst="rect">
                            <a:avLst/>
                          </a:prstGeom>
                          <a:noFill/>
                          <a:ln w="9525">
                            <a:noFill/>
                            <a:headEnd/>
                            <a:tailEnd/>
                          </a:ln>
                        </pic:spPr>
                      </pic:pic>
                    </a:graphicData>
                  </a:graphic>
                </wp:inline>
              </w:drawing>
            </w:r>
          </w:p>
          <w:p>
            <w:pPr>
              <w:jc w:val="center"/>
            </w:pPr>
            <w:pPr>
              <w:jc w:val="start"/>
              <w:spacing w:before="200"/>
              <w:pStyle w:val="ImageCaption"/>
            </w:pPr>
            <w:r>
              <w:t xml:space="preserve">Fig. 4: Long-term air temperature, precipitation (Jun-Aug), Standard Precipitation Index (SPI), water temperature, and salinity trends from 1975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bookmarkEnd w:id="6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4" w:name="fig-kendall"/>
          <w:p>
            <w:pPr>
              <w:pStyle w:val="Compact"/>
              <w:jc w:val="center"/>
            </w:pPr>
            <w:r>
              <w:drawing>
                <wp:inline>
                  <wp:extent cx="5943600" cy="2815389"/>
                  <wp:effectExtent b="0" l="0" r="0" t="0"/>
                  <wp:docPr descr="" title="" id="62" name="Picture"/>
                  <a:graphic>
                    <a:graphicData uri="http://schemas.openxmlformats.org/drawingml/2006/picture">
                      <pic:pic>
                        <pic:nvPicPr>
                          <pic:cNvPr descr="figs/kendall.png" id="63" name="Picture"/>
                          <pic:cNvPicPr>
                            <a:picLocks noChangeArrowheads="1" noChangeAspect="1"/>
                          </pic:cNvPicPr>
                        </pic:nvPicPr>
                        <pic:blipFill>
                          <a:blip r:embed="rId61"/>
                          <a:stretch>
                            <a:fillRect/>
                          </a:stretch>
                        </pic:blipFill>
                        <pic:spPr bwMode="auto">
                          <a:xfrm>
                            <a:off x="0" y="0"/>
                            <a:ext cx="5943600" cy="2815389"/>
                          </a:xfrm>
                          <a:prstGeom prst="rect">
                            <a:avLst/>
                          </a:prstGeom>
                          <a:noFill/>
                          <a:ln w="9525">
                            <a:noFill/>
                            <a:headEnd/>
                            <a:tailEnd/>
                          </a:ln>
                        </pic:spPr>
                      </pic:pic>
                    </a:graphicData>
                  </a:graphic>
                </wp:inline>
              </w:drawing>
            </w:r>
          </w:p>
          <w:p>
            <w:pPr>
              <w:jc w:val="center"/>
            </w:pPr>
            <w:pPr>
              <w:jc w:val="start"/>
              <w:spacing w:before="200"/>
              <w:pStyle w:val="ImageCaption"/>
            </w:pPr>
            <w:r>
              <w:t xml:space="preserve">Fig. 5: Trends from 1975 to 2022 for bottom water temperature and salinity measurements at long-term monitoring stations in Tampa Bay. Results for seasonal Kendall tests by station are shown in (a) with color and shape corresponding to the estimated annual slope as change per year (yr</w:t>
            </w:r>
            <m:oMath>
              <m:sSup>
                <m:e>
                  <m:r>
                    <m:t>​</m:t>
                  </m:r>
                </m:e>
                <m:sup>
                  <m:r>
                    <m:rPr>
                      <m:sty m:val="p"/>
                    </m:rPr>
                    <m:t>−</m:t>
                  </m:r>
                  <m:r>
                    <m:t>1</m:t>
                  </m:r>
                </m:sup>
              </m:sSup>
            </m:oMath>
            <w:r>
              <w:t xml:space="preserve">). Summarized seasonal trends by month are shown as (b) the average magnitude of change (slope) per month for stations in each bay segment for temperature and salinity. Bay segment outlines are shown in (a); OTB: Old Tampa Bay, HB: Hillsborough Bay, MTB: Middle Tampa Bay, LTB: Lower Tampa Bay.</w:t>
            </w:r>
          </w:p>
          <w:bookmarkEnd w:id="6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8" w:name="fig-mixeff"/>
          <w:p>
            <w:pPr>
              <w:pStyle w:val="Compact"/>
              <w:jc w:val="center"/>
            </w:pPr>
            <w:r>
              <w:drawing>
                <wp:inline>
                  <wp:extent cx="5943600" cy="5094514"/>
                  <wp:effectExtent b="0" l="0" r="0" t="0"/>
                  <wp:docPr descr="" title="" id="66" name="Picture"/>
                  <a:graphic>
                    <a:graphicData uri="http://schemas.openxmlformats.org/drawingml/2006/picture">
                      <pic:pic>
                        <pic:nvPicPr>
                          <pic:cNvPr descr="figs/mixeff.png" id="67" name="Picture"/>
                          <pic:cNvPicPr>
                            <a:picLocks noChangeArrowheads="1" noChangeAspect="1"/>
                          </pic:cNvPicPr>
                        </pic:nvPicPr>
                        <pic:blipFill>
                          <a:blip r:embed="rId65"/>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 6: Example of mixed effects models for the estimated number of days per year that bottom temperature (red) or salinity (blue) were above or below thresholds of 30</w:t>
            </w:r>
            <w:r>
              <w:t xml:space="preserve"> </w:t>
            </w:r>
            <m:oMath>
              <m:sSup>
                <m:e>
                  <m:r>
                    <m:t>​</m:t>
                  </m:r>
                </m:e>
                <m:sup>
                  <m:r>
                    <m:rPr>
                      <m:sty m:val="p"/>
                    </m:rPr>
                    <m:t>∘</m:t>
                  </m:r>
                </m:sup>
              </m:sSup>
            </m:oMath>
            <w:r>
              <w:t xml:space="preserve">C or 25 ppt, respectively, from the EPC data. The bottom row (black) shows the number of days when both temperature was above and salinity was below the thresholds. The models included station as a random effect for each bay segment, with grey lines indicating individual station trends, grey points as actual number of days for each station, and thicker lines indicating the overall model fit. Slopes are shown in the bottom left of each facet. OTB: Old Tampa Bay, HB: Hillsborough Bay, MTB: Middle Tampa Bay, LTB: Lower Tampa Bay.</w:t>
            </w:r>
          </w:p>
          <w:bookmarkEnd w:id="6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2" w:name="fig-sgmod1"/>
          <w:p>
            <w:pPr>
              <w:pStyle w:val="Compact"/>
              <w:jc w:val="center"/>
            </w:pPr>
            <w:r>
              <w:drawing>
                <wp:inline>
                  <wp:extent cx="5943600" cy="5200649"/>
                  <wp:effectExtent b="0" l="0" r="0" t="0"/>
                  <wp:docPr descr="" title="" id="70" name="Picture"/>
                  <a:graphic>
                    <a:graphicData uri="http://schemas.openxmlformats.org/drawingml/2006/picture">
                      <pic:pic>
                        <pic:nvPicPr>
                          <pic:cNvPr descr="figs/sgmod1.png" id="71" name="Picture"/>
                          <pic:cNvPicPr>
                            <a:picLocks noChangeArrowheads="1" noChangeAspect="1"/>
                          </pic:cNvPicPr>
                        </pic:nvPicPr>
                        <pic:blipFill>
                          <a:blip r:embed="rId69"/>
                          <a:stretch>
                            <a:fillRect/>
                          </a:stretch>
                        </pic:blipFill>
                        <pic:spPr bwMode="auto">
                          <a:xfrm>
                            <a:off x="0" y="0"/>
                            <a:ext cx="5943600" cy="5200649"/>
                          </a:xfrm>
                          <a:prstGeom prst="rect">
                            <a:avLst/>
                          </a:prstGeom>
                          <a:noFill/>
                          <a:ln w="9525">
                            <a:noFill/>
                            <a:headEnd/>
                            <a:tailEnd/>
                          </a:ln>
                        </pic:spPr>
                      </pic:pic>
                    </a:graphicData>
                  </a:graphic>
                </wp:inline>
              </w:drawing>
            </w:r>
          </w:p>
          <w:p>
            <w:pPr>
              <w:jc w:val="center"/>
            </w:pPr>
            <w:pPr>
              <w:jc w:val="start"/>
              <w:spacing w:before="200"/>
              <w:pStyle w:val="ImageCaption"/>
            </w:pPr>
            <w:r>
              <w:t xml:space="preserve">Fig. 7: Partial effects of smoothers (rows) by bay segment (columns) from a Generalized Additive Model used to describe seagrass change relative to year, light attenuation, the number of days each year when bottom temperature was above 30</w:t>
            </w:r>
            <w:r>
              <w:t xml:space="preserve"> </w:t>
            </w:r>
            <m:oMath>
              <m:sSup>
                <m:e>
                  <m:r>
                    <m:t>​</m:t>
                  </m:r>
                </m:e>
                <m:sup>
                  <m:r>
                    <m:rPr>
                      <m:sty m:val="p"/>
                    </m:rPr>
                    <m:t>∘</m:t>
                  </m:r>
                </m:sup>
              </m:sSup>
            </m:oMath>
            <w:r>
              <w:t xml:space="preserve">C, and the number of days each year when bottom salinity was below 25 ppt. The EPC data were used for the independent variables in the model. Partial effects describe the modeled association between each predictor and seagrass frequency occurrence after accounting for the effects of the other predictors. The model also included smoothed interaction terms with year (not shown). See Table S7 for additional model fit statistics. OTB: Old Tampa Bay, HB: Hillsborough Bay, MTB: Middle Tampa Bay. n = 75, Adj. R</w:t>
            </w:r>
            <m:oMath>
              <m:sSup>
                <m:e>
                  <m:r>
                    <m:t>​</m:t>
                  </m:r>
                </m:e>
                <m:sup>
                  <m:r>
                    <m:t>2</m:t>
                  </m:r>
                </m:sup>
              </m:sSup>
            </m:oMath>
            <w:r>
              <w:t xml:space="preserve"> </w:t>
            </w:r>
            <w:r>
              <w:t xml:space="preserve">= 0.93, Deviance explained = 97%</w:t>
            </w:r>
          </w:p>
          <w:bookmarkEnd w:id="7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6" w:name="fig-sgmod2"/>
          <w:p>
            <w:pPr>
              <w:pStyle w:val="Compact"/>
              <w:jc w:val="center"/>
            </w:pPr>
            <w:r>
              <w:drawing>
                <wp:inline>
                  <wp:extent cx="5943600" cy="4457699"/>
                  <wp:effectExtent b="0" l="0" r="0" t="0"/>
                  <wp:docPr descr="" title="" id="74" name="Picture"/>
                  <a:graphic>
                    <a:graphicData uri="http://schemas.openxmlformats.org/drawingml/2006/picture">
                      <pic:pic>
                        <pic:nvPicPr>
                          <pic:cNvPr descr="figs/sgmod2.png" id="75" name="Picture"/>
                          <pic:cNvPicPr>
                            <a:picLocks noChangeArrowheads="1" noChangeAspect="1"/>
                          </pic:cNvPicPr>
                        </pic:nvPicPr>
                        <pic:blipFill>
                          <a:blip r:embed="rId73"/>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 8: Partial effects of smoothers (rows) by bay segment (columns) from Generalized Additive Models evaluating seagrass changes versus year, bottom temperature, and bottom salinity for the (a) FIM (first three columns evaluating mean annual percent cover from 0-100, n = 81, Adj. R</w:t>
            </w:r>
            <m:oMath>
              <m:sSup>
                <m:e>
                  <m:r>
                    <m:t>​</m:t>
                  </m:r>
                </m:e>
                <m:sup>
                  <m:r>
                    <m:t>2</m:t>
                  </m:r>
                </m:sup>
              </m:sSup>
            </m:oMath>
            <w:r>
              <w:t xml:space="preserve"> </w:t>
            </w:r>
            <w:r>
              <w:t xml:space="preserve">= 0.81, Deviance explained = 89%) and (b) PDEM (right column evaluating annual frequency occurrence from 0-1 in OTB only, n = 19, Adj. R</w:t>
            </w:r>
            <m:oMath>
              <m:sSup>
                <m:e>
                  <m:r>
                    <m:t>​</m:t>
                  </m:r>
                </m:e>
                <m:sup>
                  <m:r>
                    <m:t>2</m:t>
                  </m:r>
                </m:sup>
              </m:sSup>
            </m:oMath>
            <w:r>
              <w:t xml:space="preserve"> </w:t>
            </w:r>
            <w:r>
              <w:t xml:space="preserve">= 0.69, Deviance explained = 81%) datasets. Partial effects describe the modeled association between each predictor and seagrass change after accounting for the effects of the other predictors. The models also included smoothed interaction terms with year (not shown). See Tables S9 and S10 for additional model fit statistics. OTB: Old Tampa Bay, HB: Hillsborough Bay, MTB: Middle Tampa Bay.</w:t>
            </w:r>
          </w:p>
          <w:bookmarkEnd w:id="76"/>
        </w:tc>
      </w:tr>
    </w:tbl>
    <w:p>
      <w:r>
        <w:br w:type="page"/>
      </w:r>
    </w:p>
    <w:bookmarkEnd w:id="77"/>
    <w:bookmarkStart w:id="82"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78" w:name="tbl-dattab"/>
          <w:p>
            <w:pPr>
              <w:jc w:val="center"/>
            </w:pPr>
            <w:pPr>
              <w:jc w:val="start"/>
              <w:spacing w:before="200"/>
              <w:pStyle w:val="ImageCaption"/>
            </w:pPr>
            <w:r>
              <w:t xml:space="preserve">Table 1: Summary of datasets used for trend analyses and comparisons with seagrass datasets. Temporal and spatial scales are those used for analysis. SWFWMD: Southwest Florida Water Management District, EPC: Environmental Protection Commission of Hillsborough County, FIM: Florida Fish and Wildlife Comission, Fisheries Independent Monitoring, PDEM: Pinellas County Department of Environmental Management.</w:t>
            </w:r>
          </w:p>
          <w:tbl>
            <w:tblPr>
              <w:tblStyle w:val="Table"/>
              <w:tblW w:type="pct" w:w="5000"/>
              <w:tblLook w:firstRow="1" w:lastRow="0" w:firstColumn="0" w:lastColumn="0" w:noHBand="0" w:noVBand="0" w:val="0020"/>
              <w:jc w:val="start"/>
              <w:tblLayout w:type="fixed"/>
            </w:tblPr>
            <w:tblGrid>
              <w:gridCol w:w="650"/>
              <w:gridCol w:w="2136"/>
              <w:gridCol w:w="510"/>
              <w:gridCol w:w="998"/>
              <w:gridCol w:w="3623"/>
            </w:tblGrid>
            <w:tr>
              <w:trPr>
                <w:tblHeader w:val="true"/>
              </w:trPr>
              <w:tc>
                <w:tcPr/>
                <w:p>
                  <w:pPr>
                    <w:pStyle w:val="Compact"/>
                    <w:jc w:val="left"/>
                    <w:jc w:val="center"/>
                  </w:pPr>
                  <w:r>
                    <w:t xml:space="preserve">Dataset</w:t>
                  </w:r>
                </w:p>
              </w:tc>
              <w:tc>
                <w:tcPr/>
                <w:p>
                  <w:pPr>
                    <w:pStyle w:val="Compact"/>
                    <w:jc w:val="left"/>
                    <w:jc w:val="center"/>
                  </w:pPr>
                  <w:r>
                    <w:t xml:space="preserve">Description</w:t>
                  </w:r>
                </w:p>
              </w:tc>
              <w:tc>
                <w:tcPr/>
                <w:p>
                  <w:pPr>
                    <w:pStyle w:val="Compact"/>
                    <w:jc w:val="left"/>
                    <w:jc w:val="center"/>
                  </w:pPr>
                  <w:r>
                    <w:t xml:space="preserve">Temporal</w:t>
                  </w:r>
                </w:p>
              </w:tc>
              <w:tc>
                <w:tcPr/>
                <w:p>
                  <w:pPr>
                    <w:pStyle w:val="Compact"/>
                    <w:jc w:val="left"/>
                    <w:jc w:val="center"/>
                  </w:pPr>
                  <w:r>
                    <w:t xml:space="preserve">Spatial</w:t>
                  </w:r>
                </w:p>
              </w:tc>
              <w:tc>
                <w:tcPr/>
                <w:p>
                  <w:pPr>
                    <w:pStyle w:val="Compact"/>
                    <w:jc w:val="left"/>
                    <w:jc w:val="center"/>
                  </w:pPr>
                  <w:r>
                    <w:t xml:space="preserve">Analysis</w:t>
                  </w:r>
                </w:p>
              </w:tc>
            </w:tr>
            <w:tr>
              <w:tc>
                <w:tcPr/>
                <w:p>
                  <w:pPr>
                    <w:pStyle w:val="Compact"/>
                    <w:jc w:val="left"/>
                    <w:jc w:val="center"/>
                  </w:pPr>
                  <w:r>
                    <w:t xml:space="preserve">SWFWMD aerial maps</w:t>
                  </w:r>
                </w:p>
              </w:tc>
              <w:tc>
                <w:tcPr/>
                <w:p>
                  <w:pPr>
                    <w:pStyle w:val="Compact"/>
                    <w:jc w:val="left"/>
                    <w:jc w:val="center"/>
                  </w:pPr>
                  <w:r>
                    <w:t xml:space="preserve">Seagrass coverage in acres</w:t>
                  </w:r>
                </w:p>
              </w:tc>
              <w:tc>
                <w:tcPr/>
                <w:p>
                  <w:pPr>
                    <w:pStyle w:val="Compact"/>
                    <w:jc w:val="left"/>
                    <w:jc w:val="center"/>
                  </w:pPr>
                  <w:r>
                    <w:t xml:space="preserve">1988 - 2022, biennial</w:t>
                  </w:r>
                </w:p>
              </w:tc>
              <w:tc>
                <w:tcPr/>
                <w:p>
                  <w:pPr>
                    <w:pStyle w:val="Compact"/>
                    <w:jc w:val="left"/>
                    <w:jc w:val="center"/>
                  </w:pPr>
                  <w:r>
                    <w:t xml:space="preserve">Whole bay</w:t>
                  </w:r>
                </w:p>
              </w:tc>
              <w:tc>
                <w:tcPr/>
                <w:p>
                  <w:pPr>
                    <w:pStyle w:val="Compact"/>
                    <w:jc w:val="left"/>
                    <w:jc w:val="center"/>
                  </w:pPr>
                  <w:r>
                    <w:t xml:space="preserve">Biennial trends by bay segment, visual only</w:t>
                  </w:r>
                </w:p>
              </w:tc>
            </w:tr>
            <w:tr>
              <w:tc>
                <w:tcPr/>
                <w:p>
                  <w:pPr>
                    <w:pStyle w:val="Compact"/>
                    <w:jc w:val="left"/>
                    <w:jc w:val="center"/>
                  </w:pPr>
                  <w:r>
                    <w:t xml:space="preserve">Transect data</w:t>
                  </w:r>
                </w:p>
              </w:tc>
              <w:tc>
                <w:tcPr/>
                <w:p>
                  <w:pPr>
                    <w:pStyle w:val="Compact"/>
                    <w:jc w:val="left"/>
                    <w:jc w:val="center"/>
                  </w:pPr>
                  <w:r>
                    <w:t xml:space="preserve">Seagrass frequency occurrence by species</w:t>
                  </w:r>
                </w:p>
              </w:tc>
              <w:tc>
                <w:tcPr/>
                <w:p>
                  <w:pPr>
                    <w:pStyle w:val="Compact"/>
                    <w:jc w:val="left"/>
                    <w:jc w:val="center"/>
                  </w:pPr>
                  <w:r>
                    <w:t xml:space="preserve">1999 - 2022, annual</w:t>
                  </w:r>
                </w:p>
              </w:tc>
              <w:tc>
                <w:tcPr/>
                <w:p>
                  <w:pPr>
                    <w:pStyle w:val="Compact"/>
                    <w:jc w:val="left"/>
                    <w:jc w:val="center"/>
                  </w:pPr>
                  <w:r>
                    <w:t xml:space="preserve">Whole bay, 62 transects</w:t>
                  </w:r>
                </w:p>
              </w:tc>
              <w:tc>
                <w:tcPr/>
                <w:p>
                  <w:pPr>
                    <w:pStyle w:val="Compact"/>
                    <w:jc w:val="left"/>
                    <w:jc w:val="center"/>
                  </w:pPr>
                  <w:r>
                    <w:t xml:space="preserve">Annual trends by bay segment and species, comparison with temperature, salinity, and light attenuation as stressor metrics or observed data at annual scale</w:t>
                  </w:r>
                </w:p>
              </w:tc>
            </w:tr>
            <w:tr>
              <w:tc>
                <w:tcPr/>
                <w:p>
                  <w:pPr>
                    <w:pStyle w:val="Compact"/>
                    <w:jc w:val="left"/>
                    <w:jc w:val="center"/>
                  </w:pPr>
                  <w:r>
                    <w:t xml:space="preserve">EPC</w:t>
                  </w:r>
                </w:p>
              </w:tc>
              <w:tc>
                <w:tcPr/>
                <w:p>
                  <w:pPr>
                    <w:pStyle w:val="Compact"/>
                    <w:jc w:val="left"/>
                    <w:jc w:val="center"/>
                  </w:pPr>
                  <w:r>
                    <w:t xml:space="preserve">Water quality monitoring samples</w:t>
                  </w:r>
                </w:p>
              </w:tc>
              <w:tc>
                <w:tcPr/>
                <w:p>
                  <w:pPr>
                    <w:pStyle w:val="Compact"/>
                    <w:jc w:val="left"/>
                    <w:jc w:val="center"/>
                  </w:pPr>
                  <w:r>
                    <w:t xml:space="preserve">1975 - 2022, monthly</w:t>
                  </w:r>
                </w:p>
              </w:tc>
              <w:tc>
                <w:tcPr/>
                <w:p>
                  <w:pPr>
                    <w:pStyle w:val="Compact"/>
                    <w:jc w:val="left"/>
                    <w:jc w:val="center"/>
                  </w:pPr>
                  <w:r>
                    <w:t xml:space="preserve">Whole bay, fixed sites</w:t>
                  </w:r>
                </w:p>
              </w:tc>
              <w:tc>
                <w:tcPr/>
                <w:p>
                  <w:pPr>
                    <w:pStyle w:val="Compact"/>
                    <w:jc w:val="left"/>
                    <w:jc w:val="center"/>
                  </w:pPr>
                  <w:r>
                    <w:t xml:space="preserve">Trends in annual change and seasonal Kendall tests, estimate of stressor metrics as number of days above/below threshold</w:t>
                  </w:r>
                </w:p>
              </w:tc>
            </w:tr>
            <w:tr>
              <w:tc>
                <w:tcPr/>
                <w:p>
                  <w:pPr>
                    <w:pStyle w:val="Compact"/>
                    <w:jc w:val="left"/>
                    <w:jc w:val="center"/>
                  </w:pPr>
                  <w:r>
                    <w:t xml:space="preserve">FIM</w:t>
                  </w:r>
                </w:p>
              </w:tc>
              <w:tc>
                <w:tcPr/>
                <w:p>
                  <w:pPr>
                    <w:pStyle w:val="Compact"/>
                    <w:jc w:val="left"/>
                    <w:jc w:val="center"/>
                  </w:pPr>
                  <w:r>
                    <w:t xml:space="preserve">Nearshore temperature and salinity, seagrass species and cover</w:t>
                  </w:r>
                </w:p>
              </w:tc>
              <w:tc>
                <w:tcPr/>
                <w:p>
                  <w:pPr>
                    <w:pStyle w:val="Compact"/>
                    <w:jc w:val="left"/>
                    <w:jc w:val="center"/>
                  </w:pPr>
                  <w:r>
                    <w:t xml:space="preserve">1996 to 2022, monthly</w:t>
                  </w:r>
                </w:p>
              </w:tc>
              <w:tc>
                <w:tcPr/>
                <w:p>
                  <w:pPr>
                    <w:pStyle w:val="Compact"/>
                    <w:jc w:val="left"/>
                    <w:jc w:val="center"/>
                  </w:pPr>
                  <w:r>
                    <w:t xml:space="preserve">Whole bay shallow, stratified random sites</w:t>
                  </w:r>
                </w:p>
              </w:tc>
              <w:tc>
                <w:tcPr/>
                <w:p>
                  <w:pPr>
                    <w:pStyle w:val="Compact"/>
                    <w:jc w:val="left"/>
                    <w:jc w:val="center"/>
                  </w:pPr>
                  <w:r>
                    <w:t xml:space="preserve">Trends in annual observed temperature, salinity, comparison to annual seagrass % cover</w:t>
                  </w:r>
                </w:p>
              </w:tc>
            </w:tr>
            <w:tr>
              <w:tc>
                <w:tcPr/>
                <w:p>
                  <w:pPr>
                    <w:pStyle w:val="Compact"/>
                    <w:jc w:val="left"/>
                    <w:jc w:val="center"/>
                  </w:pPr>
                  <w:r>
                    <w:t xml:space="preserve">PDEM</w:t>
                  </w:r>
                </w:p>
              </w:tc>
              <w:tc>
                <w:tcPr/>
                <w:p>
                  <w:pPr>
                    <w:pStyle w:val="Compact"/>
                    <w:jc w:val="left"/>
                    <w:jc w:val="center"/>
                  </w:pPr>
                  <w:r>
                    <w:t xml:space="preserve">Water quality and seagrass presence/absence</w:t>
                  </w:r>
                </w:p>
              </w:tc>
              <w:tc>
                <w:tcPr/>
                <w:p>
                  <w:pPr>
                    <w:pStyle w:val="Compact"/>
                    <w:jc w:val="left"/>
                    <w:jc w:val="center"/>
                  </w:pPr>
                  <w:r>
                    <w:t xml:space="preserve">2003 - 2022, monthly</w:t>
                  </w:r>
                </w:p>
              </w:tc>
              <w:tc>
                <w:tcPr/>
                <w:p>
                  <w:pPr>
                    <w:pStyle w:val="Compact"/>
                    <w:jc w:val="left"/>
                    <w:jc w:val="center"/>
                  </w:pPr>
                  <w:r>
                    <w:t xml:space="preserve">Old Tampa Bay, stratified random sites</w:t>
                  </w:r>
                </w:p>
              </w:tc>
              <w:tc>
                <w:tcPr/>
                <w:p>
                  <w:pPr>
                    <w:pStyle w:val="Compact"/>
                    <w:jc w:val="left"/>
                    <w:jc w:val="center"/>
                  </w:pPr>
                  <w:r>
                    <w:t xml:space="preserve">Trends in annual observed temperature, salinity, comparison to annual seagrass frequency occurrence</w:t>
                  </w:r>
                </w:p>
              </w:tc>
            </w:tr>
            <w:tr>
              <w:tc>
                <w:tcPr/>
                <w:p>
                  <w:pPr>
                    <w:pStyle w:val="Compact"/>
                    <w:jc w:val="left"/>
                    <w:jc w:val="center"/>
                  </w:pPr>
                  <w:r>
                    <w:t xml:space="preserve">Tampa International Airport</w:t>
                  </w:r>
                </w:p>
              </w:tc>
              <w:tc>
                <w:tcPr/>
                <w:p>
                  <w:pPr>
                    <w:pStyle w:val="Compact"/>
                    <w:jc w:val="left"/>
                    <w:jc w:val="center"/>
                  </w:pPr>
                  <w:r>
                    <w:t xml:space="preserve">Air temperature</w:t>
                  </w:r>
                </w:p>
              </w:tc>
              <w:tc>
                <w:tcPr/>
                <w:p>
                  <w:pPr>
                    <w:pStyle w:val="Compact"/>
                    <w:jc w:val="left"/>
                    <w:jc w:val="center"/>
                  </w:pPr>
                  <w:r>
                    <w:t xml:space="preserve">1975 - 2022, annual</w:t>
                  </w:r>
                </w:p>
              </w:tc>
              <w:tc>
                <w:tcPr/>
                <w:p>
                  <w:pPr>
                    <w:pStyle w:val="Compact"/>
                    <w:jc w:val="left"/>
                    <w:jc w:val="center"/>
                  </w:pPr>
                  <w:r>
                    <w:t xml:space="preserve">27.979</w:t>
                  </w:r>
                  <m:oMath>
                    <m:sSup>
                      <m:e>
                        <m:r>
                          <m:t>​</m:t>
                        </m:r>
                      </m:e>
                      <m:sup>
                        <m:r>
                          <m:rPr>
                            <m:sty m:val="p"/>
                          </m:rPr>
                          <m:t>∘</m:t>
                        </m:r>
                      </m:sup>
                    </m:sSup>
                  </m:oMath>
                  <w:r>
                    <w:t xml:space="preserve">N, 82.535</w:t>
                  </w:r>
                  <m:oMath>
                    <m:sSup>
                      <m:e>
                        <m:r>
                          <m:t>​</m:t>
                        </m:r>
                      </m:e>
                      <m:sup>
                        <m:r>
                          <m:rPr>
                            <m:sty m:val="p"/>
                          </m:rPr>
                          <m:t>∘</m:t>
                        </m:r>
                      </m:sup>
                    </m:sSup>
                  </m:oMath>
                  <w:r>
                    <w:t xml:space="preserve">W</w:t>
                  </w:r>
                </w:p>
              </w:tc>
              <w:tc>
                <w:tcPr/>
                <w:p>
                  <w:pPr>
                    <w:pStyle w:val="Compact"/>
                    <w:jc w:val="left"/>
                    <w:jc w:val="center"/>
                  </w:pPr>
                  <w:r>
                    <w:t xml:space="preserve">Annual trend</w:t>
                  </w:r>
                </w:p>
              </w:tc>
            </w:tr>
            <w:tr>
              <w:tc>
                <w:tcPr/>
                <w:p>
                  <w:pPr>
                    <w:pStyle w:val="Compact"/>
                    <w:jc w:val="left"/>
                    <w:jc w:val="center"/>
                  </w:pPr>
                  <w:r>
                    <w:t xml:space="preserve">SWFWMD precipitation</w:t>
                  </w:r>
                </w:p>
              </w:tc>
              <w:tc>
                <w:tcPr/>
                <w:p>
                  <w:pPr>
                    <w:pStyle w:val="Compact"/>
                    <w:jc w:val="left"/>
                    <w:jc w:val="center"/>
                  </w:pPr>
                  <w:r>
                    <w:t xml:space="preserve">Area-weighted precipitation for the wet season (June-September) for the Tampa Bay watershed</w:t>
                  </w:r>
                </w:p>
              </w:tc>
              <w:tc>
                <w:tcPr/>
                <w:p>
                  <w:pPr>
                    <w:pStyle w:val="Compact"/>
                    <w:jc w:val="left"/>
                    <w:jc w:val="center"/>
                  </w:pPr>
                  <w:r>
                    <w:t xml:space="preserve">1975-2022, annual</w:t>
                  </w:r>
                </w:p>
              </w:tc>
              <w:tc>
                <w:tcPr/>
                <w:p>
                  <w:pPr>
                    <w:pStyle w:val="Compact"/>
                    <w:jc w:val="left"/>
                    <w:jc w:val="center"/>
                  </w:pPr>
                  <w:r>
                    <w:t xml:space="preserve">Whole watershed</w:t>
                  </w:r>
                </w:p>
              </w:tc>
              <w:tc>
                <w:tcPr/>
                <w:p>
                  <w:pPr>
                    <w:pStyle w:val="Compact"/>
                    <w:jc w:val="left"/>
                    <w:jc w:val="center"/>
                  </w:pPr>
                  <w:r>
                    <w:t xml:space="preserve">Annual trend</w:t>
                  </w:r>
                </w:p>
              </w:tc>
            </w:tr>
          </w:tbl>
          <w:bookmarkEnd w:id="78"/>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9" w:name="tbl-temptrndtab"/>
          <w:p>
            <w:pPr>
              <w:jc w:val="center"/>
            </w:pPr>
            <w:pPr>
              <w:jc w:val="start"/>
              <w:spacing w:before="200"/>
              <w:pStyle w:val="ImageCaption"/>
            </w:pPr>
            <w:r>
              <w:t xml:space="preserve">Table 2: Bottom temperature trends (</w:t>
            </w:r>
            <m:oMath>
              <m:sSup>
                <m:e>
                  <m:r>
                    <m:t>​</m:t>
                  </m:r>
                </m:e>
                <m:sup>
                  <m:r>
                    <m:rPr>
                      <m:sty m:val="p"/>
                    </m:rPr>
                    <m:t>∘</m:t>
                  </m:r>
                </m:sup>
              </m:sSup>
            </m:oMath>
            <w:r>
              <w:t xml:space="preserve">C) by bay segments and datasets. Change per year is the model slope with standard error in parentheses. Start year describes the range of the trend test to 2022 (1975: n = 48, 1996: n = 27, 2004: n = 19). The starting value is the estimated temperature at the start year and the end value is the estimated temperature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0.03 (0.01)</w:t>
                  </w:r>
                </w:p>
              </w:tc>
              <w:tc>
                <w:tcPr/>
                <w:p>
                  <w:pPr>
                    <w:pStyle w:val="Compact"/>
                    <w:jc w:val="right"/>
                    <w:jc w:val="center"/>
                  </w:pPr>
                  <w:r>
                    <w:t xml:space="preserve">23.4</w:t>
                  </w:r>
                </w:p>
              </w:tc>
              <w:tc>
                <w:tcPr/>
                <w:p>
                  <w:pPr>
                    <w:pStyle w:val="Compact"/>
                    <w:jc w:val="right"/>
                    <w:jc w:val="center"/>
                  </w:pPr>
                  <w:r>
                    <w:t xml:space="preserve">24.7</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0.04 (0.01)</w:t>
                  </w:r>
                </w:p>
              </w:tc>
              <w:tc>
                <w:tcPr/>
                <w:p>
                  <w:pPr>
                    <w:pStyle w:val="Compact"/>
                    <w:jc w:val="right"/>
                    <w:jc w:val="center"/>
                  </w:pPr>
                  <w:r>
                    <w:t xml:space="preserve">23.4</w:t>
                  </w:r>
                </w:p>
              </w:tc>
              <w:tc>
                <w:tcPr/>
                <w:p>
                  <w:pPr>
                    <w:pStyle w:val="Compact"/>
                    <w:jc w:val="right"/>
                    <w:jc w:val="center"/>
                  </w:pPr>
                  <w:r>
                    <w:t xml:space="preserve">25.1</w:t>
                  </w:r>
                </w:p>
              </w:tc>
              <w:tc>
                <w:tcPr/>
                <w:p>
                  <w:pPr>
                    <w:pStyle w:val="Compact"/>
                    <w:jc w:val="right"/>
                    <w:jc w:val="center"/>
                  </w:pPr>
                  <w:r>
                    <w:t xml:space="preserve">1.7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 (0.01)</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 (0.01)</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0.04 (0.02)</w:t>
                  </w:r>
                </w:p>
              </w:tc>
              <w:tc>
                <w:tcPr/>
                <w:p>
                  <w:pPr>
                    <w:pStyle w:val="Compact"/>
                    <w:jc w:val="right"/>
                    <w:jc w:val="center"/>
                  </w:pPr>
                  <w:r>
                    <w:t xml:space="preserve">23.6</w:t>
                  </w:r>
                </w:p>
              </w:tc>
              <w:tc>
                <w:tcPr/>
                <w:p>
                  <w:pPr>
                    <w:pStyle w:val="Compact"/>
                    <w:jc w:val="right"/>
                    <w:jc w:val="center"/>
                  </w:pPr>
                  <w:r>
                    <w:t xml:space="preserve">24.8</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(0.02)</w:t>
                  </w:r>
                </w:p>
              </w:tc>
              <w:tc>
                <w:tcPr/>
                <w:p>
                  <w:pPr>
                    <w:pStyle w:val="Compact"/>
                    <w:jc w:val="right"/>
                    <w:jc w:val="center"/>
                  </w:pPr>
                  <w:r>
                    <w:t xml:space="preserve">23.5</w:t>
                  </w:r>
                </w:p>
              </w:tc>
              <w:tc>
                <w:tcPr/>
                <w:p>
                  <w:pPr>
                    <w:pStyle w:val="Compact"/>
                    <w:jc w:val="right"/>
                    <w:jc w:val="center"/>
                  </w:pPr>
                  <w:r>
                    <w:t xml:space="preserve">24.8</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0.06 (0.01)</w:t>
                  </w:r>
                </w:p>
              </w:tc>
              <w:tc>
                <w:tcPr/>
                <w:p>
                  <w:pPr>
                    <w:pStyle w:val="Compact"/>
                    <w:jc w:val="right"/>
                    <w:jc w:val="center"/>
                  </w:pPr>
                  <w:r>
                    <w:t xml:space="preserve">23.8</w:t>
                  </w:r>
                </w:p>
              </w:tc>
              <w:tc>
                <w:tcPr/>
                <w:p>
                  <w:pPr>
                    <w:pStyle w:val="Compact"/>
                    <w:jc w:val="right"/>
                    <w:jc w:val="center"/>
                  </w:pPr>
                  <w:r>
                    <w:t xml:space="preserve">25.3</w:t>
                  </w:r>
                </w:p>
              </w:tc>
              <w:tc>
                <w:tcPr/>
                <w:p>
                  <w:pPr>
                    <w:pStyle w:val="Compact"/>
                    <w:jc w:val="right"/>
                    <w:jc w:val="center"/>
                  </w:pPr>
                  <w:r>
                    <w:t xml:space="preserve">1.5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(0.02)</w:t>
                  </w:r>
                </w:p>
              </w:tc>
              <w:tc>
                <w:tcPr/>
                <w:p>
                  <w:pPr>
                    <w:pStyle w:val="Compact"/>
                    <w:jc w:val="right"/>
                    <w:jc w:val="center"/>
                  </w:pPr>
                  <w:r>
                    <w:t xml:space="preserve">24.0</w:t>
                  </w:r>
                </w:p>
              </w:tc>
              <w:tc>
                <w:tcPr/>
                <w:p>
                  <w:pPr>
                    <w:pStyle w:val="Compact"/>
                    <w:jc w:val="right"/>
                    <w:jc w:val="center"/>
                  </w:pPr>
                  <w:r>
                    <w:t xml:space="preserve">25.3</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 (0.01)</w:t>
                  </w:r>
                </w:p>
              </w:tc>
              <w:tc>
                <w:tcPr/>
                <w:p>
                  <w:pPr>
                    <w:pStyle w:val="Compact"/>
                    <w:jc w:val="right"/>
                    <w:jc w:val="center"/>
                  </w:pPr>
                  <w:r>
                    <w:t xml:space="preserve">23.8</w:t>
                  </w:r>
                </w:p>
              </w:tc>
              <w:tc>
                <w:tcPr/>
                <w:p>
                  <w:pPr>
                    <w:pStyle w:val="Compact"/>
                    <w:jc w:val="right"/>
                    <w:jc w:val="center"/>
                  </w:pPr>
                  <w:r>
                    <w:t xml:space="preserve">24.8</w:t>
                  </w:r>
                </w:p>
              </w:tc>
              <w:tc>
                <w:tcPr/>
                <w:p>
                  <w:pPr>
                    <w:pStyle w:val="Compact"/>
                    <w:jc w:val="right"/>
                    <w:jc w:val="center"/>
                  </w:pPr>
                  <w:r>
                    <w:t xml:space="preserve">1.0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 (0.02)</w:t>
                  </w:r>
                </w:p>
              </w:tc>
              <w:tc>
                <w:tcPr/>
                <w:p>
                  <w:pPr>
                    <w:pStyle w:val="Compact"/>
                    <w:jc w:val="right"/>
                    <w:jc w:val="center"/>
                  </w:pPr>
                  <w:r>
                    <w:t xml:space="preserve">24.0</w:t>
                  </w:r>
                </w:p>
              </w:tc>
              <w:tc>
                <w:tcPr/>
                <w:p>
                  <w:pPr>
                    <w:pStyle w:val="Compact"/>
                    <w:jc w:val="right"/>
                    <w:jc w:val="center"/>
                  </w:pPr>
                  <w:r>
                    <w:t xml:space="preserve">24.8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 (0.01)</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 (0.02)</w:t>
                  </w:r>
                </w:p>
              </w:tc>
              <w:tc>
                <w:tcPr/>
                <w:p>
                  <w:pPr>
                    <w:pStyle w:val="Compact"/>
                    <w:jc w:val="right"/>
                    <w:jc w:val="center"/>
                  </w:pPr>
                  <w:r>
                    <w:t xml:space="preserve">24.1</w:t>
                  </w:r>
                </w:p>
              </w:tc>
              <w:tc>
                <w:tcPr/>
                <w:p>
                  <w:pPr>
                    <w:pStyle w:val="Compact"/>
                    <w:jc w:val="right"/>
                    <w:jc w:val="center"/>
                  </w:pPr>
                  <w:r>
                    <w:t xml:space="preserve">24.6</w:t>
                  </w:r>
                </w:p>
              </w:tc>
              <w:tc>
                <w:tcPr/>
                <w:p>
                  <w:pPr>
                    <w:pStyle w:val="Compact"/>
                    <w:jc w:val="right"/>
                    <w:jc w:val="center"/>
                  </w:pPr>
                  <w:r>
                    <w:t xml:space="preserve">0.5</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 (0.02)</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0.06 (0.03)</w:t>
                  </w:r>
                </w:p>
              </w:tc>
              <w:tc>
                <w:tcPr/>
                <w:p>
                  <w:pPr>
                    <w:pStyle w:val="Compact"/>
                    <w:jc w:val="right"/>
                    <w:jc w:val="center"/>
                  </w:pPr>
                  <w:r>
                    <w:t xml:space="preserve">23.8</w:t>
                  </w:r>
                </w:p>
              </w:tc>
              <w:tc>
                <w:tcPr/>
                <w:p>
                  <w:pPr>
                    <w:pStyle w:val="Compact"/>
                    <w:jc w:val="right"/>
                    <w:jc w:val="center"/>
                  </w:pPr>
                  <w:r>
                    <w:t xml:space="preserve">24.9</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0.04 (0.03)</w:t>
                  </w:r>
                </w:p>
              </w:tc>
              <w:tc>
                <w:tcPr/>
                <w:p>
                  <w:pPr>
                    <w:pStyle w:val="Compact"/>
                    <w:jc w:val="right"/>
                    <w:jc w:val="center"/>
                  </w:pPr>
                  <w:r>
                    <w:t xml:space="preserve">24.4</w:t>
                  </w:r>
                </w:p>
              </w:tc>
              <w:tc>
                <w:tcPr/>
                <w:p>
                  <w:pPr>
                    <w:pStyle w:val="Compact"/>
                    <w:jc w:val="right"/>
                    <w:jc w:val="center"/>
                  </w:pPr>
                  <w:r>
                    <w:t xml:space="preserve">25.2</w:t>
                  </w:r>
                </w:p>
              </w:tc>
              <w:tc>
                <w:tcPr/>
                <w:p>
                  <w:pPr>
                    <w:pStyle w:val="Compact"/>
                    <w:jc w:val="right"/>
                    <w:jc w:val="center"/>
                  </w:pPr>
                  <w:r>
                    <w:t xml:space="preserve">0.8</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0.09 (0.02)</w:t>
                  </w:r>
                </w:p>
              </w:tc>
              <w:tc>
                <w:tcPr/>
                <w:p>
                  <w:pPr>
                    <w:pStyle w:val="Compact"/>
                    <w:jc w:val="right"/>
                    <w:jc w:val="center"/>
                  </w:pPr>
                  <w:r>
                    <w:t xml:space="preserve">23.9</w:t>
                  </w:r>
                </w:p>
              </w:tc>
              <w:tc>
                <w:tcPr/>
                <w:p>
                  <w:pPr>
                    <w:pStyle w:val="Compact"/>
                    <w:jc w:val="right"/>
                    <w:jc w:val="center"/>
                  </w:pPr>
                  <w:r>
                    <w:t xml:space="preserve">25.5</w:t>
                  </w:r>
                </w:p>
              </w:tc>
              <w:tc>
                <w:tcPr/>
                <w:p>
                  <w:pPr>
                    <w:pStyle w:val="Compact"/>
                    <w:jc w:val="right"/>
                    <w:jc w:val="center"/>
                  </w:pPr>
                  <w:r>
                    <w:t xml:space="preserve">1.6</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 (0.04)</w:t>
                  </w:r>
                </w:p>
              </w:tc>
              <w:tc>
                <w:tcPr/>
                <w:p>
                  <w:pPr>
                    <w:pStyle w:val="Compact"/>
                    <w:jc w:val="right"/>
                    <w:jc w:val="center"/>
                  </w:pPr>
                  <w:r>
                    <w:t xml:space="preserve">23.9</w:t>
                  </w:r>
                </w:p>
              </w:tc>
              <w:tc>
                <w:tcPr/>
                <w:p>
                  <w:pPr>
                    <w:pStyle w:val="Compact"/>
                    <w:jc w:val="right"/>
                    <w:jc w:val="center"/>
                  </w:pPr>
                  <w:r>
                    <w:t xml:space="preserve">25.7</w:t>
                  </w:r>
                </w:p>
              </w:tc>
              <w:tc>
                <w:tcPr/>
                <w:p>
                  <w:pPr>
                    <w:pStyle w:val="Compact"/>
                    <w:jc w:val="right"/>
                    <w:jc w:val="center"/>
                  </w:pPr>
                  <w:r>
                    <w:t xml:space="preserve">1.8</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 (0.02)</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 (0.04)</w:t>
                  </w:r>
                </w:p>
              </w:tc>
              <w:tc>
                <w:tcPr/>
                <w:p>
                  <w:pPr>
                    <w:pStyle w:val="Compact"/>
                    <w:jc w:val="right"/>
                    <w:jc w:val="center"/>
                  </w:pPr>
                  <w:r>
                    <w:t xml:space="preserve">23.8</w:t>
                  </w:r>
                </w:p>
              </w:tc>
              <w:tc>
                <w:tcPr/>
                <w:p>
                  <w:pPr>
                    <w:pStyle w:val="Compact"/>
                    <w:jc w:val="right"/>
                    <w:jc w:val="center"/>
                  </w:pPr>
                  <w:r>
                    <w:t xml:space="preserve">25.1</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0.06 (0.02)</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(0.03)</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bl>
          <w:bookmarkEnd w:id="79"/>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80" w:name="tbl-saltrndtab"/>
          <w:p>
            <w:pPr>
              <w:jc w:val="center"/>
            </w:pPr>
            <w:pPr>
              <w:jc w:val="start"/>
              <w:spacing w:before="200"/>
              <w:pStyle w:val="ImageCaption"/>
            </w:pPr>
            <w:r>
              <w:t xml:space="preserve">Table 3: Bottom salinity trends (ppt) by bay segments and datasets. Change per year is the model slope with standard error in parentheses. Start year describes the range of the trend test to 2022 (1975: n = 48, 1996: n = 27, 2004: n = 19). The starting value is the estimated salinity at the start year and the end value is the estimated salinity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 (0.03)</w:t>
                  </w:r>
                </w:p>
              </w:tc>
              <w:tc>
                <w:tcPr/>
                <w:p>
                  <w:pPr>
                    <w:pStyle w:val="Compact"/>
                    <w:jc w:val="right"/>
                    <w:jc w:val="center"/>
                  </w:pPr>
                  <w:r>
                    <w:t xml:space="preserve">25.7</w:t>
                  </w:r>
                </w:p>
              </w:tc>
              <w:tc>
                <w:tcPr/>
                <w:p>
                  <w:pPr>
                    <w:pStyle w:val="Compact"/>
                    <w:jc w:val="right"/>
                    <w:jc w:val="center"/>
                  </w:pPr>
                  <w:r>
                    <w:t xml:space="preserve">23.1</w:t>
                  </w:r>
                </w:p>
              </w:tc>
              <w:tc>
                <w:tcPr/>
                <w:p>
                  <w:pPr>
                    <w:pStyle w:val="Compact"/>
                    <w:jc w:val="right"/>
                    <w:jc w:val="center"/>
                  </w:pPr>
                  <w:r>
                    <w:t xml:space="preserve">-2.6</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-0.01 (0.02)</w:t>
                  </w:r>
                </w:p>
              </w:tc>
              <w:tc>
                <w:tcPr/>
                <w:p>
                  <w:pPr>
                    <w:pStyle w:val="Compact"/>
                    <w:jc w:val="right"/>
                    <w:jc w:val="center"/>
                  </w:pPr>
                  <w:r>
                    <w:t xml:space="preserve">25.4</w:t>
                  </w:r>
                </w:p>
              </w:tc>
              <w:tc>
                <w:tcPr/>
                <w:p>
                  <w:pPr>
                    <w:pStyle w:val="Compact"/>
                    <w:jc w:val="right"/>
                    <w:jc w:val="center"/>
                  </w:pPr>
                  <w:r>
                    <w:t xml:space="preserve">24.7</w:t>
                  </w:r>
                </w:p>
              </w:tc>
              <w:tc>
                <w:tcPr/>
                <w:p>
                  <w:pPr>
                    <w:pStyle w:val="Compact"/>
                    <w:jc w:val="right"/>
                    <w:jc w:val="center"/>
                  </w:pPr>
                  <w:r>
                    <w:t xml:space="preserve">-0.7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 (0.02)</w:t>
                  </w:r>
                </w:p>
              </w:tc>
              <w:tc>
                <w:tcPr/>
                <w:p>
                  <w:pPr>
                    <w:pStyle w:val="Compact"/>
                    <w:jc w:val="right"/>
                    <w:jc w:val="center"/>
                  </w:pPr>
                  <w:r>
                    <w:t xml:space="preserve">28.0</w:t>
                  </w:r>
                </w:p>
              </w:tc>
              <w:tc>
                <w:tcPr/>
                <w:p>
                  <w:pPr>
                    <w:pStyle w:val="Compact"/>
                    <w:jc w:val="right"/>
                    <w:jc w:val="center"/>
                  </w:pPr>
                  <w:r>
                    <w:t xml:space="preserve">26.7</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 (0.01)</w:t>
                  </w:r>
                </w:p>
              </w:tc>
              <w:tc>
                <w:tcPr/>
                <w:p>
                  <w:pPr>
                    <w:pStyle w:val="Compact"/>
                    <w:jc w:val="right"/>
                    <w:jc w:val="center"/>
                  </w:pPr>
                  <w:r>
                    <w:t xml:space="preserve">33.1</w:t>
                  </w:r>
                </w:p>
              </w:tc>
              <w:tc>
                <w:tcPr/>
                <w:p>
                  <w:pPr>
                    <w:pStyle w:val="Compact"/>
                    <w:jc w:val="right"/>
                    <w:jc w:val="center"/>
                  </w:pPr>
                  <w:r>
                    <w:t xml:space="preserve">31.5</w:t>
                  </w:r>
                </w:p>
              </w:tc>
              <w:tc>
                <w:tcPr/>
                <w:p>
                  <w:pPr>
                    <w:pStyle w:val="Compact"/>
                    <w:jc w:val="right"/>
                    <w:jc w:val="center"/>
                  </w:pPr>
                  <w:r>
                    <w:t xml:space="preserve">-1.6</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-0.08 (0.07)</w:t>
                  </w:r>
                </w:p>
              </w:tc>
              <w:tc>
                <w:tcPr/>
                <w:p>
                  <w:pPr>
                    <w:pStyle w:val="Compact"/>
                    <w:jc w:val="right"/>
                    <w:jc w:val="center"/>
                  </w:pPr>
                  <w:r>
                    <w:t xml:space="preserve">24.9</w:t>
                  </w:r>
                </w:p>
              </w:tc>
              <w:tc>
                <w:tcPr/>
                <w:p>
                  <w:pPr>
                    <w:pStyle w:val="Compact"/>
                    <w:jc w:val="right"/>
                    <w:jc w:val="center"/>
                  </w:pPr>
                  <w:r>
                    <w:t xml:space="preserve">22.8</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(0.08)</w:t>
                  </w:r>
                </w:p>
              </w:tc>
              <w:tc>
                <w:tcPr/>
                <w:p>
                  <w:pPr>
                    <w:pStyle w:val="Compact"/>
                    <w:jc w:val="right"/>
                    <w:jc w:val="center"/>
                  </w:pPr>
                  <w:r>
                    <w:t xml:space="preserve">24.1</w:t>
                  </w:r>
                </w:p>
              </w:tc>
              <w:tc>
                <w:tcPr/>
                <w:p>
                  <w:pPr>
                    <w:pStyle w:val="Compact"/>
                    <w:jc w:val="right"/>
                    <w:jc w:val="center"/>
                  </w:pPr>
                  <w:r>
                    <w:t xml:space="preserve">22.7</w:t>
                  </w:r>
                </w:p>
              </w:tc>
              <w:tc>
                <w:tcPr/>
                <w:p>
                  <w:pPr>
                    <w:pStyle w:val="Compact"/>
                    <w:jc w:val="right"/>
                    <w:jc w:val="center"/>
                  </w:pPr>
                  <w:r>
                    <w:t xml:space="preserve">-1.4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-0.08 (0.07)</w:t>
                  </w:r>
                </w:p>
              </w:tc>
              <w:tc>
                <w:tcPr/>
                <w:p>
                  <w:pPr>
                    <w:pStyle w:val="Compact"/>
                    <w:jc w:val="right"/>
                    <w:jc w:val="center"/>
                  </w:pPr>
                  <w:r>
                    <w:t xml:space="preserve">26.1</w:t>
                  </w:r>
                </w:p>
              </w:tc>
              <w:tc>
                <w:tcPr/>
                <w:p>
                  <w:pPr>
                    <w:pStyle w:val="Compact"/>
                    <w:jc w:val="right"/>
                    <w:jc w:val="center"/>
                  </w:pPr>
                  <w:r>
                    <w:t xml:space="preserve">23.9</w:t>
                  </w:r>
                </w:p>
              </w:tc>
              <w:tc>
                <w:tcPr/>
                <w:p>
                  <w:pPr>
                    <w:pStyle w:val="Compact"/>
                    <w:jc w:val="right"/>
                    <w:jc w:val="center"/>
                  </w:pPr>
                  <w:r>
                    <w:t xml:space="preserve">-2.2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 (0.08)</w:t>
                  </w:r>
                </w:p>
              </w:tc>
              <w:tc>
                <w:tcPr/>
                <w:p>
                  <w:pPr>
                    <w:pStyle w:val="Compact"/>
                    <w:jc w:val="right"/>
                    <w:jc w:val="center"/>
                  </w:pPr>
                  <w:r>
                    <w:t xml:space="preserve">24.0</w:t>
                  </w:r>
                </w:p>
              </w:tc>
              <w:tc>
                <w:tcPr/>
                <w:p>
                  <w:pPr>
                    <w:pStyle w:val="Compact"/>
                    <w:jc w:val="right"/>
                    <w:jc w:val="center"/>
                  </w:pPr>
                  <w:r>
                    <w:t xml:space="preserve">23.9</w:t>
                  </w:r>
                </w:p>
              </w:tc>
              <w:tc>
                <w:tcPr/>
                <w:p>
                  <w:pPr>
                    <w:pStyle w:val="Compact"/>
                    <w:jc w:val="right"/>
                    <w:jc w:val="center"/>
                  </w:pPr>
                  <w:r>
                    <w:t xml:space="preserve">-0.1</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 (0.05)</w:t>
                  </w:r>
                </w:p>
              </w:tc>
              <w:tc>
                <w:tcPr/>
                <w:p>
                  <w:pPr>
                    <w:pStyle w:val="Compact"/>
                    <w:jc w:val="right"/>
                    <w:jc w:val="center"/>
                  </w:pPr>
                  <w:r>
                    <w:t xml:space="preserve">28.0</w:t>
                  </w:r>
                </w:p>
              </w:tc>
              <w:tc>
                <w:tcPr/>
                <w:p>
                  <w:pPr>
                    <w:pStyle w:val="Compact"/>
                    <w:jc w:val="right"/>
                    <w:jc w:val="center"/>
                  </w:pPr>
                  <w:r>
                    <w:t xml:space="preserve">26.3</w:t>
                  </w:r>
                </w:p>
              </w:tc>
              <w:tc>
                <w:tcPr/>
                <w:p>
                  <w:pPr>
                    <w:pStyle w:val="Compact"/>
                    <w:jc w:val="right"/>
                    <w:jc w:val="center"/>
                  </w:pPr>
                  <w:r>
                    <w:t xml:space="preserve">-1.7</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 (0.06)</w:t>
                  </w:r>
                </w:p>
              </w:tc>
              <w:tc>
                <w:tcPr/>
                <w:p>
                  <w:pPr>
                    <w:pStyle w:val="Compact"/>
                    <w:jc w:val="right"/>
                    <w:jc w:val="center"/>
                  </w:pPr>
                  <w:r>
                    <w:t xml:space="preserve">26.6</w:t>
                  </w:r>
                </w:p>
              </w:tc>
              <w:tc>
                <w:tcPr/>
                <w:p>
                  <w:pPr>
                    <w:pStyle w:val="Compact"/>
                    <w:jc w:val="right"/>
                    <w:jc w:val="center"/>
                  </w:pPr>
                  <w:r>
                    <w:t xml:space="preserve">25.8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 (0.03)</w:t>
                  </w:r>
                </w:p>
              </w:tc>
              <w:tc>
                <w:tcPr/>
                <w:p>
                  <w:pPr>
                    <w:pStyle w:val="Compact"/>
                    <w:jc w:val="right"/>
                    <w:jc w:val="center"/>
                  </w:pPr>
                  <w:r>
                    <w:t xml:space="preserve">32.5</w:t>
                  </w:r>
                </w:p>
              </w:tc>
              <w:tc>
                <w:tcPr/>
                <w:p>
                  <w:pPr>
                    <w:pStyle w:val="Compact"/>
                    <w:jc w:val="right"/>
                    <w:jc w:val="center"/>
                  </w:pPr>
                  <w:r>
                    <w:t xml:space="preserve">31.4</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0.01 (0.04)</w:t>
                  </w:r>
                </w:p>
              </w:tc>
              <w:tc>
                <w:tcPr/>
                <w:p>
                  <w:pPr>
                    <w:pStyle w:val="Compact"/>
                    <w:jc w:val="right"/>
                    <w:jc w:val="center"/>
                  </w:pPr>
                  <w:r>
                    <w:t xml:space="preserve">31.6</w:t>
                  </w:r>
                </w:p>
              </w:tc>
              <w:tc>
                <w:tcPr/>
                <w:p>
                  <w:pPr>
                    <w:pStyle w:val="Compact"/>
                    <w:jc w:val="right"/>
                    <w:jc w:val="center"/>
                  </w:pPr>
                  <w:r>
                    <w:t xml:space="preserve">32.0</w:t>
                  </w:r>
                </w:p>
              </w:tc>
              <w:tc>
                <w:tcPr/>
                <w:p>
                  <w:pPr>
                    <w:pStyle w:val="Compact"/>
                    <w:jc w:val="right"/>
                    <w:jc w:val="center"/>
                  </w:pPr>
                  <w:r>
                    <w:t xml:space="preserve">0.4</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-0.2 (0.09)</w:t>
                  </w:r>
                </w:p>
              </w:tc>
              <w:tc>
                <w:tcPr/>
                <w:p>
                  <w:pPr>
                    <w:pStyle w:val="Compact"/>
                    <w:jc w:val="right"/>
                    <w:jc w:val="center"/>
                  </w:pPr>
                  <w:r>
                    <w:t xml:space="preserve">25.5</w:t>
                  </w:r>
                </w:p>
              </w:tc>
              <w:tc>
                <w:tcPr/>
                <w:p>
                  <w:pPr>
                    <w:pStyle w:val="Compact"/>
                    <w:jc w:val="right"/>
                    <w:jc w:val="center"/>
                  </w:pPr>
                  <w:r>
                    <w:t xml:space="preserve">22.0</w:t>
                  </w:r>
                </w:p>
              </w:tc>
              <w:tc>
                <w:tcPr/>
                <w:p>
                  <w:pPr>
                    <w:pStyle w:val="Compact"/>
                    <w:jc w:val="right"/>
                    <w:jc w:val="center"/>
                  </w:pPr>
                  <w:r>
                    <w:t xml:space="preserve">-3.5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-0.15 (0.09)</w:t>
                  </w:r>
                </w:p>
              </w:tc>
              <w:tc>
                <w:tcPr/>
                <w:p>
                  <w:pPr>
                    <w:pStyle w:val="Compact"/>
                    <w:jc w:val="right"/>
                    <w:jc w:val="center"/>
                  </w:pPr>
                  <w:r>
                    <w:t xml:space="preserve">24.6</w:t>
                  </w:r>
                </w:p>
              </w:tc>
              <w:tc>
                <w:tcPr/>
                <w:p>
                  <w:pPr>
                    <w:pStyle w:val="Compact"/>
                    <w:jc w:val="right"/>
                    <w:jc w:val="center"/>
                  </w:pPr>
                  <w:r>
                    <w:t xml:space="preserve">22.0</w:t>
                  </w:r>
                </w:p>
              </w:tc>
              <w:tc>
                <w:tcPr/>
                <w:p>
                  <w:pPr>
                    <w:pStyle w:val="Compact"/>
                    <w:jc w:val="right"/>
                    <w:jc w:val="center"/>
                  </w:pPr>
                  <w:r>
                    <w:t xml:space="preserve">-2.6</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-0.19 (0.1)</w:t>
                  </w:r>
                </w:p>
              </w:tc>
              <w:tc>
                <w:tcPr/>
                <w:p>
                  <w:pPr>
                    <w:pStyle w:val="Compact"/>
                    <w:jc w:val="right"/>
                    <w:jc w:val="center"/>
                  </w:pPr>
                  <w:r>
                    <w:t xml:space="preserve">24.3</w:t>
                  </w:r>
                </w:p>
              </w:tc>
              <w:tc>
                <w:tcPr/>
                <w:p>
                  <w:pPr>
                    <w:pStyle w:val="Compact"/>
                    <w:jc w:val="right"/>
                    <w:jc w:val="center"/>
                  </w:pPr>
                  <w:r>
                    <w:t xml:space="preserve">20.9</w:t>
                  </w:r>
                </w:p>
              </w:tc>
              <w:tc>
                <w:tcPr/>
                <w:p>
                  <w:pPr>
                    <w:pStyle w:val="Compact"/>
                    <w:jc w:val="right"/>
                    <w:jc w:val="center"/>
                  </w:pPr>
                  <w:r>
                    <w:t xml:space="preserve">-3.4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-0.19 (0.08)</w:t>
                  </w:r>
                </w:p>
              </w:tc>
              <w:tc>
                <w:tcPr/>
                <w:p>
                  <w:pPr>
                    <w:pStyle w:val="Compact"/>
                    <w:jc w:val="right"/>
                    <w:jc w:val="center"/>
                  </w:pPr>
                  <w:r>
                    <w:t xml:space="preserve">26.5</w:t>
                  </w:r>
                </w:p>
              </w:tc>
              <w:tc>
                <w:tcPr/>
                <w:p>
                  <w:pPr>
                    <w:pStyle w:val="Compact"/>
                    <w:jc w:val="right"/>
                    <w:jc w:val="center"/>
                  </w:pPr>
                  <w:r>
                    <w:t xml:space="preserve">23.1</w:t>
                  </w:r>
                </w:p>
              </w:tc>
              <w:tc>
                <w:tcPr/>
                <w:p>
                  <w:pPr>
                    <w:pStyle w:val="Compact"/>
                    <w:jc w:val="right"/>
                    <w:jc w:val="center"/>
                  </w:pPr>
                  <w:r>
                    <w:t xml:space="preserve">-3.4</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-0.08 (0.1)</w:t>
                  </w:r>
                </w:p>
              </w:tc>
              <w:tc>
                <w:tcPr/>
                <w:p>
                  <w:pPr>
                    <w:pStyle w:val="Compact"/>
                    <w:jc w:val="right"/>
                    <w:jc w:val="center"/>
                  </w:pPr>
                  <w:r>
                    <w:t xml:space="preserve">24.7</w:t>
                  </w:r>
                </w:p>
              </w:tc>
              <w:tc>
                <w:tcPr/>
                <w:p>
                  <w:pPr>
                    <w:pStyle w:val="Compact"/>
                    <w:jc w:val="right"/>
                    <w:jc w:val="center"/>
                  </w:pPr>
                  <w:r>
                    <w:t xml:space="preserve">23.4</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-0.17 (0.07)</w:t>
                  </w:r>
                </w:p>
              </w:tc>
              <w:tc>
                <w:tcPr/>
                <w:p>
                  <w:pPr>
                    <w:pStyle w:val="Compact"/>
                    <w:jc w:val="right"/>
                    <w:jc w:val="center"/>
                  </w:pPr>
                  <w:r>
                    <w:t xml:space="preserve">28.6</w:t>
                  </w:r>
                </w:p>
              </w:tc>
              <w:tc>
                <w:tcPr/>
                <w:p>
                  <w:pPr>
                    <w:pStyle w:val="Compact"/>
                    <w:jc w:val="right"/>
                    <w:jc w:val="center"/>
                  </w:pPr>
                  <w:r>
                    <w:t xml:space="preserve">25.6</w:t>
                  </w:r>
                </w:p>
              </w:tc>
              <w:tc>
                <w:tcPr/>
                <w:p>
                  <w:pPr>
                    <w:pStyle w:val="Compact"/>
                    <w:jc w:val="right"/>
                    <w:jc w:val="center"/>
                  </w:pPr>
                  <w:r>
                    <w:t xml:space="preserve">-3.0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-0.11 (0.08)</w:t>
                  </w:r>
                </w:p>
              </w:tc>
              <w:tc>
                <w:tcPr/>
                <w:p>
                  <w:pPr>
                    <w:pStyle w:val="Compact"/>
                    <w:jc w:val="right"/>
                    <w:jc w:val="center"/>
                  </w:pPr>
                  <w:r>
                    <w:t xml:space="preserve">27.2</w:t>
                  </w:r>
                </w:p>
              </w:tc>
              <w:tc>
                <w:tcPr/>
                <w:p>
                  <w:pPr>
                    <w:pStyle w:val="Compact"/>
                    <w:jc w:val="right"/>
                    <w:jc w:val="center"/>
                  </w:pPr>
                  <w:r>
                    <w:t xml:space="preserve">25.3</w:t>
                  </w:r>
                </w:p>
              </w:tc>
              <w:tc>
                <w:tcPr/>
                <w:p>
                  <w:pPr>
                    <w:pStyle w:val="Compact"/>
                    <w:jc w:val="right"/>
                    <w:jc w:val="center"/>
                  </w:pPr>
                  <w:r>
                    <w:t xml:space="preserve">-1.9</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-0.12 (0.04)</w:t>
                  </w:r>
                </w:p>
              </w:tc>
              <w:tc>
                <w:tcPr/>
                <w:p>
                  <w:pPr>
                    <w:pStyle w:val="Compact"/>
                    <w:jc w:val="right"/>
                    <w:jc w:val="center"/>
                  </w:pPr>
                  <w:r>
                    <w:t xml:space="preserve">33.0</w:t>
                  </w:r>
                </w:p>
              </w:tc>
              <w:tc>
                <w:tcPr/>
                <w:p>
                  <w:pPr>
                    <w:pStyle w:val="Compact"/>
                    <w:jc w:val="right"/>
                    <w:jc w:val="center"/>
                  </w:pPr>
                  <w:r>
                    <w:t xml:space="preserve">30.9</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(0.05)</w:t>
                  </w:r>
                </w:p>
              </w:tc>
              <w:tc>
                <w:tcPr/>
                <w:p>
                  <w:pPr>
                    <w:pStyle w:val="Compact"/>
                    <w:jc w:val="right"/>
                    <w:jc w:val="center"/>
                  </w:pPr>
                  <w:r>
                    <w:t xml:space="preserve">32.5</w:t>
                  </w:r>
                </w:p>
              </w:tc>
              <w:tc>
                <w:tcPr/>
                <w:p>
                  <w:pPr>
                    <w:pStyle w:val="Compact"/>
                    <w:jc w:val="right"/>
                    <w:jc w:val="center"/>
                  </w:pPr>
                  <w:r>
                    <w:t xml:space="preserve">31.5</w:t>
                  </w:r>
                </w:p>
              </w:tc>
              <w:tc>
                <w:tcPr/>
                <w:p>
                  <w:pPr>
                    <w:pStyle w:val="Compact"/>
                    <w:jc w:val="right"/>
                    <w:jc w:val="center"/>
                  </w:pPr>
                  <w:r>
                    <w:t xml:space="preserve">-1.0</w:t>
                  </w:r>
                </w:p>
              </w:tc>
            </w:tr>
          </w:tbl>
          <w:bookmarkEnd w:id="80"/>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81" w:name="tbl-mixdaytab"/>
          <w:p>
            <w:pPr>
              <w:jc w:val="center"/>
            </w:pPr>
            <w:pPr>
              <w:jc w:val="start"/>
              <w:spacing w:before="200"/>
              <w:pStyle w:val="ImageCaption"/>
            </w:pPr>
            <w:r>
              <w:t xml:space="preserve">Table 4: Summary of mixed-effects models evaluating increases in the number of days each year from 1975 to 2022 when bottom temperature was above 30</w:t>
            </w:r>
            <w:r>
              <w:t xml:space="preserve"> </w:t>
            </w:r>
            <m:oMath>
              <m:sSup>
                <m:e>
                  <m:r>
                    <m:t>​</m:t>
                  </m:r>
                </m:e>
                <m:sup>
                  <m:r>
                    <m:rPr>
                      <m:sty m:val="p"/>
                    </m:rPr>
                    <m:t>∘</m:t>
                  </m:r>
                </m:sup>
              </m:sSup>
            </m:oMath>
            <w:r>
              <w:t xml:space="preserve">C, bottom salinity was below 25 ppt, or both temperature and salinity were above/below the thresholds. The start and end columns show the estimated number of days (mean, standard error) in 1975 and 2022 when temperature or salinity were above or below the thresholds. OTB: Old Tampa Bay, HB: Hillsborough Bay, MTB: Middle Tampa Bay, LTB: Lower Tampa Bay.</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Bay Segment</w:t>
                  </w:r>
                </w:p>
              </w:tc>
              <w:tc>
                <w:tcPr/>
                <w:p>
                  <w:pPr>
                    <w:pStyle w:val="Compact"/>
                    <w:jc w:val="left"/>
                    <w:jc w:val="center"/>
                  </w:pPr>
                  <w:r>
                    <w:t xml:space="preserve">Threshold</w:t>
                  </w:r>
                </w:p>
              </w:tc>
              <w:tc>
                <w:tcPr/>
                <w:p>
                  <w:pPr>
                    <w:pStyle w:val="Compact"/>
                    <w:jc w:val="left"/>
                    <w:jc w:val="center"/>
                  </w:pPr>
                  <w:r>
                    <w:t xml:space="preserve">Slope</w:t>
                  </w:r>
                </w:p>
              </w:tc>
              <w:tc>
                <w:tcPr/>
                <w:p>
                  <w:pPr>
                    <w:pStyle w:val="Compact"/>
                    <w:jc w:val="left"/>
                    <w:jc w:val="center"/>
                  </w:pPr>
                  <w:r>
                    <w:t xml:space="preserve">Start</w:t>
                  </w:r>
                </w:p>
              </w:tc>
              <w:tc>
                <w:tcPr/>
                <w:p>
                  <w:pPr>
                    <w:pStyle w:val="Compact"/>
                    <w:jc w:val="left"/>
                    <w:jc w:val="center"/>
                  </w:pPr>
                  <w:r>
                    <w:t xml:space="preserve">End</w:t>
                  </w:r>
                </w:p>
              </w:tc>
            </w:tr>
            <w:tr>
              <w:tc>
                <w:tcPr/>
                <w:p>
                  <w:pPr>
                    <w:pStyle w:val="Compact"/>
                    <w:jc w:val="left"/>
                    <w:jc w:val="center"/>
                  </w:pPr>
                  <w:r>
                    <w:t xml:space="preserve">OTB</w:t>
                  </w:r>
                </w:p>
              </w:tc>
              <w:tc>
                <w:tcPr/>
                <w:p>
                  <w:pPr>
                    <w:pStyle w:val="Compact"/>
                    <w:jc w:val="left"/>
                    <w:jc w:val="center"/>
                  </w:pPr>
                  <w:r>
                    <w:t xml:space="preserve">Temperature &gt; 30</w:t>
                  </w:r>
                </w:p>
              </w:tc>
              <w:tc>
                <w:tcPr/>
                <w:p>
                  <w:pPr>
                    <w:pStyle w:val="Compact"/>
                    <w:jc w:val="left"/>
                    <w:jc w:val="center"/>
                  </w:pPr>
                  <w:r>
                    <w:t xml:space="preserve">1.05</w:t>
                  </w:r>
                </w:p>
              </w:tc>
              <w:tc>
                <w:tcPr/>
                <w:p>
                  <w:pPr>
                    <w:pStyle w:val="Compact"/>
                    <w:jc w:val="left"/>
                    <w:jc w:val="center"/>
                  </w:pPr>
                  <w:r>
                    <w:t xml:space="preserve">7 (3.3)</w:t>
                  </w:r>
                </w:p>
              </w:tc>
              <w:tc>
                <w:tcPr/>
                <w:p>
                  <w:pPr>
                    <w:pStyle w:val="Compact"/>
                    <w:jc w:val="left"/>
                    <w:jc w:val="center"/>
                  </w:pPr>
                  <w:r>
                    <w:t xml:space="preserve">57 (3.2)</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1.83</w:t>
                  </w:r>
                </w:p>
              </w:tc>
              <w:tc>
                <w:tcPr/>
                <w:p>
                  <w:pPr>
                    <w:pStyle w:val="Compact"/>
                    <w:jc w:val="left"/>
                    <w:jc w:val="center"/>
                  </w:pPr>
                  <w:r>
                    <w:t xml:space="preserve">130 (13)</w:t>
                  </w:r>
                </w:p>
              </w:tc>
              <w:tc>
                <w:tcPr/>
                <w:p>
                  <w:pPr>
                    <w:pStyle w:val="Compact"/>
                    <w:jc w:val="left"/>
                    <w:jc w:val="center"/>
                  </w:pPr>
                  <w:r>
                    <w:t xml:space="preserve">216 (13)</w:t>
                  </w:r>
                </w:p>
              </w:tc>
            </w:tr>
            <w:tr>
              <w:tc>
                <w:tcPr/>
                <w:p>
                  <w:pPr>
                    <w:pStyle w:val="Compact"/>
                  </w:pPr>
                </w:p>
              </w:tc>
              <w:tc>
                <w:tcPr/>
                <w:p>
                  <w:pPr>
                    <w:pStyle w:val="Compact"/>
                    <w:jc w:val="left"/>
                    <w:jc w:val="center"/>
                  </w:pPr>
                  <w:r>
                    <w:t xml:space="preserve">Both</w:t>
                  </w:r>
                </w:p>
              </w:tc>
              <w:tc>
                <w:tcPr/>
                <w:p>
                  <w:pPr>
                    <w:pStyle w:val="Compact"/>
                    <w:jc w:val="left"/>
                    <w:jc w:val="center"/>
                  </w:pPr>
                  <w:r>
                    <w:t xml:space="preserve">0.81</w:t>
                  </w:r>
                </w:p>
              </w:tc>
              <w:tc>
                <w:tcPr/>
                <w:p>
                  <w:pPr>
                    <w:pStyle w:val="Compact"/>
                    <w:jc w:val="left"/>
                    <w:jc w:val="center"/>
                  </w:pPr>
                  <w:r>
                    <w:t xml:space="preserve">-1 (2.7)</w:t>
                  </w:r>
                </w:p>
              </w:tc>
              <w:tc>
                <w:tcPr/>
                <w:p>
                  <w:pPr>
                    <w:pStyle w:val="Compact"/>
                    <w:jc w:val="left"/>
                    <w:jc w:val="center"/>
                  </w:pPr>
                  <w:r>
                    <w:t xml:space="preserve">37 (2.7)</w:t>
                  </w:r>
                </w:p>
              </w:tc>
            </w:tr>
            <w:tr>
              <w:tc>
                <w:tcPr/>
                <w:p>
                  <w:pPr>
                    <w:pStyle w:val="Compact"/>
                    <w:jc w:val="left"/>
                    <w:jc w:val="center"/>
                  </w:pPr>
                  <w:r>
                    <w:t xml:space="preserve">HB</w:t>
                  </w:r>
                </w:p>
              </w:tc>
              <w:tc>
                <w:tcPr/>
                <w:p>
                  <w:pPr>
                    <w:pStyle w:val="Compact"/>
                    <w:jc w:val="left"/>
                    <w:jc w:val="center"/>
                  </w:pPr>
                  <w:r>
                    <w:t xml:space="preserve">Temperature &gt; 30</w:t>
                  </w:r>
                </w:p>
              </w:tc>
              <w:tc>
                <w:tcPr/>
                <w:p>
                  <w:pPr>
                    <w:pStyle w:val="Compact"/>
                    <w:jc w:val="left"/>
                    <w:jc w:val="center"/>
                  </w:pPr>
                  <w:r>
                    <w:t xml:space="preserve">0.99</w:t>
                  </w:r>
                </w:p>
              </w:tc>
              <w:tc>
                <w:tcPr/>
                <w:p>
                  <w:pPr>
                    <w:pStyle w:val="Compact"/>
                    <w:jc w:val="left"/>
                    <w:jc w:val="center"/>
                  </w:pPr>
                  <w:r>
                    <w:t xml:space="preserve">8 (4.9)</w:t>
                  </w:r>
                </w:p>
              </w:tc>
              <w:tc>
                <w:tcPr/>
                <w:p>
                  <w:pPr>
                    <w:pStyle w:val="Compact"/>
                    <w:jc w:val="left"/>
                    <w:jc w:val="center"/>
                  </w:pPr>
                  <w:r>
                    <w:t xml:space="preserve">55 (4.8)</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0.8</w:t>
                  </w:r>
                </w:p>
              </w:tc>
              <w:tc>
                <w:tcPr/>
                <w:p>
                  <w:pPr>
                    <w:pStyle w:val="Compact"/>
                    <w:jc w:val="left"/>
                    <w:jc w:val="center"/>
                  </w:pPr>
                  <w:r>
                    <w:t xml:space="preserve">134 (12.2)</w:t>
                  </w:r>
                </w:p>
              </w:tc>
              <w:tc>
                <w:tcPr/>
                <w:p>
                  <w:pPr>
                    <w:pStyle w:val="Compact"/>
                    <w:jc w:val="left"/>
                    <w:jc w:val="center"/>
                  </w:pPr>
                  <w:r>
                    <w:t xml:space="preserve">171 (11.5)</w:t>
                  </w:r>
                </w:p>
              </w:tc>
            </w:tr>
            <w:tr>
              <w:tc>
                <w:tcPr/>
                <w:p>
                  <w:pPr>
                    <w:pStyle w:val="Compact"/>
                  </w:pPr>
                </w:p>
              </w:tc>
              <w:tc>
                <w:tcPr/>
                <w:p>
                  <w:pPr>
                    <w:pStyle w:val="Compact"/>
                    <w:jc w:val="left"/>
                    <w:jc w:val="center"/>
                  </w:pPr>
                  <w:r>
                    <w:t xml:space="preserve">Both</w:t>
                  </w:r>
                </w:p>
              </w:tc>
              <w:tc>
                <w:tcPr/>
                <w:p>
                  <w:pPr>
                    <w:pStyle w:val="Compact"/>
                    <w:jc w:val="left"/>
                    <w:jc w:val="center"/>
                  </w:pPr>
                  <w:r>
                    <w:t xml:space="preserve">0.76</w:t>
                  </w:r>
                </w:p>
              </w:tc>
              <w:tc>
                <w:tcPr/>
                <w:p>
                  <w:pPr>
                    <w:pStyle w:val="Compact"/>
                    <w:jc w:val="left"/>
                    <w:jc w:val="center"/>
                  </w:pPr>
                  <w:r>
                    <w:t xml:space="preserve">-1 (2.9)</w:t>
                  </w:r>
                </w:p>
              </w:tc>
              <w:tc>
                <w:tcPr/>
                <w:p>
                  <w:pPr>
                    <w:pStyle w:val="Compact"/>
                    <w:jc w:val="left"/>
                    <w:jc w:val="center"/>
                  </w:pPr>
                  <w:r>
                    <w:t xml:space="preserve">35 (2.7)</w:t>
                  </w:r>
                </w:p>
              </w:tc>
            </w:tr>
            <w:tr>
              <w:tc>
                <w:tcPr/>
                <w:p>
                  <w:pPr>
                    <w:pStyle w:val="Compact"/>
                    <w:jc w:val="left"/>
                    <w:jc w:val="center"/>
                  </w:pPr>
                  <w:r>
                    <w:t xml:space="preserve">MTB</w:t>
                  </w:r>
                </w:p>
              </w:tc>
              <w:tc>
                <w:tcPr/>
                <w:p>
                  <w:pPr>
                    <w:pStyle w:val="Compact"/>
                    <w:jc w:val="left"/>
                    <w:jc w:val="center"/>
                  </w:pPr>
                  <w:r>
                    <w:t xml:space="preserve">Temperature &gt; 30</w:t>
                  </w:r>
                </w:p>
              </w:tc>
              <w:tc>
                <w:tcPr/>
                <w:p>
                  <w:pPr>
                    <w:pStyle w:val="Compact"/>
                    <w:jc w:val="left"/>
                    <w:jc w:val="center"/>
                  </w:pPr>
                  <w:r>
                    <w:t xml:space="preserve">1.06</w:t>
                  </w:r>
                </w:p>
              </w:tc>
              <w:tc>
                <w:tcPr/>
                <w:p>
                  <w:pPr>
                    <w:pStyle w:val="Compact"/>
                    <w:jc w:val="left"/>
                    <w:jc w:val="center"/>
                  </w:pPr>
                  <w:r>
                    <w:t xml:space="preserve">8 (3.1)</w:t>
                  </w:r>
                </w:p>
              </w:tc>
              <w:tc>
                <w:tcPr/>
                <w:p>
                  <w:pPr>
                    <w:pStyle w:val="Compact"/>
                    <w:jc w:val="left"/>
                    <w:jc w:val="center"/>
                  </w:pPr>
                  <w:r>
                    <w:t xml:space="preserve">58 (3.1)</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0.53</w:t>
                  </w:r>
                </w:p>
              </w:tc>
              <w:tc>
                <w:tcPr/>
                <w:p>
                  <w:pPr>
                    <w:pStyle w:val="Compact"/>
                    <w:jc w:val="left"/>
                    <w:jc w:val="center"/>
                  </w:pPr>
                  <w:r>
                    <w:t xml:space="preserve">56 (11.8)</w:t>
                  </w:r>
                </w:p>
              </w:tc>
              <w:tc>
                <w:tcPr/>
                <w:p>
                  <w:pPr>
                    <w:pStyle w:val="Compact"/>
                    <w:jc w:val="left"/>
                    <w:jc w:val="center"/>
                  </w:pPr>
                  <w:r>
                    <w:t xml:space="preserve">81 (11.8)</w:t>
                  </w:r>
                </w:p>
              </w:tc>
            </w:tr>
            <w:tr>
              <w:tc>
                <w:tcPr/>
                <w:p>
                  <w:pPr>
                    <w:pStyle w:val="Compact"/>
                  </w:pPr>
                </w:p>
              </w:tc>
              <w:tc>
                <w:tcPr/>
                <w:p>
                  <w:pPr>
                    <w:pStyle w:val="Compact"/>
                    <w:jc w:val="left"/>
                    <w:jc w:val="center"/>
                  </w:pPr>
                  <w:r>
                    <w:t xml:space="preserve">Both</w:t>
                  </w:r>
                </w:p>
              </w:tc>
              <w:tc>
                <w:tcPr/>
                <w:p>
                  <w:pPr>
                    <w:pStyle w:val="Compact"/>
                    <w:jc w:val="left"/>
                    <w:jc w:val="center"/>
                  </w:pPr>
                  <w:r>
                    <w:t xml:space="preserve">0.37</w:t>
                  </w:r>
                </w:p>
              </w:tc>
              <w:tc>
                <w:tcPr/>
                <w:p>
                  <w:pPr>
                    <w:pStyle w:val="Compact"/>
                    <w:jc w:val="left"/>
                    <w:jc w:val="center"/>
                  </w:pPr>
                  <w:r>
                    <w:t xml:space="preserve">-1 (1.7)</w:t>
                  </w:r>
                </w:p>
              </w:tc>
              <w:tc>
                <w:tcPr/>
                <w:p>
                  <w:pPr>
                    <w:pStyle w:val="Compact"/>
                    <w:jc w:val="left"/>
                    <w:jc w:val="center"/>
                  </w:pPr>
                  <w:r>
                    <w:t xml:space="preserve">16 (1.7)</w:t>
                  </w:r>
                </w:p>
              </w:tc>
            </w:tr>
            <w:tr>
              <w:tc>
                <w:tcPr/>
                <w:p>
                  <w:pPr>
                    <w:pStyle w:val="Compact"/>
                    <w:jc w:val="left"/>
                    <w:jc w:val="center"/>
                  </w:pPr>
                  <w:r>
                    <w:t xml:space="preserve">LTB</w:t>
                  </w:r>
                </w:p>
              </w:tc>
              <w:tc>
                <w:tcPr/>
                <w:p>
                  <w:pPr>
                    <w:pStyle w:val="Compact"/>
                    <w:jc w:val="left"/>
                    <w:jc w:val="center"/>
                  </w:pPr>
                  <w:r>
                    <w:t xml:space="preserve">Temperature &gt; 30</w:t>
                  </w:r>
                </w:p>
              </w:tc>
              <w:tc>
                <w:tcPr/>
                <w:p>
                  <w:pPr>
                    <w:pStyle w:val="Compact"/>
                    <w:jc w:val="left"/>
                    <w:jc w:val="center"/>
                  </w:pPr>
                  <w:r>
                    <w:t xml:space="preserve">0.97</w:t>
                  </w:r>
                </w:p>
              </w:tc>
              <w:tc>
                <w:tcPr/>
                <w:p>
                  <w:pPr>
                    <w:pStyle w:val="Compact"/>
                    <w:jc w:val="left"/>
                    <w:jc w:val="center"/>
                  </w:pPr>
                  <w:r>
                    <w:t xml:space="preserve">19 (3.4)</w:t>
                  </w:r>
                </w:p>
              </w:tc>
              <w:tc>
                <w:tcPr/>
                <w:p>
                  <w:pPr>
                    <w:pStyle w:val="Compact"/>
                    <w:jc w:val="left"/>
                    <w:jc w:val="center"/>
                  </w:pPr>
                  <w:r>
                    <w:t xml:space="preserve">64 (3.4)</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-0.09</w:t>
                  </w:r>
                </w:p>
              </w:tc>
              <w:tc>
                <w:tcPr/>
                <w:p>
                  <w:pPr>
                    <w:pStyle w:val="Compact"/>
                    <w:jc w:val="left"/>
                    <w:jc w:val="center"/>
                  </w:pPr>
                  <w:r>
                    <w:t xml:space="preserve">4 (1.2)</w:t>
                  </w:r>
                </w:p>
              </w:tc>
              <w:tc>
                <w:tcPr/>
                <w:p>
                  <w:pPr>
                    <w:pStyle w:val="Compact"/>
                    <w:jc w:val="left"/>
                    <w:jc w:val="center"/>
                  </w:pPr>
                  <w:r>
                    <w:t xml:space="preserve">0 (1.2)</w:t>
                  </w:r>
                </w:p>
              </w:tc>
            </w:tr>
            <w:tr>
              <w:tc>
                <w:tcPr/>
                <w:p>
                  <w:pPr>
                    <w:pStyle w:val="Compact"/>
                  </w:pPr>
                </w:p>
              </w:tc>
              <w:tc>
                <w:tcPr/>
                <w:p>
                  <w:pPr>
                    <w:pStyle w:val="Compact"/>
                    <w:jc w:val="left"/>
                    <w:jc w:val="center"/>
                  </w:pPr>
                  <w:r>
                    <w:t xml:space="preserve">Both</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r>
          </w:tbl>
          <w:bookmarkEnd w:id="81"/>
          <w:p/>
        </w:tc>
      </w:tr>
    </w:tbl>
    <w:p>
      <w:r>
        <w:br w:type="page"/>
      </w:r>
    </w:p>
    <w:bookmarkEnd w:id="82"/>
    <w:bookmarkStart w:id="85" w:name="data-availability"/>
    <w:p>
      <w:pPr>
        <w:pStyle w:val="Heading2"/>
      </w:pPr>
      <w:r>
        <w:t xml:space="preserve">Data Availability</w:t>
      </w:r>
    </w:p>
    <w:p>
      <w:pPr>
        <w:pStyle w:val="FirstParagraph"/>
      </w:pPr>
      <w:r>
        <w:t xml:space="preserve">All data and analysis code for this manuscript is available on GitHub at</w:t>
      </w:r>
      <w:r>
        <w:t xml:space="preserve"> </w:t>
      </w:r>
      <w:hyperlink r:id="rId83">
        <w:r>
          <w:rPr>
            <w:rStyle w:val="Hyperlink"/>
          </w:rPr>
          <w:t xml:space="preserve">https://github.com/tbep-tech/temp-manu</w:t>
        </w:r>
      </w:hyperlink>
      <w:r>
        <w:t xml:space="preserve">. A preprint of an earlier version of this manuscript is available at</w:t>
      </w:r>
      <w:r>
        <w:t xml:space="preserve"> </w:t>
      </w:r>
      <w:hyperlink r:id="rId84">
        <w:r>
          <w:rPr>
            <w:rStyle w:val="Hyperlink"/>
          </w:rPr>
          <w:t xml:space="preserve">https://doi.org/10.21203/rs.3.rs-3946855/v1</w:t>
        </w:r>
      </w:hyperlink>
      <w:r>
        <w:t xml:space="preserve">.</w:t>
      </w:r>
    </w:p>
    <w:bookmarkEnd w:id="85"/>
    <w:bookmarkStart w:id="86" w:name="acknowledgments"/>
    <w:p>
      <w:pPr>
        <w:pStyle w:val="Heading2"/>
      </w:pPr>
      <w:r>
        <w:t xml:space="preserve">Acknowledgments</w:t>
      </w:r>
    </w:p>
    <w:p>
      <w:pPr>
        <w:pStyle w:val="FirstParagraph"/>
      </w:pPr>
      <w:r>
        <w:t xml:space="preserve">This work benefited from constructive discussions with the Technical Advisory Committee of the Tampa Bay Estuary Program (TBEP), in particular Mike Wessel, Ray Pribble, and Dave Tomasko. We are thankful for constructive comments provided by the associate editor and two anonymous reviewers. We are indebted to the community of field and technical staff that have routinely collected and maintained the valuable long-term monitoring data used in this study.</w:t>
      </w:r>
    </w:p>
    <w:bookmarkEnd w:id="86"/>
    <w:bookmarkStart w:id="90" w:name="statements-and-declarations"/>
    <w:p>
      <w:pPr>
        <w:pStyle w:val="Heading2"/>
      </w:pPr>
      <w:r>
        <w:t xml:space="preserve">Statements and Declarations</w:t>
      </w:r>
    </w:p>
    <w:bookmarkStart w:id="87" w:name="author-contributions"/>
    <w:p>
      <w:pPr>
        <w:pStyle w:val="Heading3"/>
      </w:pPr>
      <w:r>
        <w:t xml:space="preserve">Author Contributions</w:t>
      </w:r>
    </w:p>
    <w:p>
      <w:pPr>
        <w:pStyle w:val="FirstParagraph"/>
      </w:pPr>
      <w:r>
        <w:t xml:space="preserve">Conceptualization: Marcus W Beck, Kerry Flaherty-Walia, Sheila Scolaro, Maya C Burke, Edward T Sherwood; Data Curation: Bradley T Furman, David J Karlen, Christopher J Anastasiou, Christopher Pratt; Methodology: Marcus W Beck, Kerry Flaherty-Walia, Sheila Scolaro, Maya C Burke, Edward T Sherwood; Formal analysis and investigation: Marcus W Beck; Writing - original draft preparation: all authors; Writing - review and editing: all authors; Funding acquisition: Edward T Sherwood.</w:t>
      </w:r>
    </w:p>
    <w:bookmarkEnd w:id="87"/>
    <w:bookmarkStart w:id="88" w:name="ethics-declaration"/>
    <w:p>
      <w:pPr>
        <w:pStyle w:val="Heading3"/>
      </w:pPr>
      <w:r>
        <w:t xml:space="preserve">Ethics Declaration</w:t>
      </w:r>
    </w:p>
    <w:p>
      <w:pPr>
        <w:pStyle w:val="FirstParagraph"/>
      </w:pPr>
      <w:r>
        <w:t xml:space="preserve">The authors have no competing interests to declare that are relevant to the content of this article.</w:t>
      </w:r>
    </w:p>
    <w:bookmarkEnd w:id="88"/>
    <w:bookmarkStart w:id="89" w:name="funding"/>
    <w:p>
      <w:pPr>
        <w:pStyle w:val="Heading3"/>
      </w:pPr>
      <w:r>
        <w:t xml:space="preserve">Funding</w:t>
      </w:r>
    </w:p>
    <w:p>
      <w:pPr>
        <w:pStyle w:val="FirstParagraph"/>
      </w:pPr>
      <w:r>
        <w:t xml:space="preserve">This study was funded by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w:t>
      </w:r>
    </w:p>
    <w:bookmarkEnd w:id="89"/>
    <w:bookmarkEnd w:id="90"/>
    <w:bookmarkStart w:id="296" w:name="references"/>
    <w:p>
      <w:pPr>
        <w:pStyle w:val="Heading2"/>
      </w:pPr>
      <w:r>
        <w:t xml:space="preserve">References</w:t>
      </w:r>
    </w:p>
    <w:bookmarkStart w:id="295" w:name="refs"/>
    <w:bookmarkStart w:id="92"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91">
        <w:r>
          <w:rPr>
            <w:rStyle w:val="Hyperlink"/>
          </w:rPr>
          <w:t xml:space="preserve">https://doi.org/10.1016/j.ocecoaman.2023.106929</w:t>
        </w:r>
      </w:hyperlink>
      <w:r>
        <w:t xml:space="preserve">.</w:t>
      </w:r>
    </w:p>
    <w:bookmarkEnd w:id="92"/>
    <w:bookmarkStart w:id="94" w:name="ref-araújo2006"/>
    <w:p>
      <w:pPr>
        <w:pStyle w:val="Bibliography"/>
      </w:pPr>
      <w:r>
        <w:t xml:space="preserve">Araújo, M. B., and A. Guisan. 2006. Five (or so) challenges for species distribution modelling.</w:t>
      </w:r>
      <w:r>
        <w:t xml:space="preserve"> </w:t>
      </w:r>
      <w:r>
        <w:rPr>
          <w:iCs/>
          <w:i/>
        </w:rPr>
        <w:t xml:space="preserve">Journal of Biogeography</w:t>
      </w:r>
      <w:r>
        <w:t xml:space="preserve"> </w:t>
      </w:r>
      <w:r>
        <w:t xml:space="preserve">33: 1677–1688.</w:t>
      </w:r>
      <w:r>
        <w:t xml:space="preserve"> </w:t>
      </w:r>
      <w:hyperlink r:id="rId93">
        <w:r>
          <w:rPr>
            <w:rStyle w:val="Hyperlink"/>
          </w:rPr>
          <w:t xml:space="preserve">https://doi.org/10.1111/j.1365-2699.2006.01584.x</w:t>
        </w:r>
      </w:hyperlink>
      <w:r>
        <w:t xml:space="preserve">.</w:t>
      </w:r>
    </w:p>
    <w:bookmarkEnd w:id="94"/>
    <w:bookmarkStart w:id="96" w:name="ref-bartenfelder2022"/>
    <w:p>
      <w:pPr>
        <w:pStyle w:val="Bibliography"/>
      </w:pPr>
      <w:r>
        <w:t xml:space="preserve">Bartenfelder, A., W. J. Kenworthy, B. Puckett, C. Deaton, and J. C. Jarvis. 2022. The abundance and persistence of temperate and tropical seagrasses at their edge-of-range in the western</w:t>
      </w:r>
      <w:r>
        <w:t xml:space="preserve"> </w:t>
      </w:r>
      <w:r>
        <w:t xml:space="preserve">A</w:t>
      </w:r>
      <w:r>
        <w:t xml:space="preserve">tlantic</w:t>
      </w:r>
      <w:r>
        <w:t xml:space="preserve"> </w:t>
      </w:r>
      <w:r>
        <w:t xml:space="preserve">O</w:t>
      </w:r>
      <w:r>
        <w:t xml:space="preserve">cean.</w:t>
      </w:r>
      <w:r>
        <w:t xml:space="preserve"> </w:t>
      </w:r>
      <w:r>
        <w:rPr>
          <w:iCs/>
          <w:i/>
        </w:rPr>
        <w:t xml:space="preserve">Frontiers in Marine Science</w:t>
      </w:r>
      <w:r>
        <w:t xml:space="preserve"> </w:t>
      </w:r>
      <w:r>
        <w:t xml:space="preserve">9: 917237.</w:t>
      </w:r>
      <w:r>
        <w:t xml:space="preserve"> </w:t>
      </w:r>
      <w:hyperlink r:id="rId95">
        <w:r>
          <w:rPr>
            <w:rStyle w:val="Hyperlink"/>
          </w:rPr>
          <w:t xml:space="preserve">https://doi.org/10.3389/fmars.2022.917237</w:t>
        </w:r>
      </w:hyperlink>
      <w:r>
        <w:t xml:space="preserve">.</w:t>
      </w:r>
    </w:p>
    <w:bookmarkEnd w:id="96"/>
    <w:bookmarkStart w:id="98"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97">
        <w:r>
          <w:rPr>
            <w:rStyle w:val="Hyperlink"/>
          </w:rPr>
          <w:t xml:space="preserve">https://doi.org/10.18637/jss.v067.i01</w:t>
        </w:r>
      </w:hyperlink>
      <w:r>
        <w:t xml:space="preserve">.</w:t>
      </w:r>
    </w:p>
    <w:bookmarkEnd w:id="98"/>
    <w:bookmarkStart w:id="100" w:name="ref-Beck20a"/>
    <w:p>
      <w:pPr>
        <w:pStyle w:val="Bibliography"/>
      </w:pPr>
      <w:r>
        <w:t xml:space="preserve">Beck, M. W. 2020a.</w:t>
      </w:r>
      <w:r>
        <w:t xml:space="preserve"> </w:t>
      </w:r>
      <w:r>
        <w:t xml:space="preserve">t</w:t>
      </w:r>
      <w:r>
        <w:t xml:space="preserve">bep-tech/wq-dash: v1.0 (version v1.0). Zenodo.</w:t>
      </w:r>
      <w:r>
        <w:t xml:space="preserve"> </w:t>
      </w:r>
      <w:hyperlink r:id="rId99">
        <w:r>
          <w:rPr>
            <w:rStyle w:val="Hyperlink"/>
          </w:rPr>
          <w:t xml:space="preserve">https://doi.org/10.5281/zenodo.3648664</w:t>
        </w:r>
      </w:hyperlink>
      <w:r>
        <w:t xml:space="preserve">.</w:t>
      </w:r>
    </w:p>
    <w:bookmarkEnd w:id="100"/>
    <w:bookmarkStart w:id="102" w:name="ref-Beck20b"/>
    <w:p>
      <w:pPr>
        <w:pStyle w:val="Bibliography"/>
      </w:pPr>
      <w:r>
        <w:t xml:space="preserve">Beck, M. W. 2020b.</w:t>
      </w:r>
      <w:r>
        <w:t xml:space="preserve"> </w:t>
      </w:r>
      <w:r>
        <w:t xml:space="preserve">t</w:t>
      </w:r>
      <w:r>
        <w:t xml:space="preserve">bep-tech/seagrasstransect-dash: v1.0 (version v1.0). Zenodo.</w:t>
      </w:r>
      <w:r>
        <w:t xml:space="preserve"> </w:t>
      </w:r>
      <w:hyperlink r:id="rId101">
        <w:r>
          <w:rPr>
            <w:rStyle w:val="Hyperlink"/>
          </w:rPr>
          <w:t xml:space="preserve">https://doi.org/10.5281/zenodo.4319936</w:t>
        </w:r>
      </w:hyperlink>
      <w:r>
        <w:t xml:space="preserve">.</w:t>
      </w:r>
    </w:p>
    <w:bookmarkEnd w:id="102"/>
    <w:bookmarkStart w:id="104"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103">
        <w:r>
          <w:rPr>
            <w:rStyle w:val="Hyperlink"/>
          </w:rPr>
          <w:t xml:space="preserve">https://doi.org/10.1016/j.marpolbul.2022.113598</w:t>
        </w:r>
      </w:hyperlink>
      <w:r>
        <w:t xml:space="preserve">.</w:t>
      </w:r>
    </w:p>
    <w:bookmarkEnd w:id="104"/>
    <w:bookmarkStart w:id="106"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105">
        <w:r>
          <w:rPr>
            <w:rStyle w:val="Hyperlink"/>
          </w:rPr>
          <w:t xml:space="preserve">https://doi.org/10.3389/fevo.2023.1070266</w:t>
        </w:r>
      </w:hyperlink>
      <w:r>
        <w:t xml:space="preserve">.</w:t>
      </w:r>
    </w:p>
    <w:bookmarkEnd w:id="106"/>
    <w:bookmarkStart w:id="108" w:name="ref-beck2021"/>
    <w:p>
      <w:pPr>
        <w:pStyle w:val="Bibliography"/>
      </w:pPr>
      <w:r>
        <w:t xml:space="preserve">Beck, M. W., M. Schrandt, M. Wessel, E. T. Sherwood, G. E. Raulerson, A. Prasad, and B. Best. 2021.</w:t>
      </w:r>
      <w:r>
        <w:t xml:space="preserve"> </w:t>
      </w:r>
      <w:r>
        <w:t xml:space="preserve">t</w:t>
      </w:r>
      <w:r>
        <w:t xml:space="preserve">beptools: An</w:t>
      </w:r>
      <w:r>
        <w:t xml:space="preserve"> </w:t>
      </w:r>
      <w:r>
        <w:t xml:space="preserve">R</w:t>
      </w:r>
      <w:r>
        <w:t xml:space="preserve"> </w:t>
      </w:r>
      <w:r>
        <w:t xml:space="preserve">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107">
        <w:r>
          <w:rPr>
            <w:rStyle w:val="Hyperlink"/>
          </w:rPr>
          <w:t xml:space="preserve">https://doi.org/10.21105/joss.03485</w:t>
        </w:r>
      </w:hyperlink>
      <w:r>
        <w:t xml:space="preserve">.</w:t>
      </w:r>
    </w:p>
    <w:bookmarkEnd w:id="108"/>
    <w:bookmarkStart w:id="110" w:name="ref-beck2019"/>
    <w:p>
      <w:pPr>
        <w:pStyle w:val="Bibliography"/>
      </w:pPr>
      <w:r>
        <w:t xml:space="preserve">Beck, M. W., E. T. Sherwood, J. R. Henkel, K. Dorans, K. Ireland, and P. Varela.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42: 1774–1791.</w:t>
      </w:r>
      <w:r>
        <w:t xml:space="preserve"> </w:t>
      </w:r>
      <w:hyperlink r:id="rId109">
        <w:r>
          <w:rPr>
            <w:rStyle w:val="Hyperlink"/>
          </w:rPr>
          <w:t xml:space="preserve">https://doi.org/10.1007/s12237-019-00619-w</w:t>
        </w:r>
      </w:hyperlink>
      <w:r>
        <w:t xml:space="preserve">.</w:t>
      </w:r>
    </w:p>
    <w:bookmarkEnd w:id="110"/>
    <w:bookmarkStart w:id="112" w:name="ref-begueria23"/>
    <w:p>
      <w:pPr>
        <w:pStyle w:val="Bibliography"/>
      </w:pPr>
      <w:r>
        <w:t xml:space="preserve">Beguería, S., and S. M. Vicente-Serrano. 2023.</w:t>
      </w:r>
      <w:r>
        <w:t xml:space="preserve"> </w:t>
      </w:r>
      <w:hyperlink r:id="rId111">
        <w:r>
          <w:rPr>
            <w:rStyle w:val="Hyperlink"/>
          </w:rPr>
          <w:t xml:space="preserve">SPEI</w:t>
        </w:r>
        <w:r>
          <w:rPr>
            <w:rStyle w:val="Hyperlink"/>
          </w:rPr>
          <w:t xml:space="preserve">: Calculation of the</w:t>
        </w:r>
        <w:r>
          <w:rPr>
            <w:rStyle w:val="Hyperlink"/>
          </w:rPr>
          <w:t xml:space="preserve"> </w:t>
        </w:r>
        <w:r>
          <w:rPr>
            <w:rStyle w:val="Hyperlink"/>
          </w:rPr>
          <w:t xml:space="preserve">S</w:t>
        </w:r>
        <w:r>
          <w:rPr>
            <w:rStyle w:val="Hyperlink"/>
          </w:rPr>
          <w:t xml:space="preserve">tandardized</w:t>
        </w:r>
        <w:r>
          <w:rPr>
            <w:rStyle w:val="Hyperlink"/>
          </w:rPr>
          <w:t xml:space="preserve"> </w:t>
        </w:r>
        <w:r>
          <w:rPr>
            <w:rStyle w:val="Hyperlink"/>
          </w:rPr>
          <w:t xml:space="preserve">P</w:t>
        </w:r>
        <w:r>
          <w:rPr>
            <w:rStyle w:val="Hyperlink"/>
          </w:rPr>
          <w:t xml:space="preserve">recipitation-</w:t>
        </w:r>
        <w:r>
          <w:rPr>
            <w:rStyle w:val="Hyperlink"/>
          </w:rPr>
          <w:t xml:space="preserve">E</w:t>
        </w:r>
        <w:r>
          <w:rPr>
            <w:rStyle w:val="Hyperlink"/>
          </w:rPr>
          <w:t xml:space="preserve">vapotranspiration</w:t>
        </w:r>
        <w:r>
          <w:rPr>
            <w:rStyle w:val="Hyperlink"/>
          </w:rPr>
          <w:t xml:space="preserve"> </w:t>
        </w:r>
        <w:r>
          <w:rPr>
            <w:rStyle w:val="Hyperlink"/>
          </w:rPr>
          <w:t xml:space="preserve">I</w:t>
        </w:r>
        <w:r>
          <w:rPr>
            <w:rStyle w:val="Hyperlink"/>
          </w:rPr>
          <w:t xml:space="preserve">ndex</w:t>
        </w:r>
      </w:hyperlink>
      <w:r>
        <w:t xml:space="preserve"> </w:t>
      </w:r>
      <w:r>
        <w:t xml:space="preserve">(version R package version 1.8.1).</w:t>
      </w:r>
    </w:p>
    <w:bookmarkEnd w:id="112"/>
    <w:bookmarkStart w:id="114"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113">
        <w:r>
          <w:rPr>
            <w:rStyle w:val="Hyperlink"/>
          </w:rPr>
          <w:t xml:space="preserve">https://doi.org/10.1002/joc.3887</w:t>
        </w:r>
      </w:hyperlink>
      <w:r>
        <w:t xml:space="preserve">.</w:t>
      </w:r>
    </w:p>
    <w:bookmarkEnd w:id="114"/>
    <w:bookmarkStart w:id="116" w:name="ref-bell1997"/>
    <w:p>
      <w:pPr>
        <w:pStyle w:val="Bibliography"/>
      </w:pPr>
      <w:r>
        <w:t xml:space="preserve">Bell, S. S., and M. O. Hall. 1997. Drift macroalgal abundance in seagrass beds: 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115">
        <w:r>
          <w:rPr>
            <w:rStyle w:val="Hyperlink"/>
          </w:rPr>
          <w:t xml:space="preserve">https://doi.org/10.3354/meps147277</w:t>
        </w:r>
      </w:hyperlink>
      <w:r>
        <w:t xml:space="preserve">.</w:t>
      </w:r>
    </w:p>
    <w:bookmarkEnd w:id="116"/>
    <w:bookmarkStart w:id="118" w:name="ref-blakesley2001"/>
    <w:p>
      <w:pPr>
        <w:pStyle w:val="Bibliography"/>
      </w:pPr>
      <w:r>
        <w:t xml:space="preserve">Blakesley, B., P. Hall, D. Berns, J. Hyniova, M. Merello, and R. Conroy. 2001.</w:t>
      </w:r>
      <w:r>
        <w:t xml:space="preserve"> </w:t>
      </w:r>
      <w:hyperlink r:id="rId117">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w:t>
        </w:r>
        <w:r>
          <w:rPr>
            <w:rStyle w:val="Hyperlink"/>
            <w:iCs/>
            <w:i/>
          </w:rPr>
          <w:t xml:space="preserve"> </w:t>
        </w:r>
        <w:r>
          <w:rPr>
            <w:rStyle w:val="Hyperlink"/>
            <w:iCs/>
            <w:i/>
          </w:rPr>
          <w:t xml:space="preserve">i</w:t>
        </w:r>
        <w:r>
          <w:rPr>
            <w:rStyle w:val="Hyperlink"/>
            <w:iCs/>
            <w:i/>
          </w:rPr>
          <w:t xml:space="preserve">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118"/>
    <w:bookmarkStart w:id="120"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119">
        <w:r>
          <w:rPr>
            <w:rStyle w:val="Hyperlink"/>
          </w:rPr>
          <w:t xml:space="preserve">https://doi.org/10.2134/jeq2001.302303x</w:t>
        </w:r>
      </w:hyperlink>
      <w:r>
        <w:t xml:space="preserve">.</w:t>
      </w:r>
    </w:p>
    <w:bookmarkEnd w:id="120"/>
    <w:bookmarkStart w:id="122" w:name="ref-borchert2018"/>
    <w:p>
      <w:pPr>
        <w:pStyle w:val="Bibliography"/>
      </w:pPr>
      <w:r>
        <w:t xml:space="preserve">Borchert, S. M., M. J. Osland, N. M. Enwright, and K. T. Griffith. 2018. Coastal wetland adaptation to sea level rise: Quantifying potential for landward migration and coastal squeeze.</w:t>
      </w:r>
      <w:r>
        <w:t xml:space="preserve"> </w:t>
      </w:r>
      <w:r>
        <w:rPr>
          <w:iCs/>
          <w:i/>
        </w:rPr>
        <w:t xml:space="preserve">Journal of Applied Ecology</w:t>
      </w:r>
      <w:r>
        <w:t xml:space="preserve"> </w:t>
      </w:r>
      <w:r>
        <w:t xml:space="preserve">55: 2876–2887.</w:t>
      </w:r>
      <w:r>
        <w:t xml:space="preserve"> </w:t>
      </w:r>
      <w:hyperlink r:id="rId121">
        <w:r>
          <w:rPr>
            <w:rStyle w:val="Hyperlink"/>
          </w:rPr>
          <w:t xml:space="preserve">https://doi.org/10.1111/1365-2664.13169</w:t>
        </w:r>
      </w:hyperlink>
      <w:r>
        <w:t xml:space="preserve">.</w:t>
      </w:r>
    </w:p>
    <w:bookmarkEnd w:id="122"/>
    <w:bookmarkStart w:id="124" w:name="ref-brewton2023"/>
    <w:p>
      <w:pPr>
        <w:pStyle w:val="Bibliography"/>
      </w:pPr>
      <w:r>
        <w:t xml:space="preserve">Brewton, R. A., and B. E. Lapointe. 2023. The green macroalga</w:t>
      </w:r>
      <w:r>
        <w:t xml:space="preserve"> </w:t>
      </w:r>
      <w:r>
        <w:rPr>
          <w:iCs/>
          <w:i/>
        </w:rPr>
        <w:t xml:space="preserve">C</w:t>
      </w:r>
      <w:r>
        <w:rPr>
          <w:iCs/>
          <w:i/>
        </w:rPr>
        <w:t xml:space="preserve">aulerpa prolifera</w:t>
      </w:r>
      <w:r>
        <w:t xml:space="preserve"> </w:t>
      </w:r>
      <w:r>
        <w:t xml:space="preserve">replaces seagrass in a nitrogen enriched, phosphorus limited, urbanized estuary.</w:t>
      </w:r>
      <w:r>
        <w:t xml:space="preserve"> </w:t>
      </w:r>
      <w:r>
        <w:rPr>
          <w:iCs/>
          <w:i/>
        </w:rPr>
        <w:t xml:space="preserve">Ecological Indicators</w:t>
      </w:r>
      <w:r>
        <w:t xml:space="preserve"> </w:t>
      </w:r>
      <w:r>
        <w:t xml:space="preserve">156: 111035.</w:t>
      </w:r>
      <w:r>
        <w:t xml:space="preserve"> </w:t>
      </w:r>
      <w:hyperlink r:id="rId123">
        <w:r>
          <w:rPr>
            <w:rStyle w:val="Hyperlink"/>
          </w:rPr>
          <w:t xml:space="preserve">https://doi.org/10.1016/j.ecolind.2023.111035</w:t>
        </w:r>
      </w:hyperlink>
      <w:r>
        <w:t xml:space="preserve">.</w:t>
      </w:r>
    </w:p>
    <w:bookmarkEnd w:id="124"/>
    <w:bookmarkStart w:id="126"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648–659.</w:t>
      </w:r>
      <w:r>
        <w:t xml:space="preserve"> </w:t>
      </w:r>
      <w:hyperlink r:id="rId125">
        <w:r>
          <w:rPr>
            <w:rStyle w:val="Hyperlink"/>
          </w:rPr>
          <w:t xml:space="preserve">https://doi.org/10.2307/1352383</w:t>
        </w:r>
      </w:hyperlink>
      <w:r>
        <w:t xml:space="preserve">.</w:t>
      </w:r>
    </w:p>
    <w:bookmarkEnd w:id="126"/>
    <w:bookmarkStart w:id="128"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27">
        <w:r>
          <w:rPr>
            <w:rStyle w:val="Hyperlink"/>
          </w:rPr>
          <w:t xml:space="preserve">https://doi.org/10.1016/j.jembe.2007.06.024</w:t>
        </w:r>
      </w:hyperlink>
      <w:r>
        <w:t xml:space="preserve">.</w:t>
      </w:r>
    </w:p>
    <w:bookmarkEnd w:id="128"/>
    <w:bookmarkStart w:id="130" w:name="ref-carlson2018"/>
    <w:p>
      <w:pPr>
        <w:pStyle w:val="Bibliography"/>
      </w:pPr>
      <w:r>
        <w:t xml:space="preserve">Carlson, D. F., L. A. Yarbro, S. Scolaro, M. Poniatowski, V. McGee-Absten, and P. R. Carlson. 2018. Sea surface temperatures and seagrass mortality in</w:t>
      </w:r>
      <w:r>
        <w:t xml:space="preserve"> </w:t>
      </w:r>
      <w:r>
        <w:t xml:space="preserve">F</w:t>
      </w:r>
      <w:r>
        <w:t xml:space="preserve">lorida</w:t>
      </w:r>
      <w:r>
        <w:t xml:space="preserve"> </w:t>
      </w:r>
      <w:r>
        <w:t xml:space="preserve">B</w:t>
      </w:r>
      <w:r>
        <w:t xml:space="preserve">ay: Spatial and temporal patterns discerned from</w:t>
      </w:r>
      <w:r>
        <w:t xml:space="preserve"> </w:t>
      </w:r>
      <w:r>
        <w:t xml:space="preserve">MODIS</w:t>
      </w:r>
      <w:r>
        <w:t xml:space="preserve"> </w:t>
      </w:r>
      <w:r>
        <w:t xml:space="preserve">and</w:t>
      </w:r>
      <w:r>
        <w:t xml:space="preserve"> </w:t>
      </w:r>
      <w:r>
        <w:t xml:space="preserve">AVHRR</w:t>
      </w:r>
      <w:r>
        <w:t xml:space="preserve"> </w:t>
      </w:r>
      <w:r>
        <w:t xml:space="preserve">data.</w:t>
      </w:r>
      <w:r>
        <w:t xml:space="preserve"> </w:t>
      </w:r>
      <w:r>
        <w:rPr>
          <w:iCs/>
          <w:i/>
        </w:rPr>
        <w:t xml:space="preserve">Remote Sensing of Environment</w:t>
      </w:r>
      <w:r>
        <w:t xml:space="preserve"> </w:t>
      </w:r>
      <w:r>
        <w:t xml:space="preserve">208: 171–188.</w:t>
      </w:r>
      <w:r>
        <w:t xml:space="preserve"> </w:t>
      </w:r>
      <w:hyperlink r:id="rId129">
        <w:r>
          <w:rPr>
            <w:rStyle w:val="Hyperlink"/>
          </w:rPr>
          <w:t xml:space="preserve">https://doi.org/10.1016/j.rse.2018.02.014</w:t>
        </w:r>
      </w:hyperlink>
      <w:r>
        <w:t xml:space="preserve">.</w:t>
      </w:r>
    </w:p>
    <w:bookmarkEnd w:id="130"/>
    <w:bookmarkStart w:id="132" w:name="ref-chamberlain23"/>
    <w:p>
      <w:pPr>
        <w:pStyle w:val="Bibliography"/>
      </w:pPr>
      <w:r>
        <w:t xml:space="preserve">Chamberlain, S., and D. Hocking. 2023.</w:t>
      </w:r>
      <w:r>
        <w:t xml:space="preserve"> </w:t>
      </w:r>
      <w:hyperlink r:id="rId131">
        <w:r>
          <w:rPr>
            <w:rStyle w:val="Hyperlink"/>
          </w:rPr>
          <w:t xml:space="preserve">rnoaa</w:t>
        </w:r>
        <w:r>
          <w:rPr>
            <w:rStyle w:val="Hyperlink"/>
          </w:rPr>
          <w:t xml:space="preserve">:</w:t>
        </w:r>
        <w:r>
          <w:rPr>
            <w:rStyle w:val="Hyperlink"/>
          </w:rPr>
          <w:t xml:space="preserve"> </w:t>
        </w:r>
        <w:r>
          <w:rPr>
            <w:rStyle w:val="Hyperlink"/>
          </w:rPr>
          <w:t xml:space="preserve">NOAA</w:t>
        </w:r>
        <w:r>
          <w:rPr>
            <w:rStyle w:val="Hyperlink"/>
          </w:rPr>
          <w:t xml:space="preserve"> </w:t>
        </w:r>
        <w:r>
          <w:rPr>
            <w:rStyle w:val="Hyperlink"/>
          </w:rPr>
          <w:t xml:space="preserve">weather data from</w:t>
        </w:r>
        <w:r>
          <w:rPr>
            <w:rStyle w:val="Hyperlink"/>
          </w:rPr>
          <w:t xml:space="preserve"> </w:t>
        </w:r>
        <w:r>
          <w:rPr>
            <w:rStyle w:val="Hyperlink"/>
          </w:rPr>
          <w:t xml:space="preserve">R</w:t>
        </w:r>
      </w:hyperlink>
      <w:r>
        <w:t xml:space="preserve"> </w:t>
      </w:r>
      <w:r>
        <w:t xml:space="preserve">(version R package version 1.4.0).</w:t>
      </w:r>
    </w:p>
    <w:bookmarkEnd w:id="132"/>
    <w:bookmarkStart w:id="134" w:name="ref-congdon2023"/>
    <w:p>
      <w:pPr>
        <w:pStyle w:val="Bibliography"/>
      </w:pPr>
      <w:r>
        <w:t xml:space="preserve">Congdon, V. M., M. O. Hall, B. T. Furman, J. E. Campbell, M. J. Durako, K. L. Goodin, and K. H. Dunton. 2023. Common ecological indicators identify changes in seagrass condition following disturbances in the</w:t>
      </w:r>
      <w:r>
        <w:t xml:space="preserve"> </w:t>
      </w:r>
      <w:r>
        <w:t xml:space="preserve">G</w:t>
      </w:r>
      <w:r>
        <w:t xml:space="preserve">ulf of</w:t>
      </w:r>
      <w:r>
        <w:t xml:space="preserve"> </w:t>
      </w:r>
      <w:r>
        <w:t xml:space="preserve">M</w:t>
      </w:r>
      <w:r>
        <w:t xml:space="preserve">exico.</w:t>
      </w:r>
      <w:r>
        <w:t xml:space="preserve"> </w:t>
      </w:r>
      <w:r>
        <w:rPr>
          <w:iCs/>
          <w:i/>
        </w:rPr>
        <w:t xml:space="preserve">Ecological Indicators</w:t>
      </w:r>
      <w:r>
        <w:t xml:space="preserve"> </w:t>
      </w:r>
      <w:r>
        <w:t xml:space="preserve">156: 111090.</w:t>
      </w:r>
      <w:r>
        <w:t xml:space="preserve"> </w:t>
      </w:r>
      <w:hyperlink r:id="rId133">
        <w:r>
          <w:rPr>
            <w:rStyle w:val="Hyperlink"/>
          </w:rPr>
          <w:t xml:space="preserve">https://doi.org/10.1016/j.ecolind.2023.111090</w:t>
        </w:r>
      </w:hyperlink>
      <w:r>
        <w:t xml:space="preserve">.</w:t>
      </w:r>
    </w:p>
    <w:bookmarkEnd w:id="134"/>
    <w:bookmarkStart w:id="136" w:name="ref-costa2023"/>
    <w:p>
      <w:pPr>
        <w:pStyle w:val="Bibliography"/>
      </w:pPr>
      <w:r>
        <w:t xml:space="preserve">Costa, Y., I. Martins, G. C. de Carvalho, and F. Barros. 2023. Trends of sea-level rise effects on estuaries and estimates of future saline intrusion.</w:t>
      </w:r>
      <w:r>
        <w:t xml:space="preserve"> </w:t>
      </w:r>
      <w:r>
        <w:rPr>
          <w:iCs/>
          <w:i/>
        </w:rPr>
        <w:t xml:space="preserve">Ocean &amp; Coastal Management</w:t>
      </w:r>
      <w:r>
        <w:t xml:space="preserve"> </w:t>
      </w:r>
      <w:r>
        <w:t xml:space="preserve">236: 106490.</w:t>
      </w:r>
      <w:r>
        <w:t xml:space="preserve"> </w:t>
      </w:r>
      <w:hyperlink r:id="rId135">
        <w:r>
          <w:rPr>
            <w:rStyle w:val="Hyperlink"/>
          </w:rPr>
          <w:t xml:space="preserve">https://doi.org/10.1016/j.ocecoaman.2023.106490</w:t>
        </w:r>
      </w:hyperlink>
      <w:r>
        <w:t xml:space="preserve">.</w:t>
      </w:r>
    </w:p>
    <w:bookmarkEnd w:id="136"/>
    <w:bookmarkStart w:id="138"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37">
        <w:r>
          <w:rPr>
            <w:rStyle w:val="Hyperlink"/>
          </w:rPr>
          <w:t xml:space="preserve">https://doi.org/10.1016/j.jenvman.2018.01.025</w:t>
        </w:r>
      </w:hyperlink>
      <w:r>
        <w:t xml:space="preserve">.</w:t>
      </w:r>
    </w:p>
    <w:bookmarkEnd w:id="138"/>
    <w:bookmarkStart w:id="140"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39">
        <w:r>
          <w:rPr>
            <w:rStyle w:val="Hyperlink"/>
          </w:rPr>
          <w:t xml:space="preserve">https://doi.org/10.1080/00785236.1995.10422039</w:t>
        </w:r>
      </w:hyperlink>
      <w:r>
        <w:t xml:space="preserve">.</w:t>
      </w:r>
    </w:p>
    <w:bookmarkEnd w:id="140"/>
    <w:bookmarkStart w:id="142"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41">
        <w:r>
          <w:rPr>
            <w:rStyle w:val="Hyperlink"/>
          </w:rPr>
          <w:t xml:space="preserve">https://doi.org/10.1007/s12237-008-9038-7</w:t>
        </w:r>
      </w:hyperlink>
      <w:r>
        <w:t xml:space="preserve">.</w:t>
      </w:r>
    </w:p>
    <w:bookmarkEnd w:id="142"/>
    <w:bookmarkStart w:id="144"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w:t>
      </w:r>
      <w:r>
        <w:t xml:space="preserve"> </w:t>
      </w:r>
      <w:r>
        <w:t xml:space="preserve">l</w:t>
      </w:r>
      <w:r>
        <w:t xml:space="preserve">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43">
        <w:r>
          <w:rPr>
            <w:rStyle w:val="Hyperlink"/>
          </w:rPr>
          <w:t xml:space="preserve">https://doi.org/10.3389/fpls.2021.612947</w:t>
        </w:r>
      </w:hyperlink>
      <w:r>
        <w:t xml:space="preserve">.</w:t>
      </w:r>
    </w:p>
    <w:bookmarkEnd w:id="144"/>
    <w:bookmarkStart w:id="146"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45">
        <w:r>
          <w:rPr>
            <w:rStyle w:val="Hyperlink"/>
          </w:rPr>
          <w:t xml:space="preserve">https://doi.org/10.1111/gcb.15684</w:t>
        </w:r>
      </w:hyperlink>
      <w:r>
        <w:t xml:space="preserve">.</w:t>
      </w:r>
    </w:p>
    <w:bookmarkEnd w:id="146"/>
    <w:bookmarkStart w:id="148"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 e12938.</w:t>
      </w:r>
      <w:r>
        <w:t xml:space="preserve"> </w:t>
      </w:r>
      <w:hyperlink r:id="rId147">
        <w:r>
          <w:rPr>
            <w:rStyle w:val="Hyperlink"/>
          </w:rPr>
          <w:t xml:space="preserve">https://doi.org/10.1111/conl.12938</w:t>
        </w:r>
      </w:hyperlink>
      <w:r>
        <w:t xml:space="preserve">.</w:t>
      </w:r>
    </w:p>
    <w:bookmarkEnd w:id="148"/>
    <w:bookmarkStart w:id="150" w:name="ref-fourqurean2012"/>
    <w:p>
      <w:pPr>
        <w:pStyle w:val="Bibliography"/>
      </w:pPr>
      <w:r>
        <w:t xml:space="preserve">Fourqurean, James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49">
        <w:r>
          <w:rPr>
            <w:rStyle w:val="Hyperlink"/>
          </w:rPr>
          <w:t xml:space="preserve">https://doi.org/10.1038/ngeo1477</w:t>
        </w:r>
      </w:hyperlink>
      <w:r>
        <w:t xml:space="preserve">.</w:t>
      </w:r>
    </w:p>
    <w:bookmarkEnd w:id="150"/>
    <w:bookmarkStart w:id="152" w:name="ref-fourqurean2010"/>
    <w:p>
      <w:pPr>
        <w:pStyle w:val="Bibliography"/>
      </w:pPr>
      <w:r>
        <w:t xml:space="preserve">Fourqurean, J. W., S. Manuel, K. A. Coates, W. J. Kenworthy, and S. R. Smith. 2010. Effects of excluding sea turtle herbivores from a seagrass bed: Overgrazing may have led to loss of seagrass meadows in Bermuda.</w:t>
      </w:r>
      <w:r>
        <w:t xml:space="preserve"> </w:t>
      </w:r>
      <w:r>
        <w:rPr>
          <w:iCs/>
          <w:i/>
        </w:rPr>
        <w:t xml:space="preserve">Marine Ecology Progress Series</w:t>
      </w:r>
      <w:r>
        <w:t xml:space="preserve"> </w:t>
      </w:r>
      <w:r>
        <w:t xml:space="preserve">419: 223–232.</w:t>
      </w:r>
      <w:r>
        <w:t xml:space="preserve"> </w:t>
      </w:r>
      <w:hyperlink r:id="rId151">
        <w:r>
          <w:rPr>
            <w:rStyle w:val="Hyperlink"/>
          </w:rPr>
          <w:t xml:space="preserve">https://doi.org/10.3354/meps08853</w:t>
        </w:r>
      </w:hyperlink>
      <w:r>
        <w:t xml:space="preserve">.</w:t>
      </w:r>
    </w:p>
    <w:bookmarkEnd w:id="152"/>
    <w:bookmarkStart w:id="154" w:name="ref-garcia2023"/>
    <w:p>
      <w:pPr>
        <w:pStyle w:val="Bibliography"/>
      </w:pPr>
      <w:r>
        <w:t xml:space="preserve">Garcia, L., C. J. Anastasiou, and D. Robison. 2023.</w:t>
      </w:r>
      <w:r>
        <w:t xml:space="preserve"> </w:t>
      </w:r>
      <w:hyperlink r:id="rId153">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S</w:t>
        </w:r>
        <w:r>
          <w:rPr>
            <w:rStyle w:val="Hyperlink"/>
            <w:iCs/>
            <w:i/>
          </w:rPr>
          <w:t xml:space="preserve">urface</w:t>
        </w:r>
        <w:r>
          <w:rPr>
            <w:rStyle w:val="Hyperlink"/>
            <w:iCs/>
            <w:i/>
          </w:rPr>
          <w:t xml:space="preserve"> </w:t>
        </w:r>
        <w:r>
          <w:rPr>
            <w:rStyle w:val="Hyperlink"/>
            <w:iCs/>
            <w:i/>
          </w:rPr>
          <w:t xml:space="preserve">W</w:t>
        </w:r>
        <w:r>
          <w:rPr>
            <w:rStyle w:val="Hyperlink"/>
            <w:iCs/>
            <w:i/>
          </w:rPr>
          <w:t xml:space="preserve">ater</w:t>
        </w:r>
        <w:r>
          <w:rPr>
            <w:rStyle w:val="Hyperlink"/>
            <w:iCs/>
            <w:i/>
          </w:rPr>
          <w:t xml:space="preserve"> </w:t>
        </w:r>
        <w:r>
          <w:rPr>
            <w:rStyle w:val="Hyperlink"/>
            <w:iCs/>
            <w:i/>
          </w:rPr>
          <w:t xml:space="preserve">I</w:t>
        </w:r>
        <w:r>
          <w:rPr>
            <w:rStyle w:val="Hyperlink"/>
            <w:iCs/>
            <w:i/>
          </w:rPr>
          <w:t xml:space="preserve">mprovement and</w:t>
        </w:r>
        <w:r>
          <w:rPr>
            <w:rStyle w:val="Hyperlink"/>
            <w:iCs/>
            <w:i/>
          </w:rPr>
          <w:t xml:space="preserve"> </w:t>
        </w:r>
        <w:r>
          <w:rPr>
            <w:rStyle w:val="Hyperlink"/>
            <w:iCs/>
            <w:i/>
          </w:rPr>
          <w:t xml:space="preserve">M</w:t>
        </w:r>
        <w:r>
          <w:rPr>
            <w:rStyle w:val="Hyperlink"/>
            <w:iCs/>
            <w:i/>
          </w:rPr>
          <w:t xml:space="preserve">anagement (</w:t>
        </w:r>
        <w:r>
          <w:rPr>
            <w:rStyle w:val="Hyperlink"/>
            <w:iCs/>
            <w:i/>
          </w:rPr>
          <w:t xml:space="preserve">SWIM</w:t>
        </w:r>
        <w:r>
          <w:rPr>
            <w:rStyle w:val="Hyperlink"/>
            <w:iCs/>
            <w:i/>
          </w:rPr>
          <w:t xml:space="preserve">)</w:t>
        </w:r>
        <w:r>
          <w:rPr>
            <w:rStyle w:val="Hyperlink"/>
            <w:iCs/>
            <w:i/>
          </w:rPr>
          <w:t xml:space="preserve"> </w:t>
        </w:r>
        <w:r>
          <w:rPr>
            <w:rStyle w:val="Hyperlink"/>
            <w:iCs/>
            <w:i/>
          </w:rPr>
          <w:t xml:space="preserve">P</w:t>
        </w:r>
        <w:r>
          <w:rPr>
            <w:rStyle w:val="Hyperlink"/>
            <w:iCs/>
            <w:i/>
          </w:rPr>
          <w:t xml:space="preserve">lan</w:t>
        </w:r>
      </w:hyperlink>
      <w:r>
        <w:t xml:space="preserve">. Brooksville, Florida: Southwest Florida Water Management District.</w:t>
      </w:r>
    </w:p>
    <w:bookmarkEnd w:id="154"/>
    <w:bookmarkStart w:id="156"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55">
        <w:r>
          <w:rPr>
            <w:rStyle w:val="Hyperlink"/>
          </w:rPr>
          <w:t xml:space="preserve">https://doi.org/10.1016/j.marpolbul.2010.11.017</w:t>
        </w:r>
      </w:hyperlink>
      <w:r>
        <w:t xml:space="preserve">.</w:t>
      </w:r>
    </w:p>
    <w:bookmarkEnd w:id="156"/>
    <w:bookmarkStart w:id="158" w:name="ref-greening2011"/>
    <w:p>
      <w:pPr>
        <w:pStyle w:val="Bibliography"/>
      </w:pPr>
      <w:r>
        <w:t xml:space="preserve">Greening, H. S., L. M. Cross, and E. T. Sherwood. 2011. A Multiscale Approach to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Ecological Restoration</w:t>
      </w:r>
      <w:r>
        <w:t xml:space="preserve"> </w:t>
      </w:r>
      <w:r>
        <w:t xml:space="preserve">29: 82–93.</w:t>
      </w:r>
      <w:r>
        <w:t xml:space="preserve"> </w:t>
      </w:r>
      <w:hyperlink r:id="rId157">
        <w:r>
          <w:rPr>
            <w:rStyle w:val="Hyperlink"/>
          </w:rPr>
          <w:t xml:space="preserve">https://doi.org/10.3368/er.29.1-2.82</w:t>
        </w:r>
      </w:hyperlink>
      <w:r>
        <w:t xml:space="preserve">.</w:t>
      </w:r>
    </w:p>
    <w:bookmarkEnd w:id="158"/>
    <w:bookmarkStart w:id="160" w:name="ref-greening2006"/>
    <w:p>
      <w:pPr>
        <w:pStyle w:val="Bibliography"/>
      </w:pPr>
      <w:r>
        <w:t xml:space="preserve">Greening, H. S., and A. J. Janicki.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 </w:t>
      </w:r>
      <w:r>
        <w:t xml:space="preserve">38: 163–178.</w:t>
      </w:r>
      <w:r>
        <w:t xml:space="preserve"> </w:t>
      </w:r>
      <w:hyperlink r:id="rId159">
        <w:r>
          <w:rPr>
            <w:rStyle w:val="Hyperlink"/>
          </w:rPr>
          <w:t xml:space="preserve">https://doi.org/10.1007/s00267-005-0079-4</w:t>
        </w:r>
      </w:hyperlink>
      <w:r>
        <w:t xml:space="preserve">.</w:t>
      </w:r>
    </w:p>
    <w:bookmarkEnd w:id="160"/>
    <w:bookmarkStart w:id="162" w:name="ref-greening2014"/>
    <w:p>
      <w:pPr>
        <w:pStyle w:val="Bibliography"/>
      </w:pPr>
      <w:r>
        <w:t xml:space="preserve">Greening, H. S., A. J.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61">
        <w:r>
          <w:rPr>
            <w:rStyle w:val="Hyperlink"/>
          </w:rPr>
          <w:t xml:space="preserve">https://doi.org/10.1016/j.ecss.2014.10.003</w:t>
        </w:r>
      </w:hyperlink>
      <w:r>
        <w:t xml:space="preserve">.</w:t>
      </w:r>
    </w:p>
    <w:bookmarkEnd w:id="162"/>
    <w:bookmarkStart w:id="164" w:name="ref-hall2022"/>
    <w:p>
      <w:pPr>
        <w:pStyle w:val="Bibliography"/>
      </w:pPr>
      <w:r>
        <w:t xml:space="preserve">Hall, L. M., L. J. Morris, R. H. Chamberlain, M. D. Hanisak, R. W. Virnstein, R. Paperno, B. Riegl, L. R. Ellis, A. Simpson, and C. A. Jacoby. 2022. Spatiotemporal patterns in the biomass of drift macroalgae in the</w:t>
      </w:r>
      <w:r>
        <w:t xml:space="preserve"> </w:t>
      </w:r>
      <w:r>
        <w:t xml:space="preserve">I</w:t>
      </w:r>
      <w:r>
        <w:t xml:space="preserve">ndian</w:t>
      </w:r>
      <w:r>
        <w:t xml:space="preserve"> </w:t>
      </w:r>
      <w:r>
        <w:t xml:space="preserve">R</w:t>
      </w:r>
      <w:r>
        <w:t xml:space="preserve">iver</w:t>
      </w:r>
      <w:r>
        <w:t xml:space="preserve"> </w:t>
      </w:r>
      <w:r>
        <w:t xml:space="preserve">L</w:t>
      </w:r>
      <w:r>
        <w:t xml:space="preserve">agoon,</w:t>
      </w:r>
      <w:r>
        <w:t xml:space="preserve"> </w:t>
      </w:r>
      <w:r>
        <w:t xml:space="preserve">F</w:t>
      </w:r>
      <w:r>
        <w:t xml:space="preserve">lorida,</w:t>
      </w:r>
      <w:r>
        <w:t xml:space="preserve"> </w:t>
      </w:r>
      <w:r>
        <w:t xml:space="preserve">U</w:t>
      </w:r>
      <w:r>
        <w:t xml:space="preserve">nited</w:t>
      </w:r>
      <w:r>
        <w:t xml:space="preserve"> </w:t>
      </w:r>
      <w:r>
        <w:t xml:space="preserve">S</w:t>
      </w:r>
      <w:r>
        <w:t xml:space="preserve">tates.</w:t>
      </w:r>
      <w:r>
        <w:t xml:space="preserve"> </w:t>
      </w:r>
      <w:r>
        <w:rPr>
          <w:iCs/>
          <w:i/>
        </w:rPr>
        <w:t xml:space="preserve">Frontiers in Marine Science</w:t>
      </w:r>
      <w:r>
        <w:t xml:space="preserve"> </w:t>
      </w:r>
      <w:r>
        <w:t xml:space="preserve">9: 767440.</w:t>
      </w:r>
      <w:r>
        <w:t xml:space="preserve"> </w:t>
      </w:r>
      <w:hyperlink r:id="rId163">
        <w:r>
          <w:rPr>
            <w:rStyle w:val="Hyperlink"/>
          </w:rPr>
          <w:t xml:space="preserve">https://doi.org/10.3389/fmars.2022.767440</w:t>
        </w:r>
      </w:hyperlink>
      <w:r>
        <w:t xml:space="preserve">.</w:t>
      </w:r>
    </w:p>
    <w:bookmarkEnd w:id="164"/>
    <w:bookmarkStart w:id="166" w:name="ref-hall1999"/>
    <w:p>
      <w:pPr>
        <w:pStyle w:val="Bibliography"/>
      </w:pPr>
      <w:r>
        <w:t xml:space="preserve">Hall, M. O., M. J. Durako, J. W. Fourqurean, and J. C. Zieman. 1999. Decadal changes in seagrass distribution and abundance in</w:t>
      </w:r>
      <w:r>
        <w:t xml:space="preserve"> </w:t>
      </w:r>
      <w:r>
        <w:t xml:space="preserve">F</w:t>
      </w:r>
      <w:r>
        <w:t xml:space="preserve">lorida</w:t>
      </w:r>
      <w:r>
        <w:t xml:space="preserve"> </w:t>
      </w:r>
      <w:r>
        <w:t xml:space="preserve">B</w:t>
      </w:r>
      <w:r>
        <w:t xml:space="preserve">ay.</w:t>
      </w:r>
      <w:r>
        <w:t xml:space="preserve"> </w:t>
      </w:r>
      <w:r>
        <w:rPr>
          <w:iCs/>
          <w:i/>
        </w:rPr>
        <w:t xml:space="preserve">Estuaries</w:t>
      </w:r>
      <w:r>
        <w:t xml:space="preserve"> </w:t>
      </w:r>
      <w:r>
        <w:t xml:space="preserve">22: 445.</w:t>
      </w:r>
      <w:r>
        <w:t xml:space="preserve"> </w:t>
      </w:r>
      <w:hyperlink r:id="rId165">
        <w:r>
          <w:rPr>
            <w:rStyle w:val="Hyperlink"/>
          </w:rPr>
          <w:t xml:space="preserve">https://doi.org/10.2307/1353210</w:t>
        </w:r>
      </w:hyperlink>
      <w:r>
        <w:t xml:space="preserve">.</w:t>
      </w:r>
    </w:p>
    <w:bookmarkEnd w:id="166"/>
    <w:bookmarkStart w:id="168" w:name="ref-hall2016"/>
    <w:p>
      <w:pPr>
        <w:pStyle w:val="Bibliography"/>
      </w:pPr>
      <w:r>
        <w:t xml:space="preserve">Hall, M.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67">
        <w:r>
          <w:rPr>
            <w:rStyle w:val="Hyperlink"/>
          </w:rPr>
          <w:t xml:space="preserve">https://doi.org/10.3354/meps11923</w:t>
        </w:r>
      </w:hyperlink>
      <w:r>
        <w:t xml:space="preserve">.</w:t>
      </w:r>
    </w:p>
    <w:bookmarkEnd w:id="168"/>
    <w:bookmarkStart w:id="170" w:name="ref-hammer2018"/>
    <w:p>
      <w:pPr>
        <w:pStyle w:val="Bibliography"/>
      </w:pPr>
      <w:r>
        <w:t xml:space="preserve">Hammer, K., J. Borum, H. Hasler-Sheetal, E. Shields, K. Sand-Jensen, and K. Moore. 2018. High temperatures cause reduced growth, plant death and metabolic changes in eelgrass</w:t>
      </w:r>
      <w:r>
        <w:t xml:space="preserve"> </w:t>
      </w:r>
      <w:r>
        <w:rPr>
          <w:iCs/>
          <w:i/>
        </w:rPr>
        <w:t xml:space="preserve">Z</w:t>
      </w:r>
      <w:r>
        <w:rPr>
          <w:iCs/>
          <w:i/>
        </w:rPr>
        <w:t xml:space="preserve">ostera</w:t>
      </w:r>
      <w:r>
        <w:rPr>
          <w:iCs/>
          <w:i/>
        </w:rPr>
        <w:t xml:space="preserve"> </w:t>
      </w:r>
      <w:r>
        <w:rPr>
          <w:iCs/>
          <w:i/>
        </w:rPr>
        <w:t xml:space="preserve">m</w:t>
      </w:r>
      <w:r>
        <w:rPr>
          <w:iCs/>
          <w:i/>
        </w:rPr>
        <w:t xml:space="preserve">arina</w:t>
      </w:r>
      <w:r>
        <w:t xml:space="preserve">.</w:t>
      </w:r>
      <w:r>
        <w:t xml:space="preserve"> </w:t>
      </w:r>
      <w:r>
        <w:rPr>
          <w:iCs/>
          <w:i/>
        </w:rPr>
        <w:t xml:space="preserve">Marine Ecology Progress Series</w:t>
      </w:r>
      <w:r>
        <w:t xml:space="preserve"> </w:t>
      </w:r>
      <w:r>
        <w:t xml:space="preserve">604: 121–132.</w:t>
      </w:r>
      <w:r>
        <w:t xml:space="preserve"> </w:t>
      </w:r>
      <w:hyperlink r:id="rId169">
        <w:r>
          <w:rPr>
            <w:rStyle w:val="Hyperlink"/>
          </w:rPr>
          <w:t xml:space="preserve">https://doi.org/10.3354/meps12740</w:t>
        </w:r>
      </w:hyperlink>
      <w:r>
        <w:t xml:space="preserve">.</w:t>
      </w:r>
    </w:p>
    <w:bookmarkEnd w:id="170"/>
    <w:bookmarkStart w:id="172" w:name="ref-han2014"/>
    <w:p>
      <w:pPr>
        <w:pStyle w:val="Bibliography"/>
      </w:pPr>
      <w:r>
        <w:t xml:space="preserve">Han, Q., and D. Liu. 2014. Macroalgae blooms and their effects on seagrass ecosystems.</w:t>
      </w:r>
      <w:r>
        <w:t xml:space="preserve"> </w:t>
      </w:r>
      <w:r>
        <w:rPr>
          <w:iCs/>
          <w:i/>
        </w:rPr>
        <w:t xml:space="preserve">Journal of Ocean University of China</w:t>
      </w:r>
      <w:r>
        <w:t xml:space="preserve"> </w:t>
      </w:r>
      <w:r>
        <w:t xml:space="preserve">13: 791–798.</w:t>
      </w:r>
      <w:r>
        <w:t xml:space="preserve"> </w:t>
      </w:r>
      <w:hyperlink r:id="rId171">
        <w:r>
          <w:rPr>
            <w:rStyle w:val="Hyperlink"/>
          </w:rPr>
          <w:t xml:space="preserve">https://doi.org/10.1007/s11802-014-2471-2</w:t>
        </w:r>
      </w:hyperlink>
      <w:r>
        <w:t xml:space="preserve">.</w:t>
      </w:r>
    </w:p>
    <w:bookmarkEnd w:id="172"/>
    <w:bookmarkStart w:id="174" w:name="ref-heck2007"/>
    <w:p>
      <w:pPr>
        <w:pStyle w:val="Bibliography"/>
      </w:pPr>
      <w:r>
        <w:t xml:space="preserve">Heck, K. L., and J. F. Valentine. 2007. The primacy of top-down effects in shallow benthic ecosystems.</w:t>
      </w:r>
      <w:r>
        <w:t xml:space="preserve"> </w:t>
      </w:r>
      <w:r>
        <w:rPr>
          <w:iCs/>
          <w:i/>
        </w:rPr>
        <w:t xml:space="preserve">Estuaries and Coasts</w:t>
      </w:r>
      <w:r>
        <w:t xml:space="preserve"> </w:t>
      </w:r>
      <w:r>
        <w:t xml:space="preserve">30: 371–381.</w:t>
      </w:r>
      <w:r>
        <w:t xml:space="preserve"> </w:t>
      </w:r>
      <w:hyperlink r:id="rId173">
        <w:r>
          <w:rPr>
            <w:rStyle w:val="Hyperlink"/>
          </w:rPr>
          <w:t xml:space="preserve">https://doi.org/10.1007/bf02819384</w:t>
        </w:r>
      </w:hyperlink>
      <w:r>
        <w:t xml:space="preserve">.</w:t>
      </w:r>
    </w:p>
    <w:bookmarkEnd w:id="174"/>
    <w:bookmarkStart w:id="176"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75">
        <w:r>
          <w:rPr>
            <w:rStyle w:val="Hyperlink"/>
          </w:rPr>
          <w:t xml:space="preserve">https://doi.org/10.1073/pnas.2220678120</w:t>
        </w:r>
      </w:hyperlink>
      <w:r>
        <w:t xml:space="preserve">.</w:t>
      </w:r>
    </w:p>
    <w:bookmarkEnd w:id="176"/>
    <w:bookmarkStart w:id="178"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77">
        <w:r>
          <w:rPr>
            <w:rStyle w:val="Hyperlink"/>
          </w:rPr>
          <w:t xml:space="preserve">https://doi.org/10.1029/wr018i001p00107</w:t>
        </w:r>
      </w:hyperlink>
      <w:r>
        <w:t xml:space="preserve">.</w:t>
      </w:r>
    </w:p>
    <w:bookmarkEnd w:id="178"/>
    <w:bookmarkStart w:id="180"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79">
        <w:r>
          <w:rPr>
            <w:rStyle w:val="Hyperlink"/>
          </w:rPr>
          <w:t xml:space="preserve">https://doi.org/10.1101/sqb.1957.022.01.039</w:t>
        </w:r>
      </w:hyperlink>
      <w:r>
        <w:t xml:space="preserve">.</w:t>
      </w:r>
    </w:p>
    <w:bookmarkEnd w:id="180"/>
    <w:bookmarkStart w:id="181" w:name="ref-tbep0696"/>
    <w:p>
      <w:pPr>
        <w:pStyle w:val="Bibliography"/>
      </w:pPr>
      <w:r>
        <w:t xml:space="preserve">Janicki, A. J., and D. L. Wade. 1996.</w:t>
      </w:r>
      <w:r>
        <w:t xml:space="preserve"> </w:t>
      </w:r>
      <w:hyperlink r:id="rId153">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81"/>
    <w:bookmarkStart w:id="183" w:name="ref-jei2022"/>
    <w:p>
      <w:pPr>
        <w:pStyle w:val="Bibliography"/>
      </w:pPr>
      <w:r>
        <w:t xml:space="preserve">Janicki Environmental, Inc. 2022.</w:t>
      </w:r>
      <w:r>
        <w:t xml:space="preserve"> </w:t>
      </w:r>
      <w:hyperlink r:id="rId182">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83"/>
    <w:bookmarkStart w:id="185" w:name="ref-tbep0623"/>
    <w:p>
      <w:pPr>
        <w:pStyle w:val="Bibliography"/>
      </w:pPr>
      <w:r>
        <w:t xml:space="preserve">Janicki Environmental, Inc. 2023.</w:t>
      </w:r>
      <w:r>
        <w:t xml:space="preserve"> </w:t>
      </w:r>
      <w:hyperlink r:id="rId184">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85"/>
    <w:bookmarkStart w:id="187" w:name="ref-tbep0816"/>
    <w:p>
      <w:pPr>
        <w:pStyle w:val="Bibliography"/>
      </w:pPr>
      <w:r>
        <w:t xml:space="preserve">Johansson, J. O. R. 2016.</w:t>
      </w:r>
      <w:r>
        <w:t xml:space="preserve"> </w:t>
      </w:r>
      <w:hyperlink r:id="rId186">
        <w:r>
          <w:rPr>
            <w:rStyle w:val="Hyperlink"/>
            <w:iCs/>
            <w:i/>
          </w:rPr>
          <w:t xml:space="preserve">Seagrass transect monitoring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 summary of findings from 1997 through 2015</w:t>
        </w:r>
      </w:hyperlink>
      <w:r>
        <w:t xml:space="preserve">. 08-16. St. Petersburg, Florida: Tampa Bay Estuary Program.</w:t>
      </w:r>
    </w:p>
    <w:bookmarkEnd w:id="187"/>
    <w:bookmarkStart w:id="189" w:name="ref-johansson15"/>
    <w:p>
      <w:pPr>
        <w:pStyle w:val="Bibliography"/>
      </w:pPr>
      <w:r>
        <w:t xml:space="preserve">Johansson, J. O. R., and Janicki Environmental, Inc. 2015.</w:t>
      </w:r>
      <w:r>
        <w:t xml:space="preserve"> </w:t>
      </w:r>
      <w:hyperlink r:id="rId188">
        <w:r>
          <w:rPr>
            <w:rStyle w:val="Hyperlink"/>
            <w:iCs/>
            <w:i/>
          </w:rPr>
          <w:t xml:space="preserve">Long-term underwater light climate variation and submerged seagrass trends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With a discussion of phytoplankton and</w:t>
        </w:r>
        <w:r>
          <w:rPr>
            <w:rStyle w:val="Hyperlink"/>
            <w:iCs/>
            <w:i/>
          </w:rPr>
          <w:t xml:space="preserve"> </w:t>
        </w:r>
        <w:r>
          <w:rPr>
            <w:rStyle w:val="Hyperlink"/>
            <w:iCs/>
            <w:i/>
          </w:rPr>
          <w:t xml:space="preserve">CDOM</w:t>
        </w:r>
        <w:r>
          <w:rPr>
            <w:rStyle w:val="Hyperlink"/>
            <w:iCs/>
            <w:i/>
          </w:rPr>
          <w:t xml:space="preserve"> </w:t>
        </w:r>
        <w:r>
          <w:rPr>
            <w:rStyle w:val="Hyperlink"/>
            <w:iCs/>
            <w:i/>
          </w:rPr>
          <w:t xml:space="preserve">interactions</w:t>
        </w:r>
      </w:hyperlink>
      <w:r>
        <w:t xml:space="preserve">. 06-15. St. Petersburg, Florida: Tampa Bay Estuary Program.</w:t>
      </w:r>
    </w:p>
    <w:bookmarkEnd w:id="189"/>
    <w:bookmarkStart w:id="191" w:name="ref-koch2007"/>
    <w:p>
      <w:pPr>
        <w:pStyle w:val="Bibliography"/>
      </w:pPr>
      <w:r>
        <w:t xml:space="preserve">Koch, M. S., S. A. Schopmeyer, O. I. Nielsen, C. Kyhn-Hansen, and C. J. Madden. 2007. Conceptual model of seagrass die-off in</w:t>
      </w:r>
      <w:r>
        <w:t xml:space="preserve"> </w:t>
      </w:r>
      <w:r>
        <w:t xml:space="preserve">F</w:t>
      </w:r>
      <w:r>
        <w:t xml:space="preserve">lorida</w:t>
      </w:r>
      <w:r>
        <w:t xml:space="preserve"> </w:t>
      </w:r>
      <w:r>
        <w:t xml:space="preserve">B</w:t>
      </w:r>
      <w:r>
        <w:t xml:space="preserve">ay: Links to biogeochemical processes.</w:t>
      </w:r>
      <w:r>
        <w:t xml:space="preserve"> </w:t>
      </w:r>
      <w:r>
        <w:rPr>
          <w:iCs/>
          <w:i/>
        </w:rPr>
        <w:t xml:space="preserve">Journal of Experimental Marine Biology and Ecology</w:t>
      </w:r>
      <w:r>
        <w:t xml:space="preserve"> </w:t>
      </w:r>
      <w:r>
        <w:t xml:space="preserve">350: 73–88.</w:t>
      </w:r>
      <w:r>
        <w:t xml:space="preserve"> </w:t>
      </w:r>
      <w:hyperlink r:id="rId190">
        <w:r>
          <w:rPr>
            <w:rStyle w:val="Hyperlink"/>
          </w:rPr>
          <w:t xml:space="preserve">https://doi.org/10.1016/j.jembe.2007.05.031</w:t>
        </w:r>
      </w:hyperlink>
      <w:r>
        <w:t xml:space="preserve">.</w:t>
      </w:r>
    </w:p>
    <w:bookmarkEnd w:id="191"/>
    <w:bookmarkStart w:id="193"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92">
        <w:r>
          <w:rPr>
            <w:rStyle w:val="Hyperlink"/>
          </w:rPr>
          <w:t xml:space="preserve">https://doi.org/10.1073/pnas.1715798115</w:t>
        </w:r>
      </w:hyperlink>
      <w:r>
        <w:t xml:space="preserve">.</w:t>
      </w:r>
    </w:p>
    <w:bookmarkEnd w:id="193"/>
    <w:bookmarkStart w:id="195"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94">
        <w:r>
          <w:rPr>
            <w:rStyle w:val="Hyperlink"/>
          </w:rPr>
          <w:t xml:space="preserve">https://doi.org/10.1111/gcb.13623</w:t>
        </w:r>
      </w:hyperlink>
      <w:r>
        <w:t xml:space="preserve">.</w:t>
      </w:r>
    </w:p>
    <w:bookmarkEnd w:id="195"/>
    <w:bookmarkStart w:id="197" w:name="ref-lewis1985"/>
    <w:p>
      <w:pPr>
        <w:pStyle w:val="Bibliography"/>
      </w:pPr>
      <w:r>
        <w:t xml:space="preserve">Lewis III, R. R., M. Durako, M. Moffler, and R. Phillips. 1985.</w:t>
      </w:r>
      <w:r>
        <w:t xml:space="preserve"> </w:t>
      </w:r>
      <w:hyperlink r:id="rId196">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w:t>
      </w:r>
      <w:r>
        <w:rPr>
          <w:iCs/>
          <w:i/>
        </w:rPr>
        <w:t xml:space="preserve"> </w:t>
      </w:r>
      <w:r>
        <w:rPr>
          <w:iCs/>
          <w:i/>
        </w:rPr>
        <w:t xml:space="preserve">M</w:t>
      </w:r>
      <w:r>
        <w:rPr>
          <w:iCs/>
          <w:i/>
        </w:rPr>
        <w:t xml:space="preserve">ay 1982</w:t>
      </w:r>
      <w:r>
        <w:t xml:space="preserve">, ed. S. F. Treat, J. L. Simon, R. R. Lewis III, and R. L. Whitman Jr., 210–246. Tampa, Florida: Bellweather Press.</w:t>
      </w:r>
    </w:p>
    <w:bookmarkEnd w:id="197"/>
    <w:bookmarkStart w:id="199"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98">
        <w:r>
          <w:rPr>
            <w:rStyle w:val="Hyperlink"/>
          </w:rPr>
          <w:t xml:space="preserve">https://doi.org/10.1007/bf02691700</w:t>
        </w:r>
      </w:hyperlink>
      <w:r>
        <w:t xml:space="preserve">.</w:t>
      </w:r>
    </w:p>
    <w:bookmarkEnd w:id="199"/>
    <w:bookmarkStart w:id="201" w:name="ref-lizcano-sandoval2022"/>
    <w:p>
      <w:pPr>
        <w:pStyle w:val="Bibliography"/>
      </w:pPr>
      <w:r>
        <w:t xml:space="preserve">Lizcano-Sandoval, L., C. Anastasiou, E. Montes, G. E. Raulerson, E. T. Sherwood, and F. E. Muller-Karger. 2022. Seagrass distribution, areal cover, and changes (1990-2021) in coastal waters off West-Central Florida, USA.</w:t>
      </w:r>
      <w:r>
        <w:t xml:space="preserve"> </w:t>
      </w:r>
      <w:r>
        <w:rPr>
          <w:iCs/>
          <w:i/>
        </w:rPr>
        <w:t xml:space="preserve">Estuarine, Coastal and Shelf Science</w:t>
      </w:r>
      <w:r>
        <w:t xml:space="preserve"> </w:t>
      </w:r>
      <w:r>
        <w:t xml:space="preserve">279: 108134.</w:t>
      </w:r>
      <w:r>
        <w:t xml:space="preserve"> </w:t>
      </w:r>
      <w:hyperlink r:id="rId200">
        <w:r>
          <w:rPr>
            <w:rStyle w:val="Hyperlink"/>
          </w:rPr>
          <w:t xml:space="preserve">https://doi.org/10.1016/j.ecss.2022.108134</w:t>
        </w:r>
      </w:hyperlink>
      <w:r>
        <w:t xml:space="preserve">.</w:t>
      </w:r>
    </w:p>
    <w:bookmarkEnd w:id="201"/>
    <w:bookmarkStart w:id="203" w:name="ref-lopez2021"/>
    <w:p>
      <w:pPr>
        <w:pStyle w:val="Bibliography"/>
      </w:pPr>
      <w:r>
        <w:t xml:space="preserve">Lopez, C. B., S. Shankar, S. G. Kaminski, M. Garrett, and K. A. Hubbard. 2021.</w:t>
      </w:r>
      <w:r>
        <w:t xml:space="preserve"> </w:t>
      </w:r>
      <w:hyperlink r:id="rId202">
        <w:r>
          <w:rPr>
            <w:rStyle w:val="Hyperlink"/>
            <w:iCs/>
            <w:i/>
          </w:rPr>
          <w:t xml:space="preserve">Linking</w:t>
        </w:r>
        <w:r>
          <w:rPr>
            <w:rStyle w:val="Hyperlink"/>
            <w:iCs/>
            <w:i/>
          </w:rPr>
          <w:t xml:space="preserve"> </w:t>
        </w:r>
        <w:r>
          <w:rPr>
            <w:rStyle w:val="Hyperlink"/>
            <w:iCs/>
            <w:i/>
            <w:iCs/>
            <w:i/>
          </w:rPr>
          <w:t xml:space="preserve">P</w:t>
        </w:r>
        <w:r>
          <w:rPr>
            <w:rStyle w:val="Hyperlink"/>
            <w:iCs/>
            <w:i/>
            <w:iCs/>
            <w:i/>
          </w:rPr>
          <w:t xml:space="preserve">yrodinium</w:t>
        </w:r>
        <w:r>
          <w:rPr>
            <w:rStyle w:val="Hyperlink"/>
            <w:iCs/>
            <w:i/>
            <w:iCs/>
            <w:i/>
          </w:rPr>
          <w:t xml:space="preserve"> </w:t>
        </w:r>
        <w:r>
          <w:rPr>
            <w:rStyle w:val="Hyperlink"/>
            <w:iCs/>
            <w:i/>
            <w:iCs/>
            <w:i/>
          </w:rPr>
          <w:t xml:space="preserve">b</w:t>
        </w:r>
        <w:r>
          <w:rPr>
            <w:rStyle w:val="Hyperlink"/>
            <w:iCs/>
            <w:i/>
            <w:iCs/>
            <w:i/>
          </w:rPr>
          <w:t xml:space="preserve">ahamense</w:t>
        </w:r>
        <w:r>
          <w:rPr>
            <w:rStyle w:val="Hyperlink"/>
            <w:iCs/>
            <w:i/>
          </w:rPr>
          <w:t xml:space="preserve"> </w:t>
        </w:r>
        <w:r>
          <w:rPr>
            <w:rStyle w:val="Hyperlink"/>
            <w:iCs/>
            <w:i/>
          </w:rPr>
          <w:t xml:space="preserve">physiology and behavior to population growth and loss in nature and implications for management</w:t>
        </w:r>
      </w:hyperlink>
      <w:r>
        <w:t xml:space="preserve">. 07a-21. St. Petersburg, Florida: Tampa Bay Estuary Program.</w:t>
      </w:r>
    </w:p>
    <w:bookmarkEnd w:id="203"/>
    <w:bookmarkStart w:id="204"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204"/>
    <w:bookmarkStart w:id="206" w:name="ref-luther2022"/>
    <w:p>
      <w:pPr>
        <w:pStyle w:val="Bibliography"/>
      </w:pPr>
      <w:r>
        <w:t xml:space="preserve">Luther, M. E., and S. D. Meyers. 2022.</w:t>
      </w:r>
      <w:r>
        <w:t xml:space="preserve"> </w:t>
      </w:r>
      <w:hyperlink r:id="rId205">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206"/>
    <w:bookmarkStart w:id="208"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207">
        <w:r>
          <w:rPr>
            <w:rStyle w:val="Hyperlink"/>
          </w:rPr>
          <w:t xml:space="preserve">https://doi.org/10.1016/j.seares.2012.03.002</w:t>
        </w:r>
      </w:hyperlink>
      <w:r>
        <w:t xml:space="preserve">.</w:t>
      </w:r>
    </w:p>
    <w:bookmarkEnd w:id="208"/>
    <w:bookmarkStart w:id="210"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 a review.</w:t>
      </w:r>
      <w:r>
        <w:t xml:space="preserve"> </w:t>
      </w:r>
      <w:r>
        <w:rPr>
          <w:iCs/>
          <w:i/>
        </w:rPr>
        <w:t xml:space="preserve">Biological Reviews</w:t>
      </w:r>
      <w:r>
        <w:t xml:space="preserve"> </w:t>
      </w:r>
      <w:r>
        <w:t xml:space="preserve">92: 1521–1538.</w:t>
      </w:r>
      <w:r>
        <w:t xml:space="preserve"> </w:t>
      </w:r>
      <w:hyperlink r:id="rId209">
        <w:r>
          <w:rPr>
            <w:rStyle w:val="Hyperlink"/>
          </w:rPr>
          <w:t xml:space="preserve">https://doi.org/10.1111/brv.12294</w:t>
        </w:r>
      </w:hyperlink>
      <w:r>
        <w:t xml:space="preserve">.</w:t>
      </w:r>
    </w:p>
    <w:bookmarkEnd w:id="210"/>
    <w:bookmarkStart w:id="212"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211">
        <w:r>
          <w:rPr>
            <w:rStyle w:val="Hyperlink"/>
          </w:rPr>
          <w:t xml:space="preserve">https://doi.org/10.2307/1932688</w:t>
        </w:r>
      </w:hyperlink>
      <w:r>
        <w:t xml:space="preserve">.</w:t>
      </w:r>
    </w:p>
    <w:bookmarkEnd w:id="212"/>
    <w:bookmarkStart w:id="214" w:name="ref-millard13"/>
    <w:p>
      <w:pPr>
        <w:pStyle w:val="Bibliography"/>
      </w:pPr>
      <w:r>
        <w:t xml:space="preserve">Millard, S. P. 2013.</w:t>
      </w:r>
      <w:r>
        <w:t xml:space="preserve"> </w:t>
      </w:r>
      <w:hyperlink r:id="rId213">
        <w:r>
          <w:rPr>
            <w:rStyle w:val="Hyperlink"/>
            <w:iCs/>
            <w:i/>
          </w:rPr>
          <w:t xml:space="preserve">EnvStats: An</w:t>
        </w:r>
        <w:r>
          <w:rPr>
            <w:rStyle w:val="Hyperlink"/>
            <w:iCs/>
            <w:i/>
          </w:rPr>
          <w:t xml:space="preserve"> </w:t>
        </w:r>
        <w:r>
          <w:rPr>
            <w:rStyle w:val="Hyperlink"/>
            <w:iCs/>
            <w:i/>
          </w:rPr>
          <w:t xml:space="preserve">R</w:t>
        </w:r>
        <w:r>
          <w:rPr>
            <w:rStyle w:val="Hyperlink"/>
            <w:iCs/>
            <w:i/>
          </w:rPr>
          <w:t xml:space="preserve"> </w:t>
        </w:r>
        <w:r>
          <w:rPr>
            <w:rStyle w:val="Hyperlink"/>
            <w:iCs/>
            <w:i/>
          </w:rPr>
          <w:t xml:space="preserve">package for environmental statistics</w:t>
        </w:r>
      </w:hyperlink>
      <w:r>
        <w:t xml:space="preserve">. New York: Springer.</w:t>
      </w:r>
    </w:p>
    <w:bookmarkEnd w:id="214"/>
    <w:bookmarkStart w:id="216" w:name="ref-moreno-marin2018"/>
    <w:p>
      <w:pPr>
        <w:pStyle w:val="Bibliography"/>
      </w:pPr>
      <w:r>
        <w:t xml:space="preserve">Moreno-Marín, F., F. G. Brun, and M. F. Pedersen. 2018. Additive response to multiple environmental stressors in the seagrass</w:t>
      </w:r>
      <w:r>
        <w:t xml:space="preserve"> </w:t>
      </w:r>
      <w:r>
        <w:rPr>
          <w:iCs/>
          <w:i/>
        </w:rPr>
        <w:t xml:space="preserve">Zostera marina</w:t>
      </w:r>
      <w:r>
        <w:t xml:space="preserve"> </w:t>
      </w:r>
      <w:r>
        <w:t xml:space="preserve">L.</w:t>
      </w:r>
      <w:r>
        <w:t xml:space="preserve"> </w:t>
      </w:r>
      <w:r>
        <w:rPr>
          <w:iCs/>
          <w:i/>
        </w:rPr>
        <w:t xml:space="preserve">Limnology and Oceanography</w:t>
      </w:r>
      <w:r>
        <w:t xml:space="preserve"> </w:t>
      </w:r>
      <w:r>
        <w:t xml:space="preserve">63: 1528–1544.</w:t>
      </w:r>
      <w:r>
        <w:t xml:space="preserve"> </w:t>
      </w:r>
      <w:hyperlink r:id="rId215">
        <w:r>
          <w:rPr>
            <w:rStyle w:val="Hyperlink"/>
          </w:rPr>
          <w:t xml:space="preserve">https://doi.org/10.1002/lno.10789</w:t>
        </w:r>
      </w:hyperlink>
      <w:r>
        <w:t xml:space="preserve">.</w:t>
      </w:r>
    </w:p>
    <w:bookmarkEnd w:id="216"/>
    <w:bookmarkStart w:id="218" w:name="ref-morrison2006"/>
    <w:p>
      <w:pPr>
        <w:pStyle w:val="Bibliography"/>
      </w:pPr>
      <w:r>
        <w:t xml:space="preserve">Morrison, G., E. T. Sherwood, R. Boler, and J. Barron. 2006. Variations in water clarity and chlorophylla in</w:t>
      </w:r>
      <w:r>
        <w:t xml:space="preserve"> </w:t>
      </w:r>
      <w:r>
        <w:t xml:space="preserve">T</w:t>
      </w:r>
      <w:r>
        <w:t xml:space="preserve">ampa</w:t>
      </w:r>
      <w:r>
        <w:t xml:space="preserve"> </w:t>
      </w:r>
      <w:r>
        <w:t xml:space="preserve">B</w:t>
      </w:r>
      <w:r>
        <w:t xml:space="preserve">ay,</w:t>
      </w:r>
      <w:r>
        <w:t xml:space="preserve"> </w:t>
      </w:r>
      <w:r>
        <w:t xml:space="preserve">F</w:t>
      </w:r>
      <w:r>
        <w:t xml:space="preserve">lorida, in response to annual rainfall, 1985</w:t>
      </w:r>
      <w:r>
        <w:t xml:space="preserve">2004.</w:t>
      </w:r>
      <w:r>
        <w:t xml:space="preserve"> </w:t>
      </w:r>
      <w:r>
        <w:rPr>
          <w:iCs/>
          <w:i/>
        </w:rPr>
        <w:t xml:space="preserve">Estuaries and Coasts</w:t>
      </w:r>
      <w:r>
        <w:t xml:space="preserve"> </w:t>
      </w:r>
      <w:r>
        <w:t xml:space="preserve">29: 926–931.</w:t>
      </w:r>
      <w:r>
        <w:t xml:space="preserve"> </w:t>
      </w:r>
      <w:hyperlink r:id="rId217">
        <w:r>
          <w:rPr>
            <w:rStyle w:val="Hyperlink"/>
          </w:rPr>
          <w:t xml:space="preserve">https://doi.org/10.1007/bf02798652</w:t>
        </w:r>
      </w:hyperlink>
      <w:r>
        <w:t xml:space="preserve">.</w:t>
      </w:r>
    </w:p>
    <w:bookmarkEnd w:id="218"/>
    <w:bookmarkStart w:id="220"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219">
        <w:r>
          <w:rPr>
            <w:rStyle w:val="Hyperlink"/>
          </w:rPr>
          <w:t xml:space="preserve">https://doi.org/10.1016/j.dsr2.2023.105321</w:t>
        </w:r>
      </w:hyperlink>
      <w:r>
        <w:t xml:space="preserve">.</w:t>
      </w:r>
    </w:p>
    <w:bookmarkEnd w:id="220"/>
    <w:bookmarkStart w:id="222"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221">
        <w:r>
          <w:rPr>
            <w:rStyle w:val="Hyperlink"/>
          </w:rPr>
          <w:t xml:space="preserve">https://doi.org/10.1038/s41467-018-03732-9</w:t>
        </w:r>
      </w:hyperlink>
      <w:r>
        <w:t xml:space="preserve">.</w:t>
      </w:r>
    </w:p>
    <w:bookmarkEnd w:id="222"/>
    <w:bookmarkStart w:id="224"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987–996.</w:t>
      </w:r>
      <w:r>
        <w:t xml:space="preserve"> </w:t>
      </w:r>
      <w:hyperlink r:id="rId223">
        <w:r>
          <w:rPr>
            <w:rStyle w:val="Hyperlink"/>
          </w:rPr>
          <w:t xml:space="preserve">https://doi.org/10.1641/0006-3568(2006)56[987:agcfse]2.0.co;2</w:t>
        </w:r>
      </w:hyperlink>
      <w:r>
        <w:t xml:space="preserve">.</w:t>
      </w:r>
    </w:p>
    <w:bookmarkEnd w:id="224"/>
    <w:bookmarkStart w:id="226"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225">
        <w:r>
          <w:rPr>
            <w:rStyle w:val="Hyperlink"/>
          </w:rPr>
          <w:t xml:space="preserve">https://doi.org/10.1093/biosci/bix058</w:t>
        </w:r>
      </w:hyperlink>
      <w:r>
        <w:t xml:space="preserve">.</w:t>
      </w:r>
    </w:p>
    <w:bookmarkEnd w:id="226"/>
    <w:bookmarkStart w:id="228"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227">
        <w:r>
          <w:rPr>
            <w:rStyle w:val="Hyperlink"/>
          </w:rPr>
          <w:t xml:space="preserve">https://doi.org/10.1007/s12237-023-01252-4</w:t>
        </w:r>
      </w:hyperlink>
      <w:r>
        <w:t xml:space="preserve">.</w:t>
      </w:r>
    </w:p>
    <w:bookmarkEnd w:id="228"/>
    <w:bookmarkStart w:id="230"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229">
        <w:r>
          <w:rPr>
            <w:rStyle w:val="Hyperlink"/>
          </w:rPr>
          <w:t xml:space="preserve">https://doi.org/10.1126/sciadv.abc6434</w:t>
        </w:r>
      </w:hyperlink>
      <w:r>
        <w:t xml:space="preserve">.</w:t>
      </w:r>
    </w:p>
    <w:bookmarkEnd w:id="230"/>
    <w:bookmarkStart w:id="232"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231">
        <w:r>
          <w:rPr>
            <w:rStyle w:val="Hyperlink"/>
          </w:rPr>
          <w:t xml:space="preserve">https://doi.org/10.1111/gcb.13084</w:t>
        </w:r>
      </w:hyperlink>
      <w:r>
        <w:t xml:space="preserve">.</w:t>
      </w:r>
    </w:p>
    <w:bookmarkEnd w:id="232"/>
    <w:bookmarkStart w:id="233"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233"/>
    <w:bookmarkStart w:id="234" w:name="ref-phillips88"/>
    <w:p>
      <w:pPr>
        <w:pStyle w:val="Bibliography"/>
      </w:pPr>
      <w:r>
        <w:t xml:space="preserve">Phillips, R., and E. Meñez. 1988.</w:t>
      </w:r>
      <w:r>
        <w:t xml:space="preserve"> </w:t>
      </w:r>
      <w:r>
        <w:rPr>
          <w:iCs/>
          <w:i/>
        </w:rPr>
        <w:t xml:space="preserve">Seagrasses</w:t>
      </w:r>
      <w:r>
        <w:t xml:space="preserve">. Washington, D.C.: Smithsonian Institution Press.</w:t>
      </w:r>
    </w:p>
    <w:bookmarkEnd w:id="234"/>
    <w:bookmarkStart w:id="236" w:name="ref-phlips2006"/>
    <w:p>
      <w:pPr>
        <w:pStyle w:val="Bibliography"/>
      </w:pPr>
      <w:r>
        <w:t xml:space="preserve">Phlips, J., S. Badylak, E. Bledsoe, and M. Cichra. 2006. Factors affecting the distribution of</w:t>
      </w:r>
      <w:r>
        <w:t xml:space="preserve"> </w:t>
      </w:r>
      <w:r>
        <w:rPr>
          <w:iCs/>
          <w:i/>
        </w:rPr>
        <w:t xml:space="preserve">Pyrodinium bahamense var. bahamense</w:t>
      </w:r>
      <w:r>
        <w:t xml:space="preserve"> </w:t>
      </w:r>
      <w:r>
        <w:t xml:space="preserve">in coastal waters of</w:t>
      </w:r>
      <w:r>
        <w:t xml:space="preserve"> </w:t>
      </w:r>
      <w:r>
        <w:t xml:space="preserve">F</w:t>
      </w:r>
      <w:r>
        <w:t xml:space="preserve">lorida.</w:t>
      </w:r>
      <w:r>
        <w:t xml:space="preserve"> </w:t>
      </w:r>
      <w:r>
        <w:rPr>
          <w:iCs/>
          <w:i/>
        </w:rPr>
        <w:t xml:space="preserve">Marine Ecology Progress Series</w:t>
      </w:r>
      <w:r>
        <w:t xml:space="preserve"> </w:t>
      </w:r>
      <w:r>
        <w:t xml:space="preserve">322: 99–115.</w:t>
      </w:r>
      <w:r>
        <w:t xml:space="preserve"> </w:t>
      </w:r>
      <w:hyperlink r:id="rId235">
        <w:r>
          <w:rPr>
            <w:rStyle w:val="Hyperlink"/>
          </w:rPr>
          <w:t xml:space="preserve">https://doi.org/10.3354/meps322099</w:t>
        </w:r>
      </w:hyperlink>
      <w:r>
        <w:t xml:space="preserve">.</w:t>
      </w:r>
    </w:p>
    <w:bookmarkEnd w:id="236"/>
    <w:bookmarkStart w:id="238"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237">
        <w:r>
          <w:rPr>
            <w:rStyle w:val="Hyperlink"/>
          </w:rPr>
          <w:t xml:space="preserve">https://doi.org/10.3354/meps08925</w:t>
        </w:r>
      </w:hyperlink>
      <w:r>
        <w:t xml:space="preserve">.</w:t>
      </w:r>
    </w:p>
    <w:bookmarkEnd w:id="238"/>
    <w:bookmarkStart w:id="239"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239"/>
    <w:bookmarkStart w:id="241"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240">
        <w:r>
          <w:rPr>
            <w:rStyle w:val="Hyperlink"/>
          </w:rPr>
          <w:t xml:space="preserve">https://doi.org/10.1016/j.ecolind.2015.12.007</w:t>
        </w:r>
      </w:hyperlink>
      <w:r>
        <w:t xml:space="preserve">.</w:t>
      </w:r>
    </w:p>
    <w:bookmarkEnd w:id="241"/>
    <w:bookmarkStart w:id="243" w:name="ref-schmidt2002"/>
    <w:p>
      <w:pPr>
        <w:pStyle w:val="Bibliography"/>
      </w:pPr>
      <w:r>
        <w:t xml:space="preserve">Schmidt, N., and M. E. Luther. 2002.</w:t>
      </w:r>
      <w:r>
        <w:t xml:space="preserve"> </w:t>
      </w:r>
      <w:r>
        <w:t xml:space="preserve">ENSO</w:t>
      </w:r>
      <w:r>
        <w:t xml:space="preserve"> </w:t>
      </w:r>
      <w:r>
        <w:t xml:space="preserve">impacts on salinity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w:t>
      </w:r>
      <w:r>
        <w:t xml:space="preserve"> </w:t>
      </w:r>
      <w:r>
        <w:t xml:space="preserve">25: 976–984.</w:t>
      </w:r>
      <w:r>
        <w:t xml:space="preserve"> </w:t>
      </w:r>
      <w:hyperlink r:id="rId242">
        <w:r>
          <w:rPr>
            <w:rStyle w:val="Hyperlink"/>
          </w:rPr>
          <w:t xml:space="preserve">https://doi.org/10.1007/bf02691345</w:t>
        </w:r>
      </w:hyperlink>
      <w:r>
        <w:t xml:space="preserve">.</w:t>
      </w:r>
    </w:p>
    <w:bookmarkEnd w:id="243"/>
    <w:bookmarkStart w:id="245"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244">
        <w:r>
          <w:rPr>
            <w:rStyle w:val="Hyperlink"/>
          </w:rPr>
          <w:t xml:space="preserve">https://doi.org/10.1016/j.ecolind.2020.107310</w:t>
        </w:r>
      </w:hyperlink>
      <w:r>
        <w:t xml:space="preserve">.</w:t>
      </w:r>
    </w:p>
    <w:bookmarkEnd w:id="245"/>
    <w:bookmarkStart w:id="246" w:name="ref-scolaro2023"/>
    <w:p>
      <w:pPr>
        <w:pStyle w:val="Bibliography"/>
      </w:pPr>
      <w:r>
        <w:t xml:space="preserve">Scolaro, S., M. W. Beck, M. C. Burke, G. E. Raulerson, and E. T. Sherwood.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 </w:t>
      </w:r>
      <w:r>
        <w:t xml:space="preserve">86: 339–345.</w:t>
      </w:r>
    </w:p>
    <w:bookmarkEnd w:id="246"/>
    <w:bookmarkStart w:id="248" w:name="ref-sherwood2013"/>
    <w:p>
      <w:pPr>
        <w:pStyle w:val="Bibliography"/>
      </w:pPr>
      <w:r>
        <w:t xml:space="preserve">Sherwood, E. T., and H. S. Greening.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w:t>
      </w:r>
      <w:r>
        <w:t xml:space="preserve"> </w:t>
      </w:r>
      <w:hyperlink r:id="rId247">
        <w:r>
          <w:rPr>
            <w:rStyle w:val="Hyperlink"/>
          </w:rPr>
          <w:t xml:space="preserve">https://doi.org/10.1007/s00267-013-0179-5</w:t>
        </w:r>
      </w:hyperlink>
      <w:r>
        <w:t xml:space="preserve">.</w:t>
      </w:r>
    </w:p>
    <w:bookmarkEnd w:id="248"/>
    <w:bookmarkStart w:id="250" w:name="ref-sherwood2015"/>
    <w:p>
      <w:pPr>
        <w:pStyle w:val="Bibliography"/>
      </w:pPr>
      <w:r>
        <w:t xml:space="preserve">Sherwood, E. T., H. S. Greening, L. Garcia, K. Kaufman, A. J. Janicki, R. Pribble, B. Cunningham, et al. 2015.</w:t>
      </w:r>
      <w:r>
        <w:t xml:space="preserve"> </w:t>
      </w:r>
      <w:hyperlink r:id="rId249">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50"/>
    <w:bookmarkStart w:id="252" w:name="ref-sherwood2016"/>
    <w:p>
      <w:pPr>
        <w:pStyle w:val="Bibliography"/>
      </w:pPr>
      <w:r>
        <w:t xml:space="preserve">Sherwood, E.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251">
        <w:r>
          <w:rPr>
            <w:rStyle w:val="Hyperlink"/>
          </w:rPr>
          <w:t xml:space="preserve">https://doi.org/10.1016/j.rsma.2015.05.005</w:t>
        </w:r>
      </w:hyperlink>
      <w:r>
        <w:t xml:space="preserve">.</w:t>
      </w:r>
    </w:p>
    <w:bookmarkEnd w:id="252"/>
    <w:bookmarkStart w:id="254"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253">
        <w:r>
          <w:rPr>
            <w:rStyle w:val="Hyperlink"/>
          </w:rPr>
          <w:t xml:space="preserve">https://doi.org/10.1353/sgo.2017.0026</w:t>
        </w:r>
      </w:hyperlink>
      <w:r>
        <w:t xml:space="preserve">.</w:t>
      </w:r>
    </w:p>
    <w:bookmarkEnd w:id="254"/>
    <w:bookmarkStart w:id="256"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w:t>
      </w:r>
      <w:r>
        <w:t xml:space="preserve"> </w:t>
      </w:r>
      <w:hyperlink r:id="rId255">
        <w:r>
          <w:rPr>
            <w:rStyle w:val="Hyperlink"/>
          </w:rPr>
          <w:t xml:space="preserve">https://doi.org/10.21203/rs.3.rs-3528678/v1</w:t>
        </w:r>
      </w:hyperlink>
      <w:r>
        <w:t xml:space="preserve">.</w:t>
      </w:r>
    </w:p>
    <w:bookmarkEnd w:id="256"/>
    <w:bookmarkStart w:id="258" w:name="ref-statham2012a"/>
    <w:p>
      <w:pPr>
        <w:pStyle w:val="Bibliography"/>
      </w:pPr>
      <w:r>
        <w:t xml:space="preserve">Statham, P. J. 2012. Nutrients in estuaries - 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57">
        <w:r>
          <w:rPr>
            <w:rStyle w:val="Hyperlink"/>
          </w:rPr>
          <w:t xml:space="preserve">https://doi.org/10.1016/j.scitotenv.2011.09.088</w:t>
        </w:r>
      </w:hyperlink>
      <w:r>
        <w:t xml:space="preserve">.</w:t>
      </w:r>
    </w:p>
    <w:bookmarkEnd w:id="258"/>
    <w:bookmarkStart w:id="260" w:name="ref-stelling2023"/>
    <w:p>
      <w:pPr>
        <w:pStyle w:val="Bibliography"/>
      </w:pPr>
      <w:r>
        <w:t xml:space="preserve">Stelling, B., E. Phlips, S. Badylak, L. Landauer, M. Tate, and A. West-Valle. 2023. Seasonality of phytoplankton biomass and composition on the</w:t>
      </w:r>
      <w:r>
        <w:t xml:space="preserve"> </w:t>
      </w:r>
      <w:r>
        <w:t xml:space="preserve">C</w:t>
      </w:r>
      <w:r>
        <w:t xml:space="preserve">ape</w:t>
      </w:r>
      <w:r>
        <w:t xml:space="preserve"> </w:t>
      </w:r>
      <w:r>
        <w:t xml:space="preserve">C</w:t>
      </w:r>
      <w:r>
        <w:t xml:space="preserve">anaveral shelf of</w:t>
      </w:r>
      <w:r>
        <w:t xml:space="preserve"> </w:t>
      </w:r>
      <w:r>
        <w:t xml:space="preserve">F</w:t>
      </w:r>
      <w:r>
        <w:t xml:space="preserve">lorida: Role of shifts in climate and coastal watershed influences.</w:t>
      </w:r>
      <w:r>
        <w:t xml:space="preserve"> </w:t>
      </w:r>
      <w:r>
        <w:rPr>
          <w:iCs/>
          <w:i/>
        </w:rPr>
        <w:t xml:space="preserve">Frontiers in Ecology and Evolution</w:t>
      </w:r>
      <w:r>
        <w:t xml:space="preserve"> </w:t>
      </w:r>
      <w:r>
        <w:t xml:space="preserve">11: 1134069.</w:t>
      </w:r>
      <w:r>
        <w:t xml:space="preserve"> </w:t>
      </w:r>
      <w:hyperlink r:id="rId259">
        <w:r>
          <w:rPr>
            <w:rStyle w:val="Hyperlink"/>
          </w:rPr>
          <w:t xml:space="preserve">https://doi.org/10.3389/fevo.2023.1134069</w:t>
        </w:r>
      </w:hyperlink>
      <w:r>
        <w:t xml:space="preserve">.</w:t>
      </w:r>
    </w:p>
    <w:bookmarkEnd w:id="260"/>
    <w:bookmarkStart w:id="262"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61">
        <w:r>
          <w:rPr>
            <w:rStyle w:val="Hyperlink"/>
          </w:rPr>
          <w:t xml:space="preserve">https://doi.org/10.1016/j.rsma.2015.11.010</w:t>
        </w:r>
      </w:hyperlink>
      <w:r>
        <w:t xml:space="preserve">.</w:t>
      </w:r>
    </w:p>
    <w:bookmarkEnd w:id="262"/>
    <w:bookmarkStart w:id="264" w:name="ref-taplin2005"/>
    <w:p>
      <w:pPr>
        <w:pStyle w:val="Bibliography"/>
      </w:pPr>
      <w:r>
        <w:t xml:space="preserve">Taplin, K. A., E. A. Irlandi, and R. Raves. 2005. Interference between the macroalga</w:t>
      </w:r>
      <w:r>
        <w:t xml:space="preserve"> </w:t>
      </w:r>
      <w:r>
        <w:rPr>
          <w:iCs/>
          <w:i/>
        </w:rPr>
        <w:t xml:space="preserve">C</w:t>
      </w:r>
      <w:r>
        <w:rPr>
          <w:iCs/>
          <w:i/>
        </w:rPr>
        <w:t xml:space="preserve">aulerpa</w:t>
      </w:r>
      <w:r>
        <w:rPr>
          <w:iCs/>
          <w:i/>
        </w:rPr>
        <w:t xml:space="preserve"> </w:t>
      </w:r>
      <w:r>
        <w:rPr>
          <w:iCs/>
          <w:i/>
        </w:rPr>
        <w:t xml:space="preserve">p</w:t>
      </w:r>
      <w:r>
        <w:rPr>
          <w:iCs/>
          <w:i/>
        </w:rPr>
        <w:t xml:space="preserve">rolifera</w:t>
      </w:r>
      <w:r>
        <w:t xml:space="preserve"> </w:t>
      </w:r>
      <w:r>
        <w:t xml:space="preserve">and the seagrass</w:t>
      </w:r>
      <w:r>
        <w:t xml:space="preserve"> </w:t>
      </w:r>
      <w:r>
        <w:rPr>
          <w:iCs/>
          <w:i/>
        </w:rPr>
        <w:t xml:space="preserve">H</w:t>
      </w:r>
      <w:r>
        <w:rPr>
          <w:iCs/>
          <w:i/>
        </w:rPr>
        <w:t xml:space="preserve">alodule</w:t>
      </w:r>
      <w:r>
        <w:rPr>
          <w:iCs/>
          <w:i/>
        </w:rPr>
        <w:t xml:space="preserve"> </w:t>
      </w:r>
      <w:r>
        <w:rPr>
          <w:iCs/>
          <w:i/>
        </w:rPr>
        <w:t xml:space="preserve">w</w:t>
      </w:r>
      <w:r>
        <w:rPr>
          <w:iCs/>
          <w:i/>
        </w:rPr>
        <w:t xml:space="preserve">rightii</w:t>
      </w:r>
      <w:r>
        <w:t xml:space="preserve">.</w:t>
      </w:r>
      <w:r>
        <w:t xml:space="preserve"> </w:t>
      </w:r>
      <w:r>
        <w:rPr>
          <w:iCs/>
          <w:i/>
        </w:rPr>
        <w:t xml:space="preserve">Aquatic Botany</w:t>
      </w:r>
      <w:r>
        <w:t xml:space="preserve"> </w:t>
      </w:r>
      <w:r>
        <w:t xml:space="preserve">83: 175–186.</w:t>
      </w:r>
      <w:r>
        <w:t xml:space="preserve"> </w:t>
      </w:r>
      <w:hyperlink r:id="rId263">
        <w:r>
          <w:rPr>
            <w:rStyle w:val="Hyperlink"/>
          </w:rPr>
          <w:t xml:space="preserve">https://doi.org/10.1016/j.aquabot.2005.06.003</w:t>
        </w:r>
      </w:hyperlink>
      <w:r>
        <w:t xml:space="preserve">.</w:t>
      </w:r>
    </w:p>
    <w:bookmarkEnd w:id="264"/>
    <w:bookmarkStart w:id="266" w:name="ref-tbep0923"/>
    <w:p>
      <w:pPr>
        <w:pStyle w:val="Bibliography"/>
      </w:pPr>
      <w:r>
        <w:t xml:space="preserve">Todd, A., H. Walsh, and J. Neville. 2023.</w:t>
      </w:r>
      <w:r>
        <w:t xml:space="preserve"> </w:t>
      </w:r>
      <w:hyperlink r:id="rId265">
        <w:r>
          <w:rPr>
            <w:rStyle w:val="Hyperlink"/>
            <w:iCs/>
            <w:i/>
          </w:rPr>
          <w:t xml:space="preserve">2023 economic valuation of</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09-23. St. Petersburg, Florida: Tampa Bay Estuary Program.</w:t>
      </w:r>
    </w:p>
    <w:bookmarkEnd w:id="266"/>
    <w:bookmarkStart w:id="267" w:name="ref-tomasko2023"/>
    <w:p>
      <w:pPr>
        <w:pStyle w:val="Bibliography"/>
      </w:pPr>
      <w:r>
        <w:t xml:space="preserve">Tomasko, D. A.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67"/>
    <w:bookmarkStart w:id="269" w:name="ref-tomasko2020"/>
    <w:p>
      <w:pPr>
        <w:pStyle w:val="Bibliography"/>
      </w:pPr>
      <w:r>
        <w:t xml:space="preserve">Tomasko, D. A., M. Alderson, R. Burnes, J. Hecker, N. Iadevaia, J. Leverone, G. Raulerson, and E. Sherwood. 2020. The effects of Hurricane</w:t>
      </w:r>
      <w:r>
        <w:t xml:space="preserve"> </w:t>
      </w:r>
      <w:r>
        <w:t xml:space="preserve">I</w:t>
      </w:r>
      <w:r>
        <w:t xml:space="preserve">rma on seagrass meadows in previously eutrophic estuaries in Southwest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w:t>
      </w:r>
      <w:r>
        <w:t xml:space="preserve"> </w:t>
      </w:r>
      <w:hyperlink r:id="rId268">
        <w:r>
          <w:rPr>
            <w:rStyle w:val="Hyperlink"/>
          </w:rPr>
          <w:t xml:space="preserve">https://doi.org/10.1016/j.marpolbul.2020.111247</w:t>
        </w:r>
      </w:hyperlink>
      <w:r>
        <w:t xml:space="preserve">.</w:t>
      </w:r>
    </w:p>
    <w:bookmarkEnd w:id="269"/>
    <w:bookmarkStart w:id="271" w:name="ref-tomasko2005"/>
    <w:p>
      <w:pPr>
        <w:pStyle w:val="Bibliography"/>
      </w:pPr>
      <w:r>
        <w:t xml:space="preserve">Tomasko, D. A., C. A. Corbett, H. S. Greening, and G. E. Raulerson. 2005. Spatial and temporal variation in seagrass coverage in Southwest</w:t>
      </w:r>
      <w:r>
        <w:t xml:space="preserve"> </w:t>
      </w:r>
      <w:r>
        <w:t xml:space="preserve">F</w:t>
      </w:r>
      <w:r>
        <w:t xml:space="preserve">lorida: assessing the relative effects of anthropogenic nutrient load reductions and rainfall in four contiguous estuaries.</w:t>
      </w:r>
      <w:r>
        <w:t xml:space="preserve"> </w:t>
      </w:r>
      <w:r>
        <w:rPr>
          <w:iCs/>
          <w:i/>
        </w:rPr>
        <w:t xml:space="preserve">Marine Pollution Bulletin</w:t>
      </w:r>
      <w:r>
        <w:t xml:space="preserve"> </w:t>
      </w:r>
      <w:r>
        <w:t xml:space="preserve">50: 797–805.</w:t>
      </w:r>
      <w:r>
        <w:t xml:space="preserve"> </w:t>
      </w:r>
      <w:hyperlink r:id="rId270">
        <w:r>
          <w:rPr>
            <w:rStyle w:val="Hyperlink"/>
          </w:rPr>
          <w:t xml:space="preserve">https://doi.org/10.1016/j.marpolbul.2005.02.010</w:t>
        </w:r>
      </w:hyperlink>
      <w:r>
        <w:t xml:space="preserve">.</w:t>
      </w:r>
    </w:p>
    <w:bookmarkEnd w:id="271"/>
    <w:bookmarkStart w:id="273" w:name="ref-usup1994"/>
    <w:p>
      <w:pPr>
        <w:pStyle w:val="Bibliography"/>
      </w:pPr>
      <w:r>
        <w:t xml:space="preserve">Usup, G., D. M. Kulis, and D. M. Anderson. 1994. Growth and toxin production of the toxic dinoflagellate</w:t>
      </w:r>
      <w:r>
        <w:t xml:space="preserve"> </w:t>
      </w:r>
      <w:r>
        <w:t xml:space="preserve"> </w:t>
      </w:r>
      <w:r>
        <w:t xml:space="preserve">in laboratory cultures.</w:t>
      </w:r>
      <w:r>
        <w:t xml:space="preserve"> </w:t>
      </w:r>
      <w:r>
        <w:rPr>
          <w:iCs/>
          <w:i/>
        </w:rPr>
        <w:t xml:space="preserve">Natural Toxins</w:t>
      </w:r>
      <w:r>
        <w:t xml:space="preserve"> </w:t>
      </w:r>
      <w:r>
        <w:t xml:space="preserve">2: 254–262.</w:t>
      </w:r>
      <w:r>
        <w:t xml:space="preserve"> </w:t>
      </w:r>
      <w:hyperlink r:id="rId272">
        <w:r>
          <w:rPr>
            <w:rStyle w:val="Hyperlink"/>
          </w:rPr>
          <w:t xml:space="preserve">https://doi.org/10.1002/nt.2620020503</w:t>
        </w:r>
      </w:hyperlink>
      <w:r>
        <w:t xml:space="preserve">.</w:t>
      </w:r>
    </w:p>
    <w:bookmarkEnd w:id="273"/>
    <w:bookmarkStart w:id="275"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74">
        <w:r>
          <w:rPr>
            <w:rStyle w:val="Hyperlink"/>
          </w:rPr>
          <w:t xml:space="preserve">https://doi.org/10.1002/lol2.10098</w:t>
        </w:r>
      </w:hyperlink>
      <w:r>
        <w:t xml:space="preserve">.</w:t>
      </w:r>
    </w:p>
    <w:bookmarkEnd w:id="275"/>
    <w:bookmarkStart w:id="277"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76">
        <w:r>
          <w:rPr>
            <w:rStyle w:val="Hyperlink"/>
          </w:rPr>
          <w:t xml:space="preserve">https://doi.org/10.1146/annurev.es.03.110172.000543</w:t>
        </w:r>
      </w:hyperlink>
      <w:r>
        <w:t xml:space="preserve">.</w:t>
      </w:r>
    </w:p>
    <w:bookmarkEnd w:id="277"/>
    <w:bookmarkStart w:id="279"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78">
        <w:r>
          <w:rPr>
            <w:rStyle w:val="Hyperlink"/>
          </w:rPr>
          <w:t xml:space="preserve">https://doi.org/10.1073/pnas.0905620106</w:t>
        </w:r>
      </w:hyperlink>
      <w:r>
        <w:t xml:space="preserve">.</w:t>
      </w:r>
    </w:p>
    <w:bookmarkEnd w:id="279"/>
    <w:bookmarkStart w:id="281"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80">
        <w:r>
          <w:rPr>
            <w:rStyle w:val="Hyperlink"/>
          </w:rPr>
          <w:t xml:space="preserve">https://doi.org/10.1111/1365-2745.13648</w:t>
        </w:r>
      </w:hyperlink>
      <w:r>
        <w:t xml:space="preserve">.</w:t>
      </w:r>
    </w:p>
    <w:bookmarkEnd w:id="281"/>
    <w:bookmarkStart w:id="283" w:name="ref-weisberg2006"/>
    <w:p>
      <w:pPr>
        <w:pStyle w:val="Bibliography"/>
      </w:pPr>
      <w:r>
        <w:t xml:space="preserve">Weisberg, R. H., and L. Zheng. 2006. Circulation of</w:t>
      </w:r>
      <w:r>
        <w:t xml:space="preserve"> </w:t>
      </w:r>
      <w:r>
        <w:t xml:space="preserve">T</w:t>
      </w:r>
      <w:r>
        <w:t xml:space="preserve">ampa</w:t>
      </w:r>
      <w:r>
        <w:t xml:space="preserve"> </w:t>
      </w:r>
      <w:r>
        <w:t xml:space="preserve">B</w:t>
      </w:r>
      <w:r>
        <w:t xml:space="preserve">ay driven by buoyancy, tides, and winds, as simulated using a finite volume coastal ocean model.</w:t>
      </w:r>
      <w:r>
        <w:t xml:space="preserve"> </w:t>
      </w:r>
      <w:r>
        <w:rPr>
          <w:iCs/>
          <w:i/>
        </w:rPr>
        <w:t xml:space="preserve">Journal of Geophysical Research: Oceans</w:t>
      </w:r>
      <w:r>
        <w:t xml:space="preserve"> </w:t>
      </w:r>
      <w:r>
        <w:t xml:space="preserve">111.</w:t>
      </w:r>
      <w:r>
        <w:t xml:space="preserve"> </w:t>
      </w:r>
      <w:hyperlink r:id="rId282">
        <w:r>
          <w:rPr>
            <w:rStyle w:val="Hyperlink"/>
          </w:rPr>
          <w:t xml:space="preserve">https://doi.org/10.1029/2005jc003067</w:t>
        </w:r>
      </w:hyperlink>
      <w:r>
        <w:t xml:space="preserve">.</w:t>
      </w:r>
    </w:p>
    <w:bookmarkEnd w:id="283"/>
    <w:bookmarkStart w:id="285" w:name="ref-white2017"/>
    <w:p>
      <w:pPr>
        <w:pStyle w:val="Bibliography"/>
      </w:pPr>
      <w:r>
        <w:t xml:space="preserve">White, E., and D. Kaplan.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w:t>
      </w:r>
      <w:r>
        <w:t xml:space="preserve"> </w:t>
      </w:r>
      <w:hyperlink r:id="rId284">
        <w:r>
          <w:rPr>
            <w:rStyle w:val="Hyperlink"/>
          </w:rPr>
          <w:t xml:space="preserve">https://doi.org/10.1002/ehs2.1258</w:t>
        </w:r>
      </w:hyperlink>
      <w:r>
        <w:t xml:space="preserve">.</w:t>
      </w:r>
    </w:p>
    <w:bookmarkEnd w:id="285"/>
    <w:bookmarkStart w:id="287" w:name="ref-wood11"/>
    <w:p>
      <w:pPr>
        <w:pStyle w:val="Bibliography"/>
      </w:pPr>
      <w:r>
        <w:t xml:space="preserve">Wood, S. N. 2011. Fast stable restricted maximum likelihood and marginal likelihood estimation of semiparametric generalized linear models.</w:t>
      </w:r>
      <w:r>
        <w:t xml:space="preserve"> </w:t>
      </w:r>
      <w:r>
        <w:rPr>
          <w:iCs/>
          <w:i/>
        </w:rPr>
        <w:t xml:space="preserve">Journal of the Royal Statistical Society (B)</w:t>
      </w:r>
      <w:r>
        <w:t xml:space="preserve"> </w:t>
      </w:r>
      <w:r>
        <w:t xml:space="preserve">73: 3–36.</w:t>
      </w:r>
      <w:r>
        <w:t xml:space="preserve"> </w:t>
      </w:r>
      <w:hyperlink r:id="rId286">
        <w:r>
          <w:rPr>
            <w:rStyle w:val="Hyperlink"/>
          </w:rPr>
          <w:t xml:space="preserve">https://doi.org/10.1111/j.1467-9868.2010.00749.x</w:t>
        </w:r>
      </w:hyperlink>
      <w:r>
        <w:t xml:space="preserve">.</w:t>
      </w:r>
    </w:p>
    <w:bookmarkEnd w:id="287"/>
    <w:bookmarkStart w:id="288" w:name="ref-wood17"/>
    <w:p>
      <w:pPr>
        <w:pStyle w:val="Bibliography"/>
      </w:pPr>
      <w:r>
        <w:t xml:space="preserve">Wood, S. N. 2017.</w:t>
      </w:r>
      <w:r>
        <w:t xml:space="preserve"> </w:t>
      </w:r>
      <w:r>
        <w:rPr>
          <w:iCs/>
          <w:i/>
        </w:rPr>
        <w:t xml:space="preserve">Generalized</w:t>
      </w:r>
      <w:r>
        <w:rPr>
          <w:iCs/>
          <w:i/>
        </w:rPr>
        <w:t xml:space="preserve"> </w:t>
      </w:r>
      <w:r>
        <w:rPr>
          <w:iCs/>
          <w:i/>
        </w:rPr>
        <w:t xml:space="preserve">A</w:t>
      </w:r>
      <w:r>
        <w:rPr>
          <w:iCs/>
          <w:i/>
        </w:rPr>
        <w:t xml:space="preserve">dditive</w:t>
      </w:r>
      <w:r>
        <w:rPr>
          <w:iCs/>
          <w:i/>
        </w:rPr>
        <w:t xml:space="preserve"> </w:t>
      </w:r>
      <w:r>
        <w:rPr>
          <w:iCs/>
          <w:i/>
        </w:rPr>
        <w:t xml:space="preserve">M</w:t>
      </w:r>
      <w:r>
        <w:rPr>
          <w:iCs/>
          <w:i/>
        </w:rPr>
        <w:t xml:space="preserve">odels: An introduction with</w:t>
      </w:r>
      <w:r>
        <w:rPr>
          <w:iCs/>
          <w:i/>
        </w:rPr>
        <w:t xml:space="preserve"> </w:t>
      </w:r>
      <w:r>
        <w:rPr>
          <w:iCs/>
          <w:i/>
        </w:rPr>
        <w:t xml:space="preserve">R</w:t>
      </w:r>
      <w:r>
        <w:t xml:space="preserve">. 2nd ed. Chapman; Hall/CRC.</w:t>
      </w:r>
    </w:p>
    <w:bookmarkEnd w:id="288"/>
    <w:bookmarkStart w:id="290" w:name="ref-zhang2023"/>
    <w:p>
      <w:pPr>
        <w:pStyle w:val="Bibliography"/>
      </w:pPr>
      <w:r>
        <w:t xml:space="preserve">Zhang, M., H. Li, L. Zhang, and J. Liu. 2023. Heat stress, especially when coupled with high light, accelerates the decline of tropical seagrass (</w:t>
      </w:r>
      <w:r>
        <w:rPr>
          <w:iCs/>
          <w:i/>
        </w:rPr>
        <w:t xml:space="preserve">Enhalus acoroides</w:t>
      </w:r>
      <w:r>
        <w:t xml:space="preserve">) meadows.</w:t>
      </w:r>
      <w:r>
        <w:t xml:space="preserve"> </w:t>
      </w:r>
      <w:r>
        <w:rPr>
          <w:iCs/>
          <w:i/>
        </w:rPr>
        <w:t xml:space="preserve">Marine Pollution Bulletin</w:t>
      </w:r>
      <w:r>
        <w:t xml:space="preserve"> </w:t>
      </w:r>
      <w:r>
        <w:t xml:space="preserve">192: 115043.</w:t>
      </w:r>
      <w:r>
        <w:t xml:space="preserve"> </w:t>
      </w:r>
      <w:hyperlink r:id="rId289">
        <w:r>
          <w:rPr>
            <w:rStyle w:val="Hyperlink"/>
          </w:rPr>
          <w:t xml:space="preserve">https://doi.org/10.1016/j.marpolbul.2023.115043</w:t>
        </w:r>
      </w:hyperlink>
      <w:r>
        <w:t xml:space="preserve">.</w:t>
      </w:r>
    </w:p>
    <w:bookmarkEnd w:id="290"/>
    <w:bookmarkStart w:id="292" w:name="ref-zieman1975"/>
    <w:p>
      <w:pPr>
        <w:pStyle w:val="Bibliography"/>
      </w:pPr>
      <w:r>
        <w:t xml:space="preserve">Zieman, J. C. 1975. Seasonal variation of turtle grass,</w:t>
      </w:r>
      <w:r>
        <w:t xml:space="preserve"> </w:t>
      </w:r>
      <w:r>
        <w:rPr>
          <w:iCs/>
          <w:i/>
        </w:rPr>
        <w:t xml:space="preserve">T</w:t>
      </w:r>
      <w:r>
        <w:rPr>
          <w:iCs/>
          <w:i/>
        </w:rPr>
        <w:t xml:space="preserve">halassia testudinum</w:t>
      </w:r>
      <w:r>
        <w:rPr>
          <w:iCs/>
          <w:i/>
        </w:rPr>
        <w:t xml:space="preserve"> </w:t>
      </w:r>
      <w:r>
        <w:rPr>
          <w:iCs/>
          <w:i/>
        </w:rPr>
        <w:t xml:space="preserve">K</w:t>
      </w:r>
      <w:r>
        <w:rPr>
          <w:iCs/>
          <w:i/>
        </w:rPr>
        <w:t xml:space="preserve">önig</w:t>
      </w:r>
      <w:r>
        <w:t xml:space="preserve">, with reference to temperature and salinity effects.</w:t>
      </w:r>
      <w:r>
        <w:t xml:space="preserve"> </w:t>
      </w:r>
      <w:r>
        <w:rPr>
          <w:iCs/>
          <w:i/>
        </w:rPr>
        <w:t xml:space="preserve">Aquatic Botany</w:t>
      </w:r>
      <w:r>
        <w:t xml:space="preserve"> </w:t>
      </w:r>
      <w:r>
        <w:t xml:space="preserve">1: 107–123.</w:t>
      </w:r>
      <w:r>
        <w:t xml:space="preserve"> </w:t>
      </w:r>
      <w:hyperlink r:id="rId291">
        <w:r>
          <w:rPr>
            <w:rStyle w:val="Hyperlink"/>
          </w:rPr>
          <w:t xml:space="preserve">https://doi.org/10.1016/0304-3770(75)90016-9</w:t>
        </w:r>
      </w:hyperlink>
      <w:r>
        <w:t xml:space="preserve">.</w:t>
      </w:r>
    </w:p>
    <w:bookmarkEnd w:id="292"/>
    <w:bookmarkStart w:id="294" w:name="ref-zuur2009a"/>
    <w:p>
      <w:pPr>
        <w:pStyle w:val="Bibliography"/>
      </w:pPr>
      <w:r>
        <w:t xml:space="preserve">Zuur, A. F., E. N. Ieno, N. Walker, A. A. Saveliev, and G. M. Smith. 2009.</w:t>
      </w:r>
      <w:r>
        <w:t xml:space="preserve"> </w:t>
      </w:r>
      <w:r>
        <w:rPr>
          <w:iCs/>
          <w:i/>
        </w:rPr>
        <w:t xml:space="preserve">Mixed effects models and extensions in ecology with</w:t>
      </w:r>
      <w:r>
        <w:rPr>
          <w:iCs/>
          <w:i/>
        </w:rPr>
        <w:t xml:space="preserve"> </w:t>
      </w:r>
      <w:r>
        <w:rPr>
          <w:iCs/>
          <w:i/>
        </w:rPr>
        <w:t xml:space="preserve">R</w:t>
      </w:r>
      <w:r>
        <w:t xml:space="preserve">. New York: Springer.</w:t>
      </w:r>
      <w:r>
        <w:t xml:space="preserve"> </w:t>
      </w:r>
      <w:hyperlink r:id="rId293">
        <w:r>
          <w:rPr>
            <w:rStyle w:val="Hyperlink"/>
          </w:rPr>
          <w:t xml:space="preserve">https://doi.org/10.1007/978-0-387-87458-6</w:t>
        </w:r>
      </w:hyperlink>
      <w:r>
        <w:t xml:space="preserve">.</w:t>
      </w:r>
    </w:p>
    <w:bookmarkEnd w:id="294"/>
    <w:bookmarkEnd w:id="295"/>
    <w:bookmarkEnd w:id="296"/>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3" Target="media/rId53.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49" Target="media/rId49.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hyperlink" Id="rId111" Target="https://CRAN.R-project.org/package=SPEI" TargetMode="External" /><Relationship Type="http://schemas.openxmlformats.org/officeDocument/2006/relationships/hyperlink" Id="rId131"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84" Target="https://doi.org/10.1002/ehs2.1258" TargetMode="External" /><Relationship Type="http://schemas.openxmlformats.org/officeDocument/2006/relationships/hyperlink" Id="rId113" Target="https://doi.org/10.1002/joc.3887" TargetMode="External" /><Relationship Type="http://schemas.openxmlformats.org/officeDocument/2006/relationships/hyperlink" Id="rId215" Target="https://doi.org/10.1002/lno.10789" TargetMode="External" /><Relationship Type="http://schemas.openxmlformats.org/officeDocument/2006/relationships/hyperlink" Id="rId274" Target="https://doi.org/10.1002/lol2.10098" TargetMode="External" /><Relationship Type="http://schemas.openxmlformats.org/officeDocument/2006/relationships/hyperlink" Id="rId272" Target="https://doi.org/10.1002/nt.2620020503" TargetMode="External" /><Relationship Type="http://schemas.openxmlformats.org/officeDocument/2006/relationships/hyperlink" Id="rId293" Target="https://doi.org/10.1007/978-0-387-87458-6" TargetMode="External" /><Relationship Type="http://schemas.openxmlformats.org/officeDocument/2006/relationships/hyperlink" Id="rId242" Target="https://doi.org/10.1007/bf02691345" TargetMode="External" /><Relationship Type="http://schemas.openxmlformats.org/officeDocument/2006/relationships/hyperlink" Id="rId198" Target="https://doi.org/10.1007/bf02691700" TargetMode="External" /><Relationship Type="http://schemas.openxmlformats.org/officeDocument/2006/relationships/hyperlink" Id="rId217" Target="https://doi.org/10.1007/bf02798652" TargetMode="External" /><Relationship Type="http://schemas.openxmlformats.org/officeDocument/2006/relationships/hyperlink" Id="rId173" Target="https://doi.org/10.1007/bf02819384" TargetMode="External" /><Relationship Type="http://schemas.openxmlformats.org/officeDocument/2006/relationships/hyperlink" Id="rId159" Target="https://doi.org/10.1007/s00267-005-0079-4" TargetMode="External" /><Relationship Type="http://schemas.openxmlformats.org/officeDocument/2006/relationships/hyperlink" Id="rId247" Target="https://doi.org/10.1007/s00267-013-0179-5" TargetMode="External" /><Relationship Type="http://schemas.openxmlformats.org/officeDocument/2006/relationships/hyperlink" Id="rId171" Target="https://doi.org/10.1007/s11802-014-2471-2" TargetMode="External" /><Relationship Type="http://schemas.openxmlformats.org/officeDocument/2006/relationships/hyperlink" Id="rId141" Target="https://doi.org/10.1007/s12237-008-9038-7" TargetMode="External" /><Relationship Type="http://schemas.openxmlformats.org/officeDocument/2006/relationships/hyperlink" Id="rId109" Target="https://doi.org/10.1007/s12237-019-00619-w" TargetMode="External" /><Relationship Type="http://schemas.openxmlformats.org/officeDocument/2006/relationships/hyperlink" Id="rId227" Target="https://doi.org/10.1007/s12237-023-01252-4" TargetMode="External" /><Relationship Type="http://schemas.openxmlformats.org/officeDocument/2006/relationships/hyperlink" Id="rId291" Target="https://doi.org/10.1016/0304-3770(75)90016-9" TargetMode="External" /><Relationship Type="http://schemas.openxmlformats.org/officeDocument/2006/relationships/hyperlink" Id="rId263" Target="https://doi.org/10.1016/j.aquabot.2005.06.003" TargetMode="External" /><Relationship Type="http://schemas.openxmlformats.org/officeDocument/2006/relationships/hyperlink" Id="rId219" Target="https://doi.org/10.1016/j.dsr2.2023.105321" TargetMode="External" /><Relationship Type="http://schemas.openxmlformats.org/officeDocument/2006/relationships/hyperlink" Id="rId240" Target="https://doi.org/10.1016/j.ecolind.2015.12.007" TargetMode="External" /><Relationship Type="http://schemas.openxmlformats.org/officeDocument/2006/relationships/hyperlink" Id="rId244" Target="https://doi.org/10.1016/j.ecolind.2020.107310" TargetMode="External" /><Relationship Type="http://schemas.openxmlformats.org/officeDocument/2006/relationships/hyperlink" Id="rId123" Target="https://doi.org/10.1016/j.ecolind.2023.111035" TargetMode="External" /><Relationship Type="http://schemas.openxmlformats.org/officeDocument/2006/relationships/hyperlink" Id="rId133" Target="https://doi.org/10.1016/j.ecolind.2023.111090" TargetMode="External" /><Relationship Type="http://schemas.openxmlformats.org/officeDocument/2006/relationships/hyperlink" Id="rId161" Target="https://doi.org/10.1016/j.ecss.2014.10.003" TargetMode="External" /><Relationship Type="http://schemas.openxmlformats.org/officeDocument/2006/relationships/hyperlink" Id="rId200" Target="https://doi.org/10.1016/j.ecss.2022.108134" TargetMode="External" /><Relationship Type="http://schemas.openxmlformats.org/officeDocument/2006/relationships/hyperlink" Id="rId190" Target="https://doi.org/10.1016/j.jembe.2007.05.031" TargetMode="External" /><Relationship Type="http://schemas.openxmlformats.org/officeDocument/2006/relationships/hyperlink" Id="rId127" Target="https://doi.org/10.1016/j.jembe.2007.06.024" TargetMode="External" /><Relationship Type="http://schemas.openxmlformats.org/officeDocument/2006/relationships/hyperlink" Id="rId137" Target="https://doi.org/10.1016/j.jenvman.2018.01.025" TargetMode="External" /><Relationship Type="http://schemas.openxmlformats.org/officeDocument/2006/relationships/hyperlink" Id="rId270" Target="https://doi.org/10.1016/j.marpolbul.2005.02.010" TargetMode="External" /><Relationship Type="http://schemas.openxmlformats.org/officeDocument/2006/relationships/hyperlink" Id="rId155" Target="https://doi.org/10.1016/j.marpolbul.2010.11.017" TargetMode="External" /><Relationship Type="http://schemas.openxmlformats.org/officeDocument/2006/relationships/hyperlink" Id="rId268" Target="https://doi.org/10.1016/j.marpolbul.2020.111247" TargetMode="External" /><Relationship Type="http://schemas.openxmlformats.org/officeDocument/2006/relationships/hyperlink" Id="rId103" Target="https://doi.org/10.1016/j.marpolbul.2022.113598" TargetMode="External" /><Relationship Type="http://schemas.openxmlformats.org/officeDocument/2006/relationships/hyperlink" Id="rId289" Target="https://doi.org/10.1016/j.marpolbul.2023.115043" TargetMode="External" /><Relationship Type="http://schemas.openxmlformats.org/officeDocument/2006/relationships/hyperlink" Id="rId135" Target="https://doi.org/10.1016/j.ocecoaman.2023.106490" TargetMode="External" /><Relationship Type="http://schemas.openxmlformats.org/officeDocument/2006/relationships/hyperlink" Id="rId91" Target="https://doi.org/10.1016/j.ocecoaman.2023.106929" TargetMode="External" /><Relationship Type="http://schemas.openxmlformats.org/officeDocument/2006/relationships/hyperlink" Id="rId129" Target="https://doi.org/10.1016/j.rse.2018.02.014" TargetMode="External" /><Relationship Type="http://schemas.openxmlformats.org/officeDocument/2006/relationships/hyperlink" Id="rId251" Target="https://doi.org/10.1016/j.rsma.2015.05.005" TargetMode="External" /><Relationship Type="http://schemas.openxmlformats.org/officeDocument/2006/relationships/hyperlink" Id="rId261" Target="https://doi.org/10.1016/j.rsma.2015.11.010" TargetMode="External" /><Relationship Type="http://schemas.openxmlformats.org/officeDocument/2006/relationships/hyperlink" Id="rId257" Target="https://doi.org/10.1016/j.scitotenv.2011.09.088" TargetMode="External" /><Relationship Type="http://schemas.openxmlformats.org/officeDocument/2006/relationships/hyperlink" Id="rId207" Target="https://doi.org/10.1016/j.seares.2012.03.002" TargetMode="External" /><Relationship Type="http://schemas.openxmlformats.org/officeDocument/2006/relationships/hyperlink" Id="rId282" Target="https://doi.org/10.1029/2005jc003067" TargetMode="External" /><Relationship Type="http://schemas.openxmlformats.org/officeDocument/2006/relationships/hyperlink" Id="rId177" Target="https://doi.org/10.1029/wr018i001p00107" TargetMode="External" /><Relationship Type="http://schemas.openxmlformats.org/officeDocument/2006/relationships/hyperlink" Id="rId149" Target="https://doi.org/10.1038/ngeo1477" TargetMode="External" /><Relationship Type="http://schemas.openxmlformats.org/officeDocument/2006/relationships/hyperlink" Id="rId221" Target="https://doi.org/10.1038/s41467-018-03732-9" TargetMode="External" /><Relationship Type="http://schemas.openxmlformats.org/officeDocument/2006/relationships/hyperlink" Id="rId278" Target="https://doi.org/10.1073/pnas.0905620106" TargetMode="External" /><Relationship Type="http://schemas.openxmlformats.org/officeDocument/2006/relationships/hyperlink" Id="rId192" Target="https://doi.org/10.1073/pnas.1715798115" TargetMode="External" /><Relationship Type="http://schemas.openxmlformats.org/officeDocument/2006/relationships/hyperlink" Id="rId175" Target="https://doi.org/10.1073/pnas.2220678120" TargetMode="External" /><Relationship Type="http://schemas.openxmlformats.org/officeDocument/2006/relationships/hyperlink" Id="rId139" Target="https://doi.org/10.1080/00785236.1995.10422039" TargetMode="External" /><Relationship Type="http://schemas.openxmlformats.org/officeDocument/2006/relationships/hyperlink" Id="rId225" Target="https://doi.org/10.1093/biosci/bix058" TargetMode="External" /><Relationship Type="http://schemas.openxmlformats.org/officeDocument/2006/relationships/hyperlink" Id="rId179" Target="https://doi.org/10.1101/sqb.1957.022.01.039" TargetMode="External" /><Relationship Type="http://schemas.openxmlformats.org/officeDocument/2006/relationships/hyperlink" Id="rId121" Target="https://doi.org/10.1111/1365-2664.13169" TargetMode="External" /><Relationship Type="http://schemas.openxmlformats.org/officeDocument/2006/relationships/hyperlink" Id="rId280" Target="https://doi.org/10.1111/1365-2745.13648" TargetMode="External" /><Relationship Type="http://schemas.openxmlformats.org/officeDocument/2006/relationships/hyperlink" Id="rId209" Target="https://doi.org/10.1111/brv.12294" TargetMode="External" /><Relationship Type="http://schemas.openxmlformats.org/officeDocument/2006/relationships/hyperlink" Id="rId147" Target="https://doi.org/10.1111/conl.12938" TargetMode="External" /><Relationship Type="http://schemas.openxmlformats.org/officeDocument/2006/relationships/hyperlink" Id="rId231" Target="https://doi.org/10.1111/gcb.13084" TargetMode="External" /><Relationship Type="http://schemas.openxmlformats.org/officeDocument/2006/relationships/hyperlink" Id="rId194" Target="https://doi.org/10.1111/gcb.13623" TargetMode="External" /><Relationship Type="http://schemas.openxmlformats.org/officeDocument/2006/relationships/hyperlink" Id="rId145" Target="https://doi.org/10.1111/gcb.15684" TargetMode="External" /><Relationship Type="http://schemas.openxmlformats.org/officeDocument/2006/relationships/hyperlink" Id="rId93" Target="https://doi.org/10.1111/j.1365-2699.2006.01584.x" TargetMode="External" /><Relationship Type="http://schemas.openxmlformats.org/officeDocument/2006/relationships/hyperlink" Id="rId286" Target="https://doi.org/10.1111/j.1467-9868.2010.00749.x" TargetMode="External" /><Relationship Type="http://schemas.openxmlformats.org/officeDocument/2006/relationships/hyperlink" Id="rId229" Target="https://doi.org/10.1126/sciadv.abc6434" TargetMode="External" /><Relationship Type="http://schemas.openxmlformats.org/officeDocument/2006/relationships/hyperlink" Id="rId276" Target="https://doi.org/10.1146/annurev.es.03.110172.000543" TargetMode="External" /><Relationship Type="http://schemas.openxmlformats.org/officeDocument/2006/relationships/hyperlink" Id="rId253" Target="https://doi.org/10.1353/sgo.2017.0026" TargetMode="External" /><Relationship Type="http://schemas.openxmlformats.org/officeDocument/2006/relationships/hyperlink" Id="rId223" Target="https://doi.org/10.1641/0006-3568(2006)56[987:agcfse]2.0.co;2" TargetMode="External" /><Relationship Type="http://schemas.openxmlformats.org/officeDocument/2006/relationships/hyperlink" Id="rId97" Target="https://doi.org/10.18637/jss.v067.i01" TargetMode="External" /><Relationship Type="http://schemas.openxmlformats.org/officeDocument/2006/relationships/hyperlink" Id="rId107" Target="https://doi.org/10.21105/joss.03485" TargetMode="External" /><Relationship Type="http://schemas.openxmlformats.org/officeDocument/2006/relationships/hyperlink" Id="rId255" Target="https://doi.org/10.21203/rs.3.rs-3528678/v1" TargetMode="External" /><Relationship Type="http://schemas.openxmlformats.org/officeDocument/2006/relationships/hyperlink" Id="rId84" Target="https://doi.org/10.21203/rs.3.rs-3946855/v1" TargetMode="External" /><Relationship Type="http://schemas.openxmlformats.org/officeDocument/2006/relationships/hyperlink" Id="rId119" Target="https://doi.org/10.2134/jeq2001.302303x" TargetMode="External" /><Relationship Type="http://schemas.openxmlformats.org/officeDocument/2006/relationships/hyperlink" Id="rId125" Target="https://doi.org/10.2307/1352383" TargetMode="External" /><Relationship Type="http://schemas.openxmlformats.org/officeDocument/2006/relationships/hyperlink" Id="rId165" Target="https://doi.org/10.2307/1353210" TargetMode="External" /><Relationship Type="http://schemas.openxmlformats.org/officeDocument/2006/relationships/hyperlink" Id="rId211" Target="https://doi.org/10.2307/1932688" TargetMode="External" /><Relationship Type="http://schemas.openxmlformats.org/officeDocument/2006/relationships/hyperlink" Id="rId151" Target="https://doi.org/10.3354/meps08853" TargetMode="External" /><Relationship Type="http://schemas.openxmlformats.org/officeDocument/2006/relationships/hyperlink" Id="rId237" Target="https://doi.org/10.3354/meps08925" TargetMode="External" /><Relationship Type="http://schemas.openxmlformats.org/officeDocument/2006/relationships/hyperlink" Id="rId167" Target="https://doi.org/10.3354/meps11923" TargetMode="External" /><Relationship Type="http://schemas.openxmlformats.org/officeDocument/2006/relationships/hyperlink" Id="rId169" Target="https://doi.org/10.3354/meps12740" TargetMode="External" /><Relationship Type="http://schemas.openxmlformats.org/officeDocument/2006/relationships/hyperlink" Id="rId115" Target="https://doi.org/10.3354/meps147277" TargetMode="External" /><Relationship Type="http://schemas.openxmlformats.org/officeDocument/2006/relationships/hyperlink" Id="rId235" Target="https://doi.org/10.3354/meps322099" TargetMode="External" /><Relationship Type="http://schemas.openxmlformats.org/officeDocument/2006/relationships/hyperlink" Id="rId157" Target="https://doi.org/10.3368/er.29.1-2.82" TargetMode="External" /><Relationship Type="http://schemas.openxmlformats.org/officeDocument/2006/relationships/hyperlink" Id="rId105" Target="https://doi.org/10.3389/fevo.2023.1070266" TargetMode="External" /><Relationship Type="http://schemas.openxmlformats.org/officeDocument/2006/relationships/hyperlink" Id="rId259" Target="https://doi.org/10.3389/fevo.2023.1134069" TargetMode="External" /><Relationship Type="http://schemas.openxmlformats.org/officeDocument/2006/relationships/hyperlink" Id="rId163" Target="https://doi.org/10.3389/fmars.2022.767440" TargetMode="External" /><Relationship Type="http://schemas.openxmlformats.org/officeDocument/2006/relationships/hyperlink" Id="rId95" Target="https://doi.org/10.3389/fmars.2022.917237" TargetMode="External" /><Relationship Type="http://schemas.openxmlformats.org/officeDocument/2006/relationships/hyperlink" Id="rId143" Target="https://doi.org/10.3389/fpls.2021.612947" TargetMode="External" /><Relationship Type="http://schemas.openxmlformats.org/officeDocument/2006/relationships/hyperlink" Id="rId99" Target="https://doi.org/10.5281/zenodo.3648664" TargetMode="External" /><Relationship Type="http://schemas.openxmlformats.org/officeDocument/2006/relationships/hyperlink" Id="rId101" Target="https://doi.org/10.5281/zenodo.4319936" TargetMode="External" /><Relationship Type="http://schemas.openxmlformats.org/officeDocument/2006/relationships/hyperlink" Id="rId205" Target="https://drive.google.com/file/d/1-1Jq9vly5EvVwEp698brlBucXjSMDbNn/view?usp=sharing" TargetMode="External" /><Relationship Type="http://schemas.openxmlformats.org/officeDocument/2006/relationships/hyperlink" Id="rId265" Target="https://drive.google.com/file/d/15zetRgrFKkWah9KAY1in7q0so8ywHzkA/view?usp=drive_link" TargetMode="External" /><Relationship Type="http://schemas.openxmlformats.org/officeDocument/2006/relationships/hyperlink" Id="rId188" Target="https://drive.google.com/file/d/19bNEs2qy6z0hXa1IE7OtbFTjqk1LarFN/view?usp=drivesdk" TargetMode="External" /><Relationship Type="http://schemas.openxmlformats.org/officeDocument/2006/relationships/hyperlink" Id="rId249" Target="https://drive.google.com/file/d/1BCviGfLykVX-p1tA3b0306deP3pKMagr/view?usp=drivesdk" TargetMode="External" /><Relationship Type="http://schemas.openxmlformats.org/officeDocument/2006/relationships/hyperlink" Id="rId184" Target="https://drive.google.com/file/d/1KARuSC5fGx05MuT1wiOQFWNXysBokkQl/view?usp=share_link" TargetMode="External" /><Relationship Type="http://schemas.openxmlformats.org/officeDocument/2006/relationships/hyperlink" Id="rId186" Target="https://drive.google.com/file/d/1Z_8L9sYQWSl1hon1tP1Y8zBo7MHQK9zC/view?usp=drivesdk" TargetMode="External" /><Relationship Type="http://schemas.openxmlformats.org/officeDocument/2006/relationships/hyperlink" Id="rId202" Target="https://drive.google.com/file/d/1iXX_JZP5fLS3ORIkFb7WwNYv8HjpHyKw/view?usp=sharing" TargetMode="External" /><Relationship Type="http://schemas.openxmlformats.org/officeDocument/2006/relationships/hyperlink" Id="rId153" Target="https://drive.google.com/file/d/1kZkvuprvsMyN9nPS5PHYvXHyo1KQxKTr/view?usp=drivesdk" TargetMode="External" /><Relationship Type="http://schemas.openxmlformats.org/officeDocument/2006/relationships/hyperlink" Id="rId196" Target="https://drive.google.com/file/d/1sNp3FpjdeOjATZ9nDRRAiXEOqQen9W_p/view?usp=sharing" TargetMode="External" /><Relationship Type="http://schemas.openxmlformats.org/officeDocument/2006/relationships/hyperlink" Id="rId117" Target="https://drive.google.com/file/d/1tUkGW7TRAJ_skWj-UemDVIJnUAsy0ITf/view?usp=drivesdk" TargetMode="External" /><Relationship Type="http://schemas.openxmlformats.org/officeDocument/2006/relationships/hyperlink" Id="rId83" Target="https://github.com/tbep-tech/temp-manu" TargetMode="External" /><Relationship Type="http://schemas.openxmlformats.org/officeDocument/2006/relationships/hyperlink" Id="rId182"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42" Target="https://tbep-tech.github.io/otb-temp/tempeval" TargetMode="External" /><Relationship Type="http://schemas.openxmlformats.org/officeDocument/2006/relationships/hyperlink" Id="rId28" Target="https://wateratlas.usf.edu/" TargetMode="External" /><Relationship Type="http://schemas.openxmlformats.org/officeDocument/2006/relationships/hyperlink" Id="rId213"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11" Target="https://CRAN.R-project.org/package=SPEI" TargetMode="External" /><Relationship Type="http://schemas.openxmlformats.org/officeDocument/2006/relationships/hyperlink" Id="rId131"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84" Target="https://doi.org/10.1002/ehs2.1258" TargetMode="External" /><Relationship Type="http://schemas.openxmlformats.org/officeDocument/2006/relationships/hyperlink" Id="rId113" Target="https://doi.org/10.1002/joc.3887" TargetMode="External" /><Relationship Type="http://schemas.openxmlformats.org/officeDocument/2006/relationships/hyperlink" Id="rId215" Target="https://doi.org/10.1002/lno.10789" TargetMode="External" /><Relationship Type="http://schemas.openxmlformats.org/officeDocument/2006/relationships/hyperlink" Id="rId274" Target="https://doi.org/10.1002/lol2.10098" TargetMode="External" /><Relationship Type="http://schemas.openxmlformats.org/officeDocument/2006/relationships/hyperlink" Id="rId272" Target="https://doi.org/10.1002/nt.2620020503" TargetMode="External" /><Relationship Type="http://schemas.openxmlformats.org/officeDocument/2006/relationships/hyperlink" Id="rId293" Target="https://doi.org/10.1007/978-0-387-87458-6" TargetMode="External" /><Relationship Type="http://schemas.openxmlformats.org/officeDocument/2006/relationships/hyperlink" Id="rId242" Target="https://doi.org/10.1007/bf02691345" TargetMode="External" /><Relationship Type="http://schemas.openxmlformats.org/officeDocument/2006/relationships/hyperlink" Id="rId198" Target="https://doi.org/10.1007/bf02691700" TargetMode="External" /><Relationship Type="http://schemas.openxmlformats.org/officeDocument/2006/relationships/hyperlink" Id="rId217" Target="https://doi.org/10.1007/bf02798652" TargetMode="External" /><Relationship Type="http://schemas.openxmlformats.org/officeDocument/2006/relationships/hyperlink" Id="rId173" Target="https://doi.org/10.1007/bf02819384" TargetMode="External" /><Relationship Type="http://schemas.openxmlformats.org/officeDocument/2006/relationships/hyperlink" Id="rId159" Target="https://doi.org/10.1007/s00267-005-0079-4" TargetMode="External" /><Relationship Type="http://schemas.openxmlformats.org/officeDocument/2006/relationships/hyperlink" Id="rId247" Target="https://doi.org/10.1007/s00267-013-0179-5" TargetMode="External" /><Relationship Type="http://schemas.openxmlformats.org/officeDocument/2006/relationships/hyperlink" Id="rId171" Target="https://doi.org/10.1007/s11802-014-2471-2" TargetMode="External" /><Relationship Type="http://schemas.openxmlformats.org/officeDocument/2006/relationships/hyperlink" Id="rId141" Target="https://doi.org/10.1007/s12237-008-9038-7" TargetMode="External" /><Relationship Type="http://schemas.openxmlformats.org/officeDocument/2006/relationships/hyperlink" Id="rId109" Target="https://doi.org/10.1007/s12237-019-00619-w" TargetMode="External" /><Relationship Type="http://schemas.openxmlformats.org/officeDocument/2006/relationships/hyperlink" Id="rId227" Target="https://doi.org/10.1007/s12237-023-01252-4" TargetMode="External" /><Relationship Type="http://schemas.openxmlformats.org/officeDocument/2006/relationships/hyperlink" Id="rId291" Target="https://doi.org/10.1016/0304-3770(75)90016-9" TargetMode="External" /><Relationship Type="http://schemas.openxmlformats.org/officeDocument/2006/relationships/hyperlink" Id="rId263" Target="https://doi.org/10.1016/j.aquabot.2005.06.003" TargetMode="External" /><Relationship Type="http://schemas.openxmlformats.org/officeDocument/2006/relationships/hyperlink" Id="rId219" Target="https://doi.org/10.1016/j.dsr2.2023.105321" TargetMode="External" /><Relationship Type="http://schemas.openxmlformats.org/officeDocument/2006/relationships/hyperlink" Id="rId240" Target="https://doi.org/10.1016/j.ecolind.2015.12.007" TargetMode="External" /><Relationship Type="http://schemas.openxmlformats.org/officeDocument/2006/relationships/hyperlink" Id="rId244" Target="https://doi.org/10.1016/j.ecolind.2020.107310" TargetMode="External" /><Relationship Type="http://schemas.openxmlformats.org/officeDocument/2006/relationships/hyperlink" Id="rId123" Target="https://doi.org/10.1016/j.ecolind.2023.111035" TargetMode="External" /><Relationship Type="http://schemas.openxmlformats.org/officeDocument/2006/relationships/hyperlink" Id="rId133" Target="https://doi.org/10.1016/j.ecolind.2023.111090" TargetMode="External" /><Relationship Type="http://schemas.openxmlformats.org/officeDocument/2006/relationships/hyperlink" Id="rId161" Target="https://doi.org/10.1016/j.ecss.2014.10.003" TargetMode="External" /><Relationship Type="http://schemas.openxmlformats.org/officeDocument/2006/relationships/hyperlink" Id="rId200" Target="https://doi.org/10.1016/j.ecss.2022.108134" TargetMode="External" /><Relationship Type="http://schemas.openxmlformats.org/officeDocument/2006/relationships/hyperlink" Id="rId190" Target="https://doi.org/10.1016/j.jembe.2007.05.031" TargetMode="External" /><Relationship Type="http://schemas.openxmlformats.org/officeDocument/2006/relationships/hyperlink" Id="rId127" Target="https://doi.org/10.1016/j.jembe.2007.06.024" TargetMode="External" /><Relationship Type="http://schemas.openxmlformats.org/officeDocument/2006/relationships/hyperlink" Id="rId137" Target="https://doi.org/10.1016/j.jenvman.2018.01.025" TargetMode="External" /><Relationship Type="http://schemas.openxmlformats.org/officeDocument/2006/relationships/hyperlink" Id="rId270" Target="https://doi.org/10.1016/j.marpolbul.2005.02.010" TargetMode="External" /><Relationship Type="http://schemas.openxmlformats.org/officeDocument/2006/relationships/hyperlink" Id="rId155" Target="https://doi.org/10.1016/j.marpolbul.2010.11.017" TargetMode="External" /><Relationship Type="http://schemas.openxmlformats.org/officeDocument/2006/relationships/hyperlink" Id="rId268" Target="https://doi.org/10.1016/j.marpolbul.2020.111247" TargetMode="External" /><Relationship Type="http://schemas.openxmlformats.org/officeDocument/2006/relationships/hyperlink" Id="rId103" Target="https://doi.org/10.1016/j.marpolbul.2022.113598" TargetMode="External" /><Relationship Type="http://schemas.openxmlformats.org/officeDocument/2006/relationships/hyperlink" Id="rId289" Target="https://doi.org/10.1016/j.marpolbul.2023.115043" TargetMode="External" /><Relationship Type="http://schemas.openxmlformats.org/officeDocument/2006/relationships/hyperlink" Id="rId135" Target="https://doi.org/10.1016/j.ocecoaman.2023.106490" TargetMode="External" /><Relationship Type="http://schemas.openxmlformats.org/officeDocument/2006/relationships/hyperlink" Id="rId91" Target="https://doi.org/10.1016/j.ocecoaman.2023.106929" TargetMode="External" /><Relationship Type="http://schemas.openxmlformats.org/officeDocument/2006/relationships/hyperlink" Id="rId129" Target="https://doi.org/10.1016/j.rse.2018.02.014" TargetMode="External" /><Relationship Type="http://schemas.openxmlformats.org/officeDocument/2006/relationships/hyperlink" Id="rId251" Target="https://doi.org/10.1016/j.rsma.2015.05.005" TargetMode="External" /><Relationship Type="http://schemas.openxmlformats.org/officeDocument/2006/relationships/hyperlink" Id="rId261" Target="https://doi.org/10.1016/j.rsma.2015.11.010" TargetMode="External" /><Relationship Type="http://schemas.openxmlformats.org/officeDocument/2006/relationships/hyperlink" Id="rId257" Target="https://doi.org/10.1016/j.scitotenv.2011.09.088" TargetMode="External" /><Relationship Type="http://schemas.openxmlformats.org/officeDocument/2006/relationships/hyperlink" Id="rId207" Target="https://doi.org/10.1016/j.seares.2012.03.002" TargetMode="External" /><Relationship Type="http://schemas.openxmlformats.org/officeDocument/2006/relationships/hyperlink" Id="rId282" Target="https://doi.org/10.1029/2005jc003067" TargetMode="External" /><Relationship Type="http://schemas.openxmlformats.org/officeDocument/2006/relationships/hyperlink" Id="rId177" Target="https://doi.org/10.1029/wr018i001p00107" TargetMode="External" /><Relationship Type="http://schemas.openxmlformats.org/officeDocument/2006/relationships/hyperlink" Id="rId149" Target="https://doi.org/10.1038/ngeo1477" TargetMode="External" /><Relationship Type="http://schemas.openxmlformats.org/officeDocument/2006/relationships/hyperlink" Id="rId221" Target="https://doi.org/10.1038/s41467-018-03732-9" TargetMode="External" /><Relationship Type="http://schemas.openxmlformats.org/officeDocument/2006/relationships/hyperlink" Id="rId278" Target="https://doi.org/10.1073/pnas.0905620106" TargetMode="External" /><Relationship Type="http://schemas.openxmlformats.org/officeDocument/2006/relationships/hyperlink" Id="rId192" Target="https://doi.org/10.1073/pnas.1715798115" TargetMode="External" /><Relationship Type="http://schemas.openxmlformats.org/officeDocument/2006/relationships/hyperlink" Id="rId175" Target="https://doi.org/10.1073/pnas.2220678120" TargetMode="External" /><Relationship Type="http://schemas.openxmlformats.org/officeDocument/2006/relationships/hyperlink" Id="rId139" Target="https://doi.org/10.1080/00785236.1995.10422039" TargetMode="External" /><Relationship Type="http://schemas.openxmlformats.org/officeDocument/2006/relationships/hyperlink" Id="rId225" Target="https://doi.org/10.1093/biosci/bix058" TargetMode="External" /><Relationship Type="http://schemas.openxmlformats.org/officeDocument/2006/relationships/hyperlink" Id="rId179" Target="https://doi.org/10.1101/sqb.1957.022.01.039" TargetMode="External" /><Relationship Type="http://schemas.openxmlformats.org/officeDocument/2006/relationships/hyperlink" Id="rId121" Target="https://doi.org/10.1111/1365-2664.13169" TargetMode="External" /><Relationship Type="http://schemas.openxmlformats.org/officeDocument/2006/relationships/hyperlink" Id="rId280" Target="https://doi.org/10.1111/1365-2745.13648" TargetMode="External" /><Relationship Type="http://schemas.openxmlformats.org/officeDocument/2006/relationships/hyperlink" Id="rId209" Target="https://doi.org/10.1111/brv.12294" TargetMode="External" /><Relationship Type="http://schemas.openxmlformats.org/officeDocument/2006/relationships/hyperlink" Id="rId147" Target="https://doi.org/10.1111/conl.12938" TargetMode="External" /><Relationship Type="http://schemas.openxmlformats.org/officeDocument/2006/relationships/hyperlink" Id="rId231" Target="https://doi.org/10.1111/gcb.13084" TargetMode="External" /><Relationship Type="http://schemas.openxmlformats.org/officeDocument/2006/relationships/hyperlink" Id="rId194" Target="https://doi.org/10.1111/gcb.13623" TargetMode="External" /><Relationship Type="http://schemas.openxmlformats.org/officeDocument/2006/relationships/hyperlink" Id="rId145" Target="https://doi.org/10.1111/gcb.15684" TargetMode="External" /><Relationship Type="http://schemas.openxmlformats.org/officeDocument/2006/relationships/hyperlink" Id="rId93" Target="https://doi.org/10.1111/j.1365-2699.2006.01584.x" TargetMode="External" /><Relationship Type="http://schemas.openxmlformats.org/officeDocument/2006/relationships/hyperlink" Id="rId286" Target="https://doi.org/10.1111/j.1467-9868.2010.00749.x" TargetMode="External" /><Relationship Type="http://schemas.openxmlformats.org/officeDocument/2006/relationships/hyperlink" Id="rId229" Target="https://doi.org/10.1126/sciadv.abc6434" TargetMode="External" /><Relationship Type="http://schemas.openxmlformats.org/officeDocument/2006/relationships/hyperlink" Id="rId276" Target="https://doi.org/10.1146/annurev.es.03.110172.000543" TargetMode="External" /><Relationship Type="http://schemas.openxmlformats.org/officeDocument/2006/relationships/hyperlink" Id="rId253" Target="https://doi.org/10.1353/sgo.2017.0026" TargetMode="External" /><Relationship Type="http://schemas.openxmlformats.org/officeDocument/2006/relationships/hyperlink" Id="rId223" Target="https://doi.org/10.1641/0006-3568(2006)56[987:agcfse]2.0.co;2" TargetMode="External" /><Relationship Type="http://schemas.openxmlformats.org/officeDocument/2006/relationships/hyperlink" Id="rId97" Target="https://doi.org/10.18637/jss.v067.i01" TargetMode="External" /><Relationship Type="http://schemas.openxmlformats.org/officeDocument/2006/relationships/hyperlink" Id="rId107" Target="https://doi.org/10.21105/joss.03485" TargetMode="External" /><Relationship Type="http://schemas.openxmlformats.org/officeDocument/2006/relationships/hyperlink" Id="rId255" Target="https://doi.org/10.21203/rs.3.rs-3528678/v1" TargetMode="External" /><Relationship Type="http://schemas.openxmlformats.org/officeDocument/2006/relationships/hyperlink" Id="rId84" Target="https://doi.org/10.21203/rs.3.rs-3946855/v1" TargetMode="External" /><Relationship Type="http://schemas.openxmlformats.org/officeDocument/2006/relationships/hyperlink" Id="rId119" Target="https://doi.org/10.2134/jeq2001.302303x" TargetMode="External" /><Relationship Type="http://schemas.openxmlformats.org/officeDocument/2006/relationships/hyperlink" Id="rId125" Target="https://doi.org/10.2307/1352383" TargetMode="External" /><Relationship Type="http://schemas.openxmlformats.org/officeDocument/2006/relationships/hyperlink" Id="rId165" Target="https://doi.org/10.2307/1353210" TargetMode="External" /><Relationship Type="http://schemas.openxmlformats.org/officeDocument/2006/relationships/hyperlink" Id="rId211" Target="https://doi.org/10.2307/1932688" TargetMode="External" /><Relationship Type="http://schemas.openxmlformats.org/officeDocument/2006/relationships/hyperlink" Id="rId151" Target="https://doi.org/10.3354/meps08853" TargetMode="External" /><Relationship Type="http://schemas.openxmlformats.org/officeDocument/2006/relationships/hyperlink" Id="rId237" Target="https://doi.org/10.3354/meps08925" TargetMode="External" /><Relationship Type="http://schemas.openxmlformats.org/officeDocument/2006/relationships/hyperlink" Id="rId167" Target="https://doi.org/10.3354/meps11923" TargetMode="External" /><Relationship Type="http://schemas.openxmlformats.org/officeDocument/2006/relationships/hyperlink" Id="rId169" Target="https://doi.org/10.3354/meps12740" TargetMode="External" /><Relationship Type="http://schemas.openxmlformats.org/officeDocument/2006/relationships/hyperlink" Id="rId115" Target="https://doi.org/10.3354/meps147277" TargetMode="External" /><Relationship Type="http://schemas.openxmlformats.org/officeDocument/2006/relationships/hyperlink" Id="rId235" Target="https://doi.org/10.3354/meps322099" TargetMode="External" /><Relationship Type="http://schemas.openxmlformats.org/officeDocument/2006/relationships/hyperlink" Id="rId157" Target="https://doi.org/10.3368/er.29.1-2.82" TargetMode="External" /><Relationship Type="http://schemas.openxmlformats.org/officeDocument/2006/relationships/hyperlink" Id="rId105" Target="https://doi.org/10.3389/fevo.2023.1070266" TargetMode="External" /><Relationship Type="http://schemas.openxmlformats.org/officeDocument/2006/relationships/hyperlink" Id="rId259" Target="https://doi.org/10.3389/fevo.2023.1134069" TargetMode="External" /><Relationship Type="http://schemas.openxmlformats.org/officeDocument/2006/relationships/hyperlink" Id="rId163" Target="https://doi.org/10.3389/fmars.2022.767440" TargetMode="External" /><Relationship Type="http://schemas.openxmlformats.org/officeDocument/2006/relationships/hyperlink" Id="rId95" Target="https://doi.org/10.3389/fmars.2022.917237" TargetMode="External" /><Relationship Type="http://schemas.openxmlformats.org/officeDocument/2006/relationships/hyperlink" Id="rId143" Target="https://doi.org/10.3389/fpls.2021.612947" TargetMode="External" /><Relationship Type="http://schemas.openxmlformats.org/officeDocument/2006/relationships/hyperlink" Id="rId99" Target="https://doi.org/10.5281/zenodo.3648664" TargetMode="External" /><Relationship Type="http://schemas.openxmlformats.org/officeDocument/2006/relationships/hyperlink" Id="rId101" Target="https://doi.org/10.5281/zenodo.4319936" TargetMode="External" /><Relationship Type="http://schemas.openxmlformats.org/officeDocument/2006/relationships/hyperlink" Id="rId205" Target="https://drive.google.com/file/d/1-1Jq9vly5EvVwEp698brlBucXjSMDbNn/view?usp=sharing" TargetMode="External" /><Relationship Type="http://schemas.openxmlformats.org/officeDocument/2006/relationships/hyperlink" Id="rId265" Target="https://drive.google.com/file/d/15zetRgrFKkWah9KAY1in7q0so8ywHzkA/view?usp=drive_link" TargetMode="External" /><Relationship Type="http://schemas.openxmlformats.org/officeDocument/2006/relationships/hyperlink" Id="rId188" Target="https://drive.google.com/file/d/19bNEs2qy6z0hXa1IE7OtbFTjqk1LarFN/view?usp=drivesdk" TargetMode="External" /><Relationship Type="http://schemas.openxmlformats.org/officeDocument/2006/relationships/hyperlink" Id="rId249" Target="https://drive.google.com/file/d/1BCviGfLykVX-p1tA3b0306deP3pKMagr/view?usp=drivesdk" TargetMode="External" /><Relationship Type="http://schemas.openxmlformats.org/officeDocument/2006/relationships/hyperlink" Id="rId184" Target="https://drive.google.com/file/d/1KARuSC5fGx05MuT1wiOQFWNXysBokkQl/view?usp=share_link" TargetMode="External" /><Relationship Type="http://schemas.openxmlformats.org/officeDocument/2006/relationships/hyperlink" Id="rId186" Target="https://drive.google.com/file/d/1Z_8L9sYQWSl1hon1tP1Y8zBo7MHQK9zC/view?usp=drivesdk" TargetMode="External" /><Relationship Type="http://schemas.openxmlformats.org/officeDocument/2006/relationships/hyperlink" Id="rId202" Target="https://drive.google.com/file/d/1iXX_JZP5fLS3ORIkFb7WwNYv8HjpHyKw/view?usp=sharing" TargetMode="External" /><Relationship Type="http://schemas.openxmlformats.org/officeDocument/2006/relationships/hyperlink" Id="rId153" Target="https://drive.google.com/file/d/1kZkvuprvsMyN9nPS5PHYvXHyo1KQxKTr/view?usp=drivesdk" TargetMode="External" /><Relationship Type="http://schemas.openxmlformats.org/officeDocument/2006/relationships/hyperlink" Id="rId196" Target="https://drive.google.com/file/d/1sNp3FpjdeOjATZ9nDRRAiXEOqQen9W_p/view?usp=sharing" TargetMode="External" /><Relationship Type="http://schemas.openxmlformats.org/officeDocument/2006/relationships/hyperlink" Id="rId117" Target="https://drive.google.com/file/d/1tUkGW7TRAJ_skWj-UemDVIJnUAsy0ITf/view?usp=drivesdk" TargetMode="External" /><Relationship Type="http://schemas.openxmlformats.org/officeDocument/2006/relationships/hyperlink" Id="rId83" Target="https://github.com/tbep-tech/temp-manu" TargetMode="External" /><Relationship Type="http://schemas.openxmlformats.org/officeDocument/2006/relationships/hyperlink" Id="rId182"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42" Target="https://tbep-tech.github.io/otb-temp/tempeval" TargetMode="External" /><Relationship Type="http://schemas.openxmlformats.org/officeDocument/2006/relationships/hyperlink" Id="rId28" Target="https://wateratlas.usf.edu/" TargetMode="External" /><Relationship Type="http://schemas.openxmlformats.org/officeDocument/2006/relationships/hyperlink" Id="rId213"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evidence of climate-related suboptimal water conditions for seagrass in a large Gulf coast estuary</dc:title>
  <dc:creator>Marcus W Beck1,✉, Kerry Flaherty-Walia1, Sheila Scolaro1, Maya C Burke1, Bradley T Furman2, David J Karlen3, Christopher Pratt3, Christopher J Anastasiou4, and Edward T Sherwood1</dc:creator>
  <cp:keywords/>
  <dcterms:created xsi:type="dcterms:W3CDTF">2024-05-14T20:13:35Z</dcterms:created>
  <dcterms:modified xsi:type="dcterms:W3CDTF">2024-05-14T20:13:35Z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estuaries-and-coasts.csl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