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7.png" ContentType="image/png"/>
  <Override PartName="/word/media/rId41.png" ContentType="image/png"/>
  <Override PartName="/word/media/rId53.png" ContentType="image/png"/>
  <Override PartName="/word/media/rId61.png" ContentType="image/png"/>
  <Override PartName="/word/media/rId45.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Climate change is an existential threat to environmental resources that sustain human health and the environment. In Tampa Bay, Florida (USA), seagrass coverage has declined since 2016 by nearly a third (11,518 acres), despite sustained reductions of nitrogen loads supportive of light environments for growth. Changing physical conditions related to climate change may be stressing seagrasses beyond their optimal growth ranges, requiring an assessment to determine if this decline can be linked to climate stress. Three datasets of varying sample design and coverage were evaluated to characterize physical environments in Tampa Bay and the potential relationships with seagrass change. Over the last fifty years, Tampa Bay has become hotter and fresher with water temperature increasing by 0.03 - 0.07</w:t>
      </w:r>
      <w:r>
        <w:t xml:space="preserve"> </w:t>
      </w:r>
      <m:oMath>
        <m:sSup>
          <m:e>
            <m:r>
              <m:t>​</m:t>
            </m:r>
          </m:e>
          <m:sup>
            <m:r>
              <m:rPr>
                <m:sty m:val="p"/>
              </m:rPr>
              <m:t>∘</m:t>
            </m:r>
          </m:sup>
        </m:sSup>
      </m:oMath>
      <w:r>
        <w:t xml:space="preserve">C per year and salinity decreasing by 0.04 - 0.2 ppt per year. These changes varied spatially and seasonally, with the most dramatic changes observed in the upper bay segments during the summer months. Simple linear models provided limited evidence that the recent seagrass decline is associated with hotter and fresher conditions. Trends in warming and increased precipitation in the region will continue, further creating suboptimal conditions for seagrasses in Tampa Bay. These results provide a motivating example for resource managers to consider the likelihood of reduced resilience of estuarine resources due to shifting ecological baselines from climate change. Conventional management approaches that focus on limiting nutrient loads should be continued, but the effectiveness may be limited and additional actions will be needed to maintain ecosystem health in the future.</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if not more, than other critical coastal environments</w:t>
      </w:r>
      <w:r>
        <w:t xml:space="preserve"> </w:t>
      </w:r>
      <w:r>
        <w:t xml:space="preserve">(Duarte et al. 2008)</w:t>
      </w:r>
      <w:r>
        <w:t xml:space="preserve">, which represents an existential threat to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Orth et al. 2006; Burkholder et al. 2007)</w:t>
      </w:r>
      <w:r>
        <w:t xml:space="preserve">, whereas natural disturbances such as storm events and disease have also been implicated</w:t>
      </w:r>
      <w:r>
        <w:t xml:space="preserve"> </w:t>
      </w:r>
      <w:r>
        <w:t xml:space="preserve">(Robblee et al. 1991; Tomasko et al. 2020)</w:t>
      </w:r>
      <w:r>
        <w:t xml:space="preserve">. Management actions and interventions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stressed environments requires management actions that create supportive conditions for growth. A long-standing approach adopted by numerous management entities has been the control of nutrient inputs in systems where excessive phytoplankton growth has created poor light environments for seagrasses</w:t>
      </w:r>
      <w:r>
        <w:t xml:space="preserve"> </w:t>
      </w:r>
      <w:r>
        <w:t xml:space="preserve">(Boesch et al. 2001; Greening and Janicki 2006; Greening et al.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nutrients.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Costly alternative management actions, in addition to nutrient reductions, are needed in these situations. Management actions are much more effective in estuaries that are stressed but not past critical thresholds that define an alternative state.</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increasing temperature and alteration of precipitation patterns. These changes will profoundly alter physical habitats, creating suboptimal or uninhabitable conditions for many species</w:t>
      </w:r>
      <w:r>
        <w:t xml:space="preserve"> </w:t>
      </w:r>
      <w:r>
        <w:t xml:space="preserve">(Madeira et al. 2012; Lefcheck et al. 2017;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effects of decreased water clarity for seagrasses in shallow habitats were exacerbated by acute warming related to climate change, demonstrating a concerning synergy of multiple stressors. Species shifts are also expected to occur as changing physical conditions decrease the competitive advantages of historically abundant species. Again in Chesapeake Bay, the abundance of widgeongrass (</w:t>
      </w:r>
      <w:r>
        <w:rPr>
          <w:iCs/>
          <w:i/>
        </w:rPr>
        <w:t xml:space="preserve">Ruppia maritima</w:t>
      </w:r>
      <w:r>
        <w:t xml:space="preserve">) has been mediated by nutrient reductions, while also outcompeting and replacing formerly dominant eelgrass (</w:t>
      </w:r>
      <w:r>
        <w:rPr>
          <w:iCs/>
          <w:i/>
        </w:rPr>
        <w:t xml:space="preserve">Zostera marina</w:t>
      </w:r>
      <w:r>
        <w:t xml:space="preserve">) given higher tolerance to increased temperatures</w:t>
      </w:r>
      <w:r>
        <w:t xml:space="preserve"> </w:t>
      </w:r>
      <w:r>
        <w:t xml:space="preserve">(Hensel et al. 2023)</w:t>
      </w:r>
      <w:r>
        <w:t xml:space="preserve">. Changing frequency and severity of precipitation patterns may further alter the distribution and abundance of seagrasses by pushing species outside of optimal salinity tolerance ranges</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Seagrasses may respond differently under individual or multiple stressors</w:t>
      </w:r>
      <w:r>
        <w:t xml:space="preserve"> </w:t>
      </w:r>
      <w:r>
        <w:t xml:space="preserve">(Lefcheck et al. 2017; Zhang et al. 2023)</w:t>
      </w:r>
      <w:r>
        <w:t xml:space="preserve">, suggesting place-based assessments of response to climate change provide valuable insights for managers responsible for maintaining ecological resources.</w:t>
      </w:r>
    </w:p>
    <w:p>
      <w:pPr>
        <w:pStyle w:val="BodyText"/>
      </w:pPr>
      <w:r>
        <w:t xml:space="preserve">In Tampa Bay, Florida, seagrasses are a primary indicator of bay health that have been the focus of management efforts over the last thirty years</w:t>
      </w:r>
      <w:r>
        <w:t xml:space="preserve"> </w:t>
      </w:r>
      <w:r>
        <w:t xml:space="preserve">(Sherwood et al. 2017)</w:t>
      </w:r>
      <w:r>
        <w:t xml:space="preserve">. Through successful reduction of nitrogen loads by 2/3 pre-regulation, seagrasses have recovered from a low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 with adequate light penetration that has been historically shown to support growth</w:t>
      </w:r>
      <w:r>
        <w:t xml:space="preserve"> </w:t>
      </w:r>
      <w:r>
        <w:t xml:space="preserve">(Janicki and Wade 1996; Beck 2020a)</w:t>
      </w:r>
      <w:r>
        <w:t xml:space="preserve">. Factors that have influenced this recent decline are unknown and the effects of climate change on physical conditions have been implicated as potential drivers.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and to develop models that can explain relationships of seagrass change with water quality conditions.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sample design and temporal coverage were used to assess the primary hypothesis that conditions in Tampa Bay are trending towards hotter and fresher conditions that are likely pushing seagrasses beyond their optimal tolerance ranges. This analysis was supported by 30-year seagrass datasets describing approximate biennial coverage of all seagrasses, annual transect monitoring describing cover of individual species, and synoptic seagrass data collected with the water quality surveys. Specific focus was on the periods prior to and after 2016, when seagrasses recovered baywide and then declined despite water quality conditions remaining relatively stable. Our primary goal was to relate recent seagrass changes to climate stressors to provide a motivating example for the management community in the Tampa Bay region that a shifting ecological baseline presents new challenges beyond the known success story of long-term bay recovery. The results are also provided as a cautionary example of the subtle but increasing role of climate-related stressors on the resiliency of estuarine systems at the tropical-temperate boundary, prompting a reassessment of existing management paradigms to accommodate current and anticipated future conditions.</w:t>
      </w:r>
    </w:p>
    <w:bookmarkEnd w:id="22"/>
    <w:bookmarkStart w:id="33"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tropical and temperate boundary of central Florida characterized by warm, humid conditions and a distinct rainy season during the summer. The watershed is heavily developed and includes over 3 million people 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(Sherwood et al. 2017)</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2</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(Greening et al. 2014;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by photointerpretation of aerial images obtained at the end of the growing season, typically during November-December.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abundance, cover, frequency occurrence, and condition, collected at fixed meter marks along a transect extending from the shoreline to the deepwater edge of the seagrass bed. Although the areal maps provide the standard for assessment of restoration goals, the transect data allow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(Figure</w:t>
      </w:r>
      <w:r>
        <w:t xml:space="preserve"> </w:t>
      </w:r>
      <w:hyperlink w:anchor="fig-map">
        <w:r>
          <w:rPr>
            <w:rStyle w:val="Hyperlink"/>
          </w:rPr>
          <w:t xml:space="preserve">1</w:t>
        </w:r>
      </w:hyperlink>
      <w:r>
        <w:t xml:space="preserve">b). These data are used for regulatory assessments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of physical parameters (e.g., salinity, temperature) collected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at different sites sampled each month. We used data from the 21.3 meter center-bag nearshore seine that targets shallow habitats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(PDEM). Surface waters in Pinellas County have been monitored since the 1990s, although a consistent stratified random sampling designed has been used in Tampa Bay since 2003 primarily to support robust statistical assessments for NPDES reporting. Data were obtained by request to PDEM staff for the western portion of Old Tampa Bay where sampling occurs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for analysis.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The change per year was also evaluated for each parameter based on the slope estimates returned by each test.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 All tests evaluated both surface and bottom measurements to assess potential differences by water depth.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The smoothing spline for decimal year had sufficient knots to capture the seasonal signal within each year and the long-term inter-annual trends. Model fit for each station was sufficient to calculate daily predictions to assess potential stressor metrics (Figure S5, R</w:t>
      </w:r>
      <m:oMath>
        <m:sSup>
          <m:e>
            <m:r>
              <m:t>​</m:t>
            </m:r>
          </m:e>
          <m:sup>
            <m:r>
              <m:t>2</m:t>
            </m:r>
          </m:sup>
        </m:sSup>
      </m:oMath>
      <w:r>
        <w:t xml:space="preserve"> </w:t>
      </w:r>
      <w:r>
        <w:t xml:space="preserve">ranged from 0.85 to 0.95 for temperature models, 0.71 to 0.96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31"/>
    <w:bookmarkStart w:id="32" w:name="links-to-seagrass"/>
    <w:p>
      <w:pPr>
        <w:pStyle w:val="Heading3"/>
      </w:pPr>
      <w:r>
        <w:t xml:space="preserve">2.7 Links to seagrass</w:t>
      </w:r>
    </w:p>
    <w:p>
      <w:pPr>
        <w:pStyle w:val="FirstParagraph"/>
      </w:pPr>
      <w:r>
        <w:t xml:space="preserve">For comparison to seagrass, the annual metrics were referenced to approximate periods of time between the annual seagrass transect surveys, as opposed to the calendar year for describing trends. Transect surveys are typically done in the fall at the end of the growing season. The average sampling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together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Model input data were further subset to include only months from July to November to describe seagrasses during the growing season and to reduce potential seasonal effects.</w:t>
      </w:r>
    </w:p>
    <w:bookmarkEnd w:id="32"/>
    <w:bookmarkEnd w:id="33"/>
    <w:bookmarkStart w:id="37" w:name="results"/>
    <w:p>
      <w:pPr>
        <w:pStyle w:val="Heading2"/>
      </w:pPr>
      <w:r>
        <w:t xml:space="preserve">3 Results</w:t>
      </w:r>
    </w:p>
    <w:bookmarkStart w:id="34"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has increased by 6.45 mm per year (p &lt; 0.05,</w:t>
      </w:r>
      <w:r>
        <w:t xml:space="preserve"> </w:t>
      </w:r>
      <m:oMath>
        <m:sSup>
          <m:e>
            <m:r>
              <m:t>R</m:t>
            </m:r>
          </m:e>
          <m:sup>
            <m:r>
              <m:t>2</m:t>
            </m:r>
          </m:sup>
        </m:sSup>
      </m:oMath>
      <w:r>
        <w:t xml:space="preserve"> </w:t>
      </w:r>
      <w:r>
        <w:t xml:space="preserve">0.11). Total precipitation in 1975 was 1072.4 (+/-67.68 st. err.) mm, whereas current total precipitation in 2022 was 1375.7 (+/-67.68 st. err.) mm,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the early 1980s,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1</w:t>
        </w:r>
      </w:hyperlink>
      <w:r>
        <w:t xml:space="preserve">,</w:t>
      </w:r>
      <w:r>
        <w:t xml:space="preserve"> </w:t>
      </w:r>
      <w:hyperlink w:anchor="tbl-saltrndtab">
        <w:r>
          <w:rPr>
            <w:rStyle w:val="Hyperlink"/>
          </w:rPr>
          <w:t xml:space="preserve">2</w:t>
        </w:r>
      </w:hyperlink>
      <w:r>
        <w:t xml:space="preserve">, Figures S1, S2, S3).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4</w:t>
        </w:r>
      </w:hyperlink>
      <w:r>
        <w:t xml:space="preserve">). Trends in water temperature were similar across bay segments with significant increases varying from 0.03 to 0.04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4</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5</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5</w:t>
        </w:r>
      </w:hyperlink>
      <w:r>
        <w:t xml:space="preserve">b, c), although some variation was observed between bay segments. Temperature trends were more often observed in the summer,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 Again, differences between top or bottom salinity trends were not observed.</w:t>
      </w:r>
    </w:p>
    <w:bookmarkEnd w:id="34"/>
    <w:bookmarkStart w:id="35" w:name="stressor-metrics"/>
    <w:p>
      <w:pPr>
        <w:pStyle w:val="Heading3"/>
      </w:pPr>
      <w:r>
        <w:t xml:space="preserve">3.2 Stressor metrics</w:t>
      </w:r>
    </w:p>
    <w:p>
      <w:pPr>
        <w:pStyle w:val="FirstParagraph"/>
      </w:pPr>
      <w:r>
        <w:t xml:space="preserve">Linear mixed-effects models showed varying trends in the potential stressor metrics for the number of days when temperature was above, salinity was below, or both occurred relative to different thresholds. All of the temperature models for each of the three thresholds (29, 30, 31</w:t>
      </w:r>
      <w:r>
        <w:t xml:space="preserve"> </w:t>
      </w:r>
      <m:oMath>
        <m:sSup>
          <m:e>
            <m:r>
              <m:t>​</m:t>
            </m:r>
          </m:e>
          <m:sup>
            <m:r>
              <m:rPr>
                <m:sty m:val="p"/>
              </m:rPr>
              <m:t>∘</m:t>
            </m:r>
          </m:sup>
        </m:sSup>
      </m:oMath>
      <w:r>
        <w:t xml:space="preserve">C)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were similar among bay segments, varying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 (Table S5, see Table S6 for 1998 to 2022).</w:t>
      </w:r>
    </w:p>
    <w:p>
      <w:pPr>
        <w:pStyle w:val="BodyText"/>
      </w:pPr>
      <w:r>
        <w:t xml:space="preserve">The salinity models were less similar between bay segments compared to the temperature models, primarily because of the natural variation in salinity along the bay’s longitudinal axis (Table S4). None of the bay segments had significantly increasing number of days per year when salinity was below 15 ppt. For MTB, only the number of days when salinity was below 25 ppt was significantly increasing at a rate of 0.7 days per year. Both HB and OTB had significantly increasing number of days per year when salinity was below 20 and 25 ppt, although the slopes varied such that the rates in OTB were nearly double those in HB. The number of days per year when salinity was below 25 ppt in OTB increased by 2 days per year, whereas the number of days in HB increased by 0.9 days per year from 1975 to present. Likewise, the average number of days per year when salinity was continuously below 25 ppt at the beginning and end of the period of record was 128 (OTB) and 131 (HB) days in 1975 and 171 (HB) and 219 (OTB) days in 2022 (Table S5, see Table S6 for 1998 to 2022).</w:t>
      </w:r>
    </w:p>
    <w:p>
      <w:pPr>
        <w:pStyle w:val="BodyText"/>
      </w:pPr>
      <w:r>
        <w:t xml:space="preserve">The number of days when both temperature was above a threshold and salinity was below a threshold also varied by bay segment. Four models were significant for OTB, seven for HB, four for MTB, and none for LTB.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34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with the slopes varying by bay segment.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develop models and the chosen thresholds were based primarily on statistical considerations. The thresholds likely have minimal ecological significance, but rather provide a useful metric for tracking physical changes in the water column that are likely correlated with seagrass change.</w:t>
      </w:r>
    </w:p>
    <w:bookmarkEnd w:id="35"/>
    <w:bookmarkStart w:id="36" w:name="seagrass-response"/>
    <w:p>
      <w:pPr>
        <w:pStyle w:val="Heading3"/>
      </w:pPr>
      <w:r>
        <w:t xml:space="preserve">3.3 Seagrass response</w:t>
      </w:r>
    </w:p>
    <w:p>
      <w:pPr>
        <w:pStyle w:val="FirstParagraph"/>
      </w:pPr>
      <w:r>
        <w:t xml:space="preserve">Linear models to assess the potential effects of temperature and salinity on seagrass changes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6"/>
    <w:bookmarkEnd w:id="37"/>
    <w:bookmarkStart w:id="39"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the Bay has consistently trended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EPC dataset with the longest period of record covering nearly fifty years of monthly observations, with the most dramatic changes occurring during the summer rainy season at locations farther from the mouth of the Bay. These long-term changes manifested into consistent trends in the stressor metrics, where the continuous number of days each year when temperature was above, salinity was below, or both crossed thresholds showed consistent increases across the period of record. Notably, bottom and surface trends for water temperature and salinity in the EPC dataset were similar, suggesting that any potential stress on biotic resources related to these factors are likely occurring throughout the water column.</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power to detect trends decreased for shorter time periods, as verified herein with the FIM and PDEM datasets.</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OTB and HB segments.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w:t>
      </w:r>
    </w:p>
    <w:p>
      <w:pPr>
        <w:pStyle w:val="BodyText"/>
      </w:pPr>
      <w:r>
        <w:t xml:space="preserve">Our relatively simple modeling approach provided some evidence that climate-related stressors can explain the recent loss in seagrass in Tampa Bay. The models did not provide a consistent, nor statistically powerful, explanation that increasing temperature and decreasing salinity were key drivers. However, evaluating all models together does suggest a pattern that demonstrates the value of considering multiple datasets and models to explain noisy ecological patterns.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the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suggest that conditions are very likely to become more stressful in the future. Moreover, the GAMs used to model continuous temperature and salinity at each EPC monitoring station likely did not fully describe the current extent of stress given that extreme low or high values were often not captured by the daily predictions (Figure S5). Regardless of the above limitations, the role of climate stressors on seagrass change is likely to continue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nitrogen in particular,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w:t>
      </w:r>
      <w:r>
        <w:t xml:space="preserve"> </w:t>
      </w:r>
      <w:r>
        <w:t xml:space="preserve">(OTB in particular where the most losses have been seen, Janicki and Wade 1996; Beck 2020a)</w:t>
      </w:r>
      <w:r>
        <w:t xml:space="preserve">.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EPC and PDEM datasets where temperature and salinity were measured at the same locations as seagrass. For example, temperature may simply be higher in locations where seagrasses are present, i.e., seagrasses may be influencing their environment rather than the environment influencing seagrasses. This explanation cannot be ruled out with the existing datasets, although the trend analyses and models suggest that climate-related stressors driving seagrass loss is a more likely scenario.</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likely more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w:t>
      </w:r>
    </w:p>
    <w:p>
      <w:pPr>
        <w:pStyle w:val="BodyText"/>
      </w:pPr>
      <w:r>
        <w:t xml:space="preserve">Additional biotic factors could be influencing regional patterns in seagrass growth. In Tampa Bay and elsewhere, the presence of macroalgal species and how these may influence seagrass growth and recovery has been a concern</w:t>
      </w:r>
      <w:r>
        <w:t xml:space="preserve"> </w:t>
      </w:r>
      <w:r>
        <w:t xml:space="preserve">(Janicki Environmental, Inc. 2022; Scolaro et al. 2023)</w:t>
      </w:r>
      <w:r>
        <w:t xml:space="preserve">.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w:t>
      </w:r>
      <w:r>
        <w:t xml:space="preserve">, in addition to insufficient data in Tampa Bay to clearly describe growth patterns and nutrient cycling related to macroalgae. Discrete pollutant loading events in Tampa Bay have been documented to promote macroalgae growth</w:t>
      </w:r>
      <w:r>
        <w:t xml:space="preserve"> </w:t>
      </w:r>
      <w:r>
        <w:t xml:space="preserve">(Beck et al. 2022; Scolaro et al. 2023; Tomasko 2023)</w:t>
      </w:r>
      <w:r>
        <w:t xml:space="preserve">, whereas the role of chronic nutrient loading and changing climatic conditions in promoting growth and interactions with seagrasses is less understood, particularly in recent years.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(Alarcon et al. 2024)</w:t>
      </w:r>
      <w:r>
        <w:t xml:space="preserve">. Salinity changes with sea-level rise have caused numerous alterations of subtidal and nearshore habitats</w:t>
      </w:r>
      <w:r>
        <w:t xml:space="preserve"> </w:t>
      </w:r>
      <w:r>
        <w:t xml:space="preserve">(Brinson et al. 1995; White and Kaplan 2017)</w:t>
      </w:r>
      <w:r>
        <w:t xml:space="preserve">. In southwest Florida, the most common ecological example is migration of mangroves upland as porewater salinity and water levels have gradually increased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(Hall et al. 2016)</w:t>
      </w:r>
      <w:r>
        <w:t xml:space="preserve">. Although drought has been implicated in the hypersaline conditions observed in Florida Bay, sea level rise is expected to further alter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suggest that the hydrologic load into the system has had a greater influence on salinity regimes than the effects of sea-level rise. This hypothesis is supported by our assessment of precipitation patterns over time, where the long-term increase is inversely correlated with the decrease in salinity.</w:t>
      </w:r>
    </w:p>
    <w:bookmarkStart w:id="38"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physical habitat conditions and seagrass change as the trends are very likely to continue to push seagrasses further outside of their tolerance ranges. These analyses should be supported by additional data, particularly high-resolution continuous monitoring data that provide a more precise assessment of stress at multiple time-scales.</w:t>
      </w:r>
    </w:p>
    <w:p>
      <w:pPr>
        <w:pStyle w:val="BodyText"/>
      </w:pPr>
      <w:r>
        <w:t xml:space="preserve">Area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with climate change. For example, nitrogen load reductions have been effective at restoring Tampa Bay, primarily due to wastewater load allocations considered to be within the nutrient assimilative capacity of Tampa Bay</w:t>
      </w:r>
      <w:r>
        <w:t xml:space="preserve"> </w:t>
      </w:r>
      <w:r>
        <w:t xml:space="preserve">(Greening and Janicki 2006; Greening et al. 2014)</w:t>
      </w:r>
      <w:r>
        <w:t xml:space="preserve">. As Tampa Bay becomes hotter and fresher, similar load allocations may no longer be effectively assimilated. Strategies can be pursued to reduce allowable load inputs from regulated entities and to create additional resilience through more aggressive management strategies (e.g., additional stormwater controls, hydrological modifications).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systems due to hysteresis.</w:t>
      </w:r>
    </w:p>
    <w:bookmarkEnd w:id="38"/>
    <w:bookmarkEnd w:id="39"/>
    <w:bookmarkStart w:id="40"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Mike Wessel, Ray Pribble, and Dave Tomasko.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hundreds of field and technical staff for collecting and maintaining the valuable long-term monitoring data used in this study.</w:t>
      </w:r>
    </w:p>
    <w:p>
      <w:r>
        <w:br w:type="page"/>
      </w:r>
    </w:p>
    <w:bookmarkEnd w:id="40"/>
    <w:bookmarkStart w:id="6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4" w:name="fig-map"/>
          <w:p>
            <w:pPr>
              <w:jc w:val="center"/>
            </w:pPr>
            <w:r>
              <w:drawing>
                <wp:inline>
                  <wp:extent cx="3669832" cy="5963478"/>
                  <wp:effectExtent b="0" l="0" r="0" t="0"/>
                  <wp:docPr descr="" title="" id="42" name="Picture"/>
                  <a:graphic>
                    <a:graphicData uri="http://schemas.openxmlformats.org/drawingml/2006/picture">
                      <pic:pic>
                        <pic:nvPicPr>
                          <pic:cNvPr descr="figs/map.png" id="43" name="Picture"/>
                          <pic:cNvPicPr>
                            <a:picLocks noChangeArrowheads="1" noChangeAspect="1"/>
                          </pic:cNvPicPr>
                        </pic:nvPicPr>
                        <pic:blipFill>
                          <a:blip r:embed="rId41"/>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(red), (b) Environmental Protection Commission (EPC) long-term monitoring sites, (c) Fisheries Independent Monitoring (FIM) random sampling for near-shore seine hauls, and (d) OTB portion of Pinellas County Department of Environmental Management (PDEM) random sampling. Date ranges for each dataset are shown in the title.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eagrasschg"/>
          <w:p>
            <w:pPr>
              <w:jc w:val="center"/>
            </w:pPr>
            <w:r>
              <w:drawing>
                <wp:inline>
                  <wp:extent cx="5943600" cy="4457699"/>
                  <wp:effectExtent b="0" l="0" r="0" t="0"/>
                  <wp:docPr descr="" title="" id="46" name="Picture"/>
                  <a:graphic>
                    <a:graphicData uri="http://schemas.openxmlformats.org/drawingml/2006/picture">
                      <pic:pic>
                        <pic:nvPicPr>
                          <pic:cNvPr descr="figs/seagrasschg.png" id="47" name="Picture"/>
                          <pic:cNvPicPr>
                            <a:picLocks noChangeArrowheads="1" noChangeAspect="1"/>
                          </pic:cNvPicPr>
                        </pic:nvPicPr>
                        <pic:blipFill>
                          <a:blip r:embed="rId45"/>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concept"/>
          <w:p>
            <w:pPr>
              <w:jc w:val="center"/>
            </w:pPr>
            <w:r>
              <w:drawing>
                <wp:inline>
                  <wp:extent cx="4905519" cy="5002796"/>
                  <wp:effectExtent b="0" l="0" r="0" t="0"/>
                  <wp:docPr descr="" title="" id="50" name="Picture"/>
                  <a:graphic>
                    <a:graphicData uri="http://schemas.openxmlformats.org/drawingml/2006/picture">
                      <pic:pic>
                        <pic:nvPicPr>
                          <pic:cNvPr descr="figs/concept.png" id="51" name="Picture"/>
                          <pic:cNvPicPr>
                            <a:picLocks noChangeArrowheads="1" noChangeAspect="1"/>
                          </pic:cNvPicPr>
                        </pic:nvPicPr>
                        <pic:blipFill>
                          <a:blip r:embed="rId49"/>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 Tampa Bay is trending towards the bottom right.</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meteowqraw"/>
          <w:p>
            <w:pPr>
              <w:jc w:val="center"/>
            </w:pPr>
            <w:r>
              <w:drawing>
                <wp:inline>
                  <wp:extent cx="5943600" cy="6792685"/>
                  <wp:effectExtent b="0" l="0" r="0" t="0"/>
                  <wp:docPr descr="" title="" id="54" name="Picture"/>
                  <a:graphic>
                    <a:graphicData uri="http://schemas.openxmlformats.org/drawingml/2006/picture">
                      <pic:pic>
                        <pic:nvPicPr>
                          <pic:cNvPr descr="figs/meteowqraw.png" id="55" name="Picture"/>
                          <pic:cNvPicPr>
                            <a:picLocks noChangeArrowheads="1" noChangeAspect="1"/>
                          </pic:cNvPicPr>
                        </pic:nvPicPr>
                        <pic:blipFill>
                          <a:blip r:embed="rId53"/>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Long-term air temperature, precipitation, hydrologic load, Standard Precipitation Index (SPI), water temperature, and salinity trends from 1975 to 2022. Points for water temperature and salinity are colored by sampling location in the water column and show the average (95% confidence interval) across all stations in each bay segment and sampling months for each year. OTB: Old Tampa Bay, HB: Hillsborough Bay, MTB: Middle Tampa Bay, LTB: Lower Tampa Bay.</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kendall"/>
          <w:p>
            <w:pPr>
              <w:jc w:val="center"/>
            </w:pPr>
            <w:r>
              <w:drawing>
                <wp:inline>
                  <wp:extent cx="5943600" cy="4379494"/>
                  <wp:effectExtent b="0" l="0" r="0" t="0"/>
                  <wp:docPr descr="" title="" id="58" name="Picture"/>
                  <a:graphic>
                    <a:graphicData uri="http://schemas.openxmlformats.org/drawingml/2006/picture">
                      <pic:pic>
                        <pic:nvPicPr>
                          <pic:cNvPr descr="figs/kendall.png" id="59" name="Picture"/>
                          <pic:cNvPicPr>
                            <a:picLocks noChangeArrowheads="1" noChangeAspect="1"/>
                          </pic:cNvPicPr>
                        </pic:nvPicPr>
                        <pic:blipFill>
                          <a:blip r:embed="rId57"/>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temperature and salinity measurements at long-term monitoring stations in Tampa Bay. Results for seasonal Kendall tests by station and monitoring location (top or bottom of the water column) are shown in (a) with color and shape corresponding to the estimated annual slope as change per year (yr</w:t>
            </w:r>
            <m:oMath>
              <m:sSup>
                <m:e>
                  <m:r>
                    <m:t>​</m:t>
                  </m:r>
                </m:e>
                <m:sup>
                  <m:r>
                    <m:rPr>
                      <m:sty m:val="p"/>
                    </m:rPr>
                    <m:t>−</m:t>
                  </m:r>
                  <m:r>
                    <m:t>1</m:t>
                  </m:r>
                </m:sup>
              </m:sSup>
            </m:oMath>
            <w:r>
              <w:t xml:space="preserve">). Summarized seasonal trends by month are shown for (b) top and (c) bottom measurements as the percent of stations in each bay segment with significant increasing (temperature) or decreasing (salinity) trends. Bay segment outlines are shown in (a);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mixeff"/>
          <w:p>
            <w:pPr>
              <w:jc w:val="center"/>
            </w:pPr>
            <w:r>
              <w:drawing>
                <wp:inline>
                  <wp:extent cx="5943600" cy="5094514"/>
                  <wp:effectExtent b="0" l="0" r="0" t="0"/>
                  <wp:docPr descr="" title="" id="62" name="Picture"/>
                  <a:graphic>
                    <a:graphicData uri="http://schemas.openxmlformats.org/drawingml/2006/picture">
                      <pic:pic>
                        <pic:nvPicPr>
                          <pic:cNvPr descr="figs/mixeff.png" id="63" name="Picture"/>
                          <pic:cNvPicPr>
                            <a:picLocks noChangeArrowheads="1" noChangeAspect="1"/>
                          </pic:cNvPicPr>
                        </pic:nvPicPr>
                        <pic:blipFill>
                          <a:blip r:embed="rId6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psu, respectively.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right of each facet.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sgmod"/>
          <w:p>
            <w:pPr>
              <w:jc w:val="center"/>
            </w:pPr>
            <w:r>
              <w:drawing>
                <wp:inline>
                  <wp:extent cx="5943600" cy="5094514"/>
                  <wp:effectExtent b="0" l="0" r="0" t="0"/>
                  <wp:docPr descr="" title="" id="66" name="Picture"/>
                  <a:graphic>
                    <a:graphicData uri="http://schemas.openxmlformats.org/drawingml/2006/picture">
                      <pic:pic>
                        <pic:nvPicPr>
                          <pic:cNvPr descr="figs/sgmods.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8"/>
        </w:tc>
      </w:tr>
    </w:tbl>
    <w:p>
      <w:r>
        <w:br w:type="page"/>
      </w:r>
    </w:p>
    <w:bookmarkEnd w:id="69"/>
    <w:bookmarkStart w:id="74" w:name="tables"/>
    <w:p>
      <w:pPr>
        <w:pStyle w:val="Heading2"/>
      </w:pPr>
      <w:r>
        <w:t xml:space="preserve">Tables</w:t>
      </w:r>
    </w:p>
    <w:bookmarkStart w:id="70"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24.7</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24.9</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24.8</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23.5</w:t>
            </w:r>
          </w:p>
        </w:tc>
        <w:tc>
          <w:tcPr/>
          <w:p>
            <w:pPr>
              <w:pStyle w:val="Compact"/>
              <w:jc w:val="right"/>
            </w:pPr>
            <w:r>
              <w:t xml:space="preserve">24.7</w:t>
            </w:r>
          </w:p>
        </w:tc>
        <w:tc>
          <w:tcPr/>
          <w:p>
            <w:pPr>
              <w:pStyle w:val="Compact"/>
              <w:jc w:val="right"/>
            </w:pPr>
            <w:r>
              <w:t xml:space="preserve">1.2</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25.3</w:t>
            </w:r>
          </w:p>
        </w:tc>
        <w:tc>
          <w:tcPr/>
          <w:p>
            <w:pPr>
              <w:pStyle w:val="Compact"/>
              <w:jc w:val="right"/>
            </w:pPr>
            <w:r>
              <w:t xml:space="preserve">1.5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24.1</w:t>
            </w:r>
          </w:p>
        </w:tc>
        <w:tc>
          <w:tcPr/>
          <w:p>
            <w:pPr>
              <w:pStyle w:val="Compact"/>
              <w:jc w:val="right"/>
            </w:pPr>
            <w:r>
              <w:t xml:space="preserve">25.0</w:t>
            </w:r>
          </w:p>
        </w:tc>
        <w:tc>
          <w:tcPr/>
          <w:p>
            <w:pPr>
              <w:pStyle w:val="Compact"/>
              <w:jc w:val="right"/>
            </w:pPr>
            <w:r>
              <w:t xml:space="preserve">0.9</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24.7</w:t>
            </w:r>
          </w:p>
        </w:tc>
        <w:tc>
          <w:tcPr/>
          <w:p>
            <w:pPr>
              <w:pStyle w:val="Compact"/>
              <w:jc w:val="right"/>
            </w:pPr>
            <w:r>
              <w:t xml:space="preserve">0.7</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24.6</w:t>
            </w:r>
          </w:p>
        </w:tc>
        <w:tc>
          <w:tcPr/>
          <w:p>
            <w:pPr>
              <w:pStyle w:val="Compact"/>
              <w:jc w:val="right"/>
            </w:pPr>
            <w:r>
              <w:t xml:space="preserve">0.6</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23.6</w:t>
            </w:r>
          </w:p>
        </w:tc>
        <w:tc>
          <w:tcPr/>
          <w:p>
            <w:pPr>
              <w:pStyle w:val="Compact"/>
              <w:jc w:val="right"/>
            </w:pPr>
            <w:r>
              <w:t xml:space="preserve">24.9</w:t>
            </w:r>
          </w:p>
        </w:tc>
        <w:tc>
          <w:tcPr/>
          <w:p>
            <w:pPr>
              <w:pStyle w:val="Compact"/>
              <w:jc w:val="right"/>
            </w:pPr>
            <w:r>
              <w:t xml:space="preserve">1.3</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25.5</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23.7</w:t>
            </w:r>
          </w:p>
        </w:tc>
        <w:tc>
          <w:tcPr/>
          <w:p>
            <w:pPr>
              <w:pStyle w:val="Compact"/>
              <w:jc w:val="right"/>
            </w:pPr>
            <w:r>
              <w:t xml:space="preserve">25.4</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bl>
    <w:bookmarkEnd w:id="70"/>
    <w:p>
      <w:r>
        <w:br w:type="page"/>
      </w:r>
    </w:p>
    <w:bookmarkStart w:id="71"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salinity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2: Bottom salinity trends (ppt) by bay segments and datasets. Start year describes the range of the trend test to the present year (2022). The starting value is the estimated salinity at the start year and the end value is the estimated salinity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25.8</w:t>
            </w:r>
          </w:p>
        </w:tc>
        <w:tc>
          <w:tcPr/>
          <w:p>
            <w:pPr>
              <w:pStyle w:val="Compact"/>
              <w:jc w:val="right"/>
            </w:pPr>
            <w:r>
              <w:t xml:space="preserve">23.1</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25.6</w:t>
            </w:r>
          </w:p>
        </w:tc>
        <w:tc>
          <w:tcPr/>
          <w:p>
            <w:pPr>
              <w:pStyle w:val="Compact"/>
              <w:jc w:val="right"/>
            </w:pPr>
            <w:r>
              <w:t xml:space="preserve">24.6</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31.3</w:t>
            </w:r>
          </w:p>
        </w:tc>
        <w:tc>
          <w:tcPr/>
          <w:p>
            <w:pPr>
              <w:pStyle w:val="Compact"/>
              <w:jc w:val="right"/>
            </w:pPr>
            <w:r>
              <w:t xml:space="preserve">-2.1</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24.9</w:t>
            </w:r>
          </w:p>
        </w:tc>
        <w:tc>
          <w:tcPr/>
          <w:p>
            <w:pPr>
              <w:pStyle w:val="Compact"/>
              <w:jc w:val="right"/>
            </w:pPr>
            <w:r>
              <w:t xml:space="preserve">22.8</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24.1</w:t>
            </w:r>
          </w:p>
        </w:tc>
        <w:tc>
          <w:tcPr/>
          <w:p>
            <w:pPr>
              <w:pStyle w:val="Compact"/>
              <w:jc w:val="right"/>
            </w:pPr>
            <w:r>
              <w:t xml:space="preserve">22.6</w:t>
            </w:r>
          </w:p>
        </w:tc>
        <w:tc>
          <w:tcPr/>
          <w:p>
            <w:pPr>
              <w:pStyle w:val="Compact"/>
              <w:jc w:val="right"/>
            </w:pPr>
            <w:r>
              <w:t xml:space="preserve">-1.5</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26.1</w:t>
            </w:r>
          </w:p>
        </w:tc>
        <w:tc>
          <w:tcPr/>
          <w:p>
            <w:pPr>
              <w:pStyle w:val="Compact"/>
              <w:jc w:val="right"/>
            </w:pPr>
            <w:r>
              <w:t xml:space="preserve">23.9</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w:t>
            </w:r>
          </w:p>
        </w:tc>
        <w:tc>
          <w:tcPr/>
          <w:p>
            <w:pPr>
              <w:pStyle w:val="Compact"/>
              <w:jc w:val="right"/>
            </w:pPr>
            <w:r>
              <w:t xml:space="preserve">24.0</w:t>
            </w:r>
          </w:p>
        </w:tc>
        <w:tc>
          <w:tcPr/>
          <w:p>
            <w:pPr>
              <w:pStyle w:val="Compact"/>
              <w:jc w:val="right"/>
            </w:pPr>
            <w:r>
              <w:t xml:space="preserve">24.0</w:t>
            </w:r>
          </w:p>
        </w:tc>
        <w:tc>
          <w:tcPr/>
          <w:p>
            <w:pPr>
              <w:pStyle w:val="Compact"/>
              <w:jc w:val="right"/>
            </w:pPr>
            <w:r>
              <w:t xml:space="preserve">0.0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26.6</w:t>
            </w:r>
          </w:p>
        </w:tc>
        <w:tc>
          <w:tcPr/>
          <w:p>
            <w:pPr>
              <w:pStyle w:val="Compact"/>
              <w:jc w:val="right"/>
            </w:pPr>
            <w:r>
              <w:t xml:space="preserve">25.8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31.6</w:t>
            </w:r>
          </w:p>
        </w:tc>
        <w:tc>
          <w:tcPr/>
          <w:p>
            <w:pPr>
              <w:pStyle w:val="Compact"/>
              <w:jc w:val="right"/>
            </w:pPr>
            <w:r>
              <w:t xml:space="preserve">32.0</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22.0</w:t>
            </w:r>
          </w:p>
        </w:tc>
        <w:tc>
          <w:tcPr/>
          <w:p>
            <w:pPr>
              <w:pStyle w:val="Compact"/>
              <w:jc w:val="right"/>
            </w:pPr>
            <w:r>
              <w:t xml:space="preserve">-3.5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24.7</w:t>
            </w:r>
          </w:p>
        </w:tc>
        <w:tc>
          <w:tcPr/>
          <w:p>
            <w:pPr>
              <w:pStyle w:val="Compact"/>
              <w:jc w:val="right"/>
            </w:pPr>
            <w:r>
              <w:t xml:space="preserve">21.9</w:t>
            </w:r>
          </w:p>
        </w:tc>
        <w:tc>
          <w:tcPr/>
          <w:p>
            <w:pPr>
              <w:pStyle w:val="Compact"/>
              <w:jc w:val="right"/>
            </w:pPr>
            <w:r>
              <w:t xml:space="preserve">-2.8</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26.5</w:t>
            </w:r>
          </w:p>
        </w:tc>
        <w:tc>
          <w:tcPr/>
          <w:p>
            <w:pPr>
              <w:pStyle w:val="Compact"/>
              <w:jc w:val="right"/>
            </w:pPr>
            <w:r>
              <w:t xml:space="preserve">23.1</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24.8</w:t>
            </w:r>
          </w:p>
        </w:tc>
        <w:tc>
          <w:tcPr/>
          <w:p>
            <w:pPr>
              <w:pStyle w:val="Compact"/>
              <w:jc w:val="right"/>
            </w:pPr>
            <w:r>
              <w:t xml:space="preserve">23.4</w:t>
            </w:r>
          </w:p>
        </w:tc>
        <w:tc>
          <w:tcPr/>
          <w:p>
            <w:pPr>
              <w:pStyle w:val="Compact"/>
              <w:jc w:val="right"/>
            </w:pPr>
            <w:r>
              <w:t xml:space="preserve">-1.4</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-0.11</w:t>
            </w:r>
          </w:p>
        </w:tc>
        <w:tc>
          <w:tcPr/>
          <w:p>
            <w:pPr>
              <w:pStyle w:val="Compact"/>
              <w:jc w:val="right"/>
            </w:pPr>
            <w:r>
              <w:t xml:space="preserve">27.2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32.5</w:t>
            </w:r>
          </w:p>
        </w:tc>
        <w:tc>
          <w:tcPr/>
          <w:p>
            <w:pPr>
              <w:pStyle w:val="Compact"/>
              <w:jc w:val="right"/>
            </w:pPr>
            <w:r>
              <w:t xml:space="preserve">31.5</w:t>
            </w:r>
          </w:p>
        </w:tc>
        <w:tc>
          <w:tcPr/>
          <w:p>
            <w:pPr>
              <w:pStyle w:val="Compact"/>
              <w:jc w:val="right"/>
            </w:pPr>
            <w:r>
              <w:t xml:space="preserve">-1.0</w:t>
            </w:r>
          </w:p>
        </w:tc>
      </w:tr>
    </w:tbl>
    <w:bookmarkEnd w:id="71"/>
    <w:p>
      <w:r>
        <w:br w:type="page"/>
      </w:r>
    </w:p>
    <w:bookmarkStart w:id="72"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72"/>
    <w:p>
      <w:r>
        <w:br w:type="page"/>
      </w:r>
    </w:p>
    <w:bookmarkStart w:id="73" w:name="tbl-modtab"/>
    <w:p>
      <w:pPr>
        <w:pStyle w:val="Tabl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Caption w:val="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 “Temp” and “Sal” terms for the EPC models describe metrics that measure the number of days when temperature was above or salinity was below a threshold value, whereas the terms in all other models describe observed temperature or salinity (see text for description). ** p &lt; 0.005, * p &lt; 0.05, ^. p &lt; 0.1. EPC: Environmental Protection Commission, FIM: Fisheries Independent Monitoring, PDEM: Pinellas County Department of Environmental Management. OTB: Old Tampa Bay, HB: Hillsborough Bay, MTB: Middle Tampa Bay."/>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left"/>
            </w:pPr>
            <w:r>
              <w:t xml:space="preserve">Estimate</w:t>
            </w:r>
          </w:p>
        </w:tc>
        <w:tc>
          <w:tcPr/>
          <w:p>
            <w:pPr>
              <w:pStyle w:val="Compact"/>
              <w:jc w:val="left"/>
            </w:pPr>
            <w:r>
              <w:t xml:space="preserve">t-statistic</w:t>
            </w:r>
          </w:p>
        </w:tc>
      </w:tr>
      <w:tr>
        <w:tc>
          <w:tcPr/>
          <w:p>
            <w:pPr>
              <w:pStyle w:val="Compact"/>
              <w:jc w:val="left"/>
            </w:pPr>
            <w:r>
              <w:t xml:space="preserve">EPC 1</w:t>
            </w:r>
          </w:p>
        </w:tc>
        <w:tc>
          <w:tcPr/>
          <w:p>
            <w:pPr>
              <w:pStyle w:val="Compact"/>
              <w:jc w:val="left"/>
            </w:pPr>
            <w:r>
              <w:t xml:space="preserve">Sal</w:t>
            </w:r>
          </w:p>
        </w:tc>
        <w:tc>
          <w:tcPr/>
          <w:p>
            <w:pPr>
              <w:pStyle w:val="Compact"/>
              <w:jc w:val="left"/>
            </w:pPr>
            <w:r>
              <w:t xml:space="preserve">0.00069 (0.00037)</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w:t>
            </w:r>
          </w:p>
        </w:tc>
        <w:tc>
          <w:tcPr/>
          <w:p>
            <w:pPr>
              <w:pStyle w:val="Compact"/>
              <w:jc w:val="left"/>
            </w:pPr>
            <w:r>
              <w:t xml:space="preserve">0.0035 (0.0013)</w:t>
            </w:r>
          </w:p>
        </w:tc>
        <w:tc>
          <w:tcPr/>
          <w:p>
            <w:pPr>
              <w:pStyle w:val="Compact"/>
              <w:jc w:val="left"/>
            </w:pPr>
            <w:r>
              <w:t xml:space="preserve">2.6*</w:t>
            </w:r>
          </w:p>
        </w:tc>
      </w:tr>
      <w:tr>
        <w:tc>
          <w:tcPr/>
          <w:p>
            <w:pPr>
              <w:pStyle w:val="Compact"/>
            </w:pPr>
          </w:p>
        </w:tc>
        <w:tc>
          <w:tcPr/>
          <w:p>
            <w:pPr>
              <w:pStyle w:val="Compact"/>
              <w:jc w:val="left"/>
            </w:pPr>
            <w:r>
              <w:t xml:space="preserve">Time_post</w:t>
            </w:r>
          </w:p>
        </w:tc>
        <w:tc>
          <w:tcPr/>
          <w:p>
            <w:pPr>
              <w:pStyle w:val="Compact"/>
              <w:jc w:val="left"/>
            </w:pPr>
            <w:r>
              <w:t xml:space="preserve">0.48 (0.28)</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Baysegment_HB</w:t>
            </w:r>
          </w:p>
        </w:tc>
        <w:tc>
          <w:tcPr/>
          <w:p>
            <w:pPr>
              <w:pStyle w:val="Compact"/>
              <w:jc w:val="left"/>
            </w:pPr>
            <w:r>
              <w:t xml:space="preserve">-0.39 (0.042)</w:t>
            </w:r>
          </w:p>
        </w:tc>
        <w:tc>
          <w:tcPr/>
          <w:p>
            <w:pPr>
              <w:pStyle w:val="Compact"/>
              <w:jc w:val="left"/>
            </w:pPr>
            <w:r>
              <w:t xml:space="preserve">-9.3**</w:t>
            </w:r>
          </w:p>
        </w:tc>
      </w:tr>
      <w:tr>
        <w:tc>
          <w:tcPr/>
          <w:p>
            <w:pPr>
              <w:pStyle w:val="Compact"/>
            </w:pPr>
          </w:p>
        </w:tc>
        <w:tc>
          <w:tcPr/>
          <w:p>
            <w:pPr>
              <w:pStyle w:val="Compact"/>
              <w:jc w:val="left"/>
            </w:pPr>
            <w:r>
              <w:t xml:space="preserve">Baysegment_MTB</w:t>
            </w:r>
          </w:p>
        </w:tc>
        <w:tc>
          <w:tcPr/>
          <w:p>
            <w:pPr>
              <w:pStyle w:val="Compact"/>
              <w:jc w:val="left"/>
            </w:pPr>
            <w:r>
              <w:t xml:space="preserve">-0.12 (0.047)</w:t>
            </w:r>
          </w:p>
        </w:tc>
        <w:tc>
          <w:tcPr/>
          <w:p>
            <w:pPr>
              <w:pStyle w:val="Compact"/>
              <w:jc w:val="left"/>
            </w:pPr>
            <w:r>
              <w:t xml:space="preserve">-2.6*</w:t>
            </w:r>
          </w:p>
        </w:tc>
      </w:tr>
      <w:tr>
        <w:tc>
          <w:tcPr/>
          <w:p>
            <w:pPr>
              <w:pStyle w:val="Compact"/>
            </w:pPr>
          </w:p>
        </w:tc>
        <w:tc>
          <w:tcPr/>
          <w:p>
            <w:pPr>
              <w:pStyle w:val="Compact"/>
              <w:jc w:val="left"/>
            </w:pPr>
            <w:r>
              <w:t xml:space="preserve">Sal:Temp</w:t>
            </w:r>
          </w:p>
        </w:tc>
        <w:tc>
          <w:tcPr/>
          <w:p>
            <w:pPr>
              <w:pStyle w:val="Compact"/>
              <w:jc w:val="left"/>
            </w:pPr>
            <w:r>
              <w:t xml:space="preserve">-1.3e-05 (7.5e-06)</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Sal:Time_post</w:t>
            </w:r>
          </w:p>
        </w:tc>
        <w:tc>
          <w:tcPr/>
          <w:p>
            <w:pPr>
              <w:pStyle w:val="Compact"/>
              <w:jc w:val="left"/>
            </w:pPr>
            <w:r>
              <w:t xml:space="preserve">-0.0027 (0.0015)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-0.0056 (0.0052)</w:t>
            </w:r>
          </w:p>
        </w:tc>
        <w:tc>
          <w:tcPr/>
          <w:p>
            <w:pPr>
              <w:pStyle w:val="Compact"/>
              <w:jc w:val="left"/>
            </w:pPr>
            <w:r>
              <w:t xml:space="preserve">-1.1</w:t>
            </w:r>
          </w:p>
        </w:tc>
      </w:tr>
      <w:tr>
        <w:tc>
          <w:tcPr/>
          <w:p>
            <w:pPr>
              <w:pStyle w:val="Compact"/>
            </w:pPr>
          </w:p>
        </w:tc>
        <w:tc>
          <w:tcPr/>
          <w:p>
            <w:pPr>
              <w:pStyle w:val="Compact"/>
              <w:jc w:val="left"/>
            </w:pPr>
            <w:r>
              <w:t xml:space="preserve">Sal:Temp:Time_post</w:t>
            </w:r>
          </w:p>
        </w:tc>
        <w:tc>
          <w:tcPr/>
          <w:p>
            <w:pPr>
              <w:pStyle w:val="Compact"/>
              <w:jc w:val="left"/>
            </w:pPr>
            <w:r>
              <w:t xml:space="preserve">3.6e-05 (2.6e-05)</w:t>
            </w:r>
          </w:p>
        </w:tc>
        <w:tc>
          <w:tcPr/>
          <w:p>
            <w:pPr>
              <w:pStyle w:val="Compact"/>
              <w:jc w:val="left"/>
            </w:pPr>
            <w:r>
              <w:t xml:space="preserve">1.4</w:t>
            </w:r>
          </w:p>
        </w:tc>
      </w:tr>
      <w:tr>
        <w:tc>
          <w:tcPr/>
          <w:p>
            <w:pPr>
              <w:pStyle w:val="Compact"/>
              <w:jc w:val="left"/>
            </w:pPr>
            <w:r>
              <w:t xml:space="preserve">EPC 2</w:t>
            </w:r>
          </w:p>
        </w:tc>
        <w:tc>
          <w:tcPr/>
          <w:p>
            <w:pPr>
              <w:pStyle w:val="Compact"/>
              <w:jc w:val="left"/>
            </w:pPr>
            <w:r>
              <w:t xml:space="preserve">Both</w:t>
            </w:r>
          </w:p>
        </w:tc>
        <w:tc>
          <w:tcPr/>
          <w:p>
            <w:pPr>
              <w:pStyle w:val="Compact"/>
              <w:jc w:val="left"/>
            </w:pPr>
            <w:r>
              <w:t xml:space="preserve">0.0028 (0.00082)</w:t>
            </w:r>
          </w:p>
        </w:tc>
        <w:tc>
          <w:tcPr/>
          <w:p>
            <w:pPr>
              <w:pStyle w:val="Compact"/>
              <w:jc w:val="left"/>
            </w:pPr>
            <w:r>
              <w:t xml:space="preserve">3.4**</w:t>
            </w:r>
          </w:p>
        </w:tc>
      </w:tr>
      <w:tr>
        <w:tc>
          <w:tcPr/>
          <w:p>
            <w:pPr>
              <w:pStyle w:val="Compact"/>
            </w:pPr>
          </w:p>
        </w:tc>
        <w:tc>
          <w:tcPr/>
          <w:p>
            <w:pPr>
              <w:pStyle w:val="Compact"/>
              <w:jc w:val="left"/>
            </w:pPr>
            <w:r>
              <w:t xml:space="preserve">Time_post</w:t>
            </w:r>
          </w:p>
        </w:tc>
        <w:tc>
          <w:tcPr/>
          <w:p>
            <w:pPr>
              <w:pStyle w:val="Compact"/>
              <w:jc w:val="left"/>
            </w:pPr>
            <w:r>
              <w:t xml:space="preserve">0.059 (0.039)</w:t>
            </w:r>
          </w:p>
        </w:tc>
        <w:tc>
          <w:tcPr/>
          <w:p>
            <w:pPr>
              <w:pStyle w:val="Compact"/>
              <w:jc w:val="left"/>
            </w:pPr>
            <w:r>
              <w:t xml:space="preserve">1.5</w:t>
            </w:r>
          </w:p>
        </w:tc>
      </w:tr>
      <w:tr>
        <w:tc>
          <w:tcPr/>
          <w:p>
            <w:pPr>
              <w:pStyle w:val="Compact"/>
            </w:pPr>
          </w:p>
        </w:tc>
        <w:tc>
          <w:tcPr/>
          <w:p>
            <w:pPr>
              <w:pStyle w:val="Compact"/>
              <w:jc w:val="left"/>
            </w:pPr>
            <w:r>
              <w:t xml:space="preserve">Baysegment_HB</w:t>
            </w:r>
          </w:p>
        </w:tc>
        <w:tc>
          <w:tcPr/>
          <w:p>
            <w:pPr>
              <w:pStyle w:val="Compact"/>
              <w:jc w:val="left"/>
            </w:pPr>
            <w:r>
              <w:t xml:space="preserve">-0.38 (0.04)</w:t>
            </w:r>
          </w:p>
        </w:tc>
        <w:tc>
          <w:tcPr/>
          <w:p>
            <w:pPr>
              <w:pStyle w:val="Compact"/>
              <w:jc w:val="left"/>
            </w:pPr>
            <w:r>
              <w:t xml:space="preserve">-9.4**</w:t>
            </w:r>
          </w:p>
        </w:tc>
      </w:tr>
      <w:tr>
        <w:tc>
          <w:tcPr/>
          <w:p>
            <w:pPr>
              <w:pStyle w:val="Compact"/>
            </w:pPr>
          </w:p>
        </w:tc>
        <w:tc>
          <w:tcPr/>
          <w:p>
            <w:pPr>
              <w:pStyle w:val="Compact"/>
              <w:jc w:val="left"/>
            </w:pPr>
            <w:r>
              <w:t xml:space="preserve">Baysegment_MTB</w:t>
            </w:r>
          </w:p>
        </w:tc>
        <w:tc>
          <w:tcPr/>
          <w:p>
            <w:pPr>
              <w:pStyle w:val="Compact"/>
              <w:jc w:val="left"/>
            </w:pPr>
            <w:r>
              <w:t xml:space="preserve">-0.062 (0.042)</w:t>
            </w:r>
          </w:p>
        </w:tc>
        <w:tc>
          <w:tcPr/>
          <w:p>
            <w:pPr>
              <w:pStyle w:val="Compact"/>
              <w:jc w:val="left"/>
            </w:pPr>
            <w:r>
              <w:t xml:space="preserve">-1.5</w:t>
            </w:r>
          </w:p>
        </w:tc>
      </w:tr>
      <w:tr>
        <w:tc>
          <w:tcPr/>
          <w:p>
            <w:pPr>
              <w:pStyle w:val="Compact"/>
              <w:jc w:val="left"/>
            </w:pPr>
            <w:r>
              <w:t xml:space="preserve">FIM</w:t>
            </w:r>
          </w:p>
        </w:tc>
        <w:tc>
          <w:tcPr/>
          <w:p>
            <w:pPr>
              <w:pStyle w:val="Compact"/>
              <w:jc w:val="left"/>
            </w:pPr>
            <w:r>
              <w:t xml:space="preserve">Sal</w:t>
            </w:r>
          </w:p>
        </w:tc>
        <w:tc>
          <w:tcPr/>
          <w:p>
            <w:pPr>
              <w:pStyle w:val="Compact"/>
              <w:jc w:val="left"/>
            </w:pPr>
            <w:r>
              <w:t xml:space="preserve">0.043 (0.22)</w:t>
            </w:r>
          </w:p>
        </w:tc>
        <w:tc>
          <w:tcPr/>
          <w:p>
            <w:pPr>
              <w:pStyle w:val="Compact"/>
              <w:jc w:val="left"/>
            </w:pPr>
            <w:r>
              <w:t xml:space="preserve">0.2</w:t>
            </w:r>
          </w:p>
        </w:tc>
      </w:tr>
      <w:tr>
        <w:tc>
          <w:tcPr/>
          <w:p>
            <w:pPr>
              <w:pStyle w:val="Compact"/>
            </w:pPr>
          </w:p>
        </w:tc>
        <w:tc>
          <w:tcPr/>
          <w:p>
            <w:pPr>
              <w:pStyle w:val="Compact"/>
              <w:jc w:val="left"/>
            </w:pPr>
            <w:r>
              <w:t xml:space="preserve">Temp</w:t>
            </w:r>
          </w:p>
        </w:tc>
        <w:tc>
          <w:tcPr/>
          <w:p>
            <w:pPr>
              <w:pStyle w:val="Compact"/>
              <w:jc w:val="left"/>
            </w:pPr>
            <w:r>
              <w:t xml:space="preserve">0.052 (0.42)</w:t>
            </w:r>
          </w:p>
        </w:tc>
        <w:tc>
          <w:tcPr/>
          <w:p>
            <w:pPr>
              <w:pStyle w:val="Compact"/>
              <w:jc w:val="left"/>
            </w:pPr>
            <w:r>
              <w:t xml:space="preserve">0.12</w:t>
            </w:r>
          </w:p>
        </w:tc>
      </w:tr>
      <w:tr>
        <w:tc>
          <w:tcPr/>
          <w:p>
            <w:pPr>
              <w:pStyle w:val="Compact"/>
            </w:pPr>
          </w:p>
        </w:tc>
        <w:tc>
          <w:tcPr/>
          <w:p>
            <w:pPr>
              <w:pStyle w:val="Compact"/>
              <w:jc w:val="left"/>
            </w:pPr>
            <w:r>
              <w:t xml:space="preserve">Time_post</w:t>
            </w:r>
          </w:p>
        </w:tc>
        <w:tc>
          <w:tcPr/>
          <w:p>
            <w:pPr>
              <w:pStyle w:val="Compact"/>
              <w:jc w:val="left"/>
            </w:pPr>
            <w:r>
              <w:t xml:space="preserve">52 ( 32)</w:t>
            </w:r>
          </w:p>
        </w:tc>
        <w:tc>
          <w:tcPr/>
          <w:p>
            <w:pPr>
              <w:pStyle w:val="Compact"/>
              <w:jc w:val="left"/>
            </w:pPr>
            <w:r>
              <w:t xml:space="preserve">1.6</w:t>
            </w:r>
          </w:p>
        </w:tc>
      </w:tr>
      <w:tr>
        <w:tc>
          <w:tcPr/>
          <w:p>
            <w:pPr>
              <w:pStyle w:val="Compact"/>
            </w:pPr>
          </w:p>
        </w:tc>
        <w:tc>
          <w:tcPr/>
          <w:p>
            <w:pPr>
              <w:pStyle w:val="Compact"/>
              <w:jc w:val="left"/>
            </w:pPr>
            <w:r>
              <w:t xml:space="preserve">Baysegment_MTB</w:t>
            </w:r>
          </w:p>
        </w:tc>
        <w:tc>
          <w:tcPr/>
          <w:p>
            <w:pPr>
              <w:pStyle w:val="Compact"/>
              <w:jc w:val="left"/>
            </w:pPr>
            <w:r>
              <w:t xml:space="preserve">33 (2.5)</w:t>
            </w:r>
          </w:p>
        </w:tc>
        <w:tc>
          <w:tcPr/>
          <w:p>
            <w:pPr>
              <w:pStyle w:val="Compact"/>
              <w:jc w:val="left"/>
            </w:pPr>
            <w:r>
              <w:t xml:space="preserve">13**</w:t>
            </w:r>
          </w:p>
        </w:tc>
      </w:tr>
      <w:tr>
        <w:tc>
          <w:tcPr/>
          <w:p>
            <w:pPr>
              <w:pStyle w:val="Compact"/>
            </w:pPr>
          </w:p>
        </w:tc>
        <w:tc>
          <w:tcPr/>
          <w:p>
            <w:pPr>
              <w:pStyle w:val="Compact"/>
              <w:jc w:val="left"/>
            </w:pPr>
            <w:r>
              <w:t xml:space="preserve">Baysegment_OTB</w:t>
            </w:r>
          </w:p>
        </w:tc>
        <w:tc>
          <w:tcPr/>
          <w:p>
            <w:pPr>
              <w:pStyle w:val="Compact"/>
              <w:jc w:val="left"/>
            </w:pPr>
            <w:r>
              <w:t xml:space="preserve">28 (2.2)</w:t>
            </w:r>
          </w:p>
        </w:tc>
        <w:tc>
          <w:tcPr/>
          <w:p>
            <w:pPr>
              <w:pStyle w:val="Compact"/>
              <w:jc w:val="left"/>
            </w:pPr>
            <w:r>
              <w:t xml:space="preserve">13**</w:t>
            </w:r>
          </w:p>
        </w:tc>
      </w:tr>
      <w:tr>
        <w:tc>
          <w:tcPr/>
          <w:p>
            <w:pPr>
              <w:pStyle w:val="Compact"/>
            </w:pPr>
          </w:p>
        </w:tc>
        <w:tc>
          <w:tcPr/>
          <w:p>
            <w:pPr>
              <w:pStyle w:val="Compact"/>
              <w:jc w:val="left"/>
            </w:pPr>
            <w:r>
              <w:t xml:space="preserve">Sal:Time_post</w:t>
            </w:r>
          </w:p>
        </w:tc>
        <w:tc>
          <w:tcPr/>
          <w:p>
            <w:pPr>
              <w:pStyle w:val="Compact"/>
              <w:jc w:val="left"/>
            </w:pPr>
            <w:r>
              <w:t xml:space="preserve">0.93 (0.5)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-2.4 (1.1)</w:t>
            </w:r>
          </w:p>
        </w:tc>
        <w:tc>
          <w:tcPr/>
          <w:p>
            <w:pPr>
              <w:pStyle w:val="Compact"/>
              <w:jc w:val="left"/>
            </w:pPr>
            <w:r>
              <w:t xml:space="preserve">-2.2*</w:t>
            </w:r>
          </w:p>
        </w:tc>
      </w:tr>
      <w:tr>
        <w:tc>
          <w:tcPr/>
          <w:p>
            <w:pPr>
              <w:pStyle w:val="Compact"/>
              <w:jc w:val="left"/>
            </w:pPr>
            <w:r>
              <w:t xml:space="preserve">PDEM</w:t>
            </w:r>
          </w:p>
        </w:tc>
        <w:tc>
          <w:tcPr/>
          <w:p>
            <w:pPr>
              <w:pStyle w:val="Compact"/>
              <w:jc w:val="left"/>
            </w:pPr>
            <w:r>
              <w:t xml:space="preserve">Time_post</w:t>
            </w:r>
          </w:p>
        </w:tc>
        <w:tc>
          <w:tcPr/>
          <w:p>
            <w:pPr>
              <w:pStyle w:val="Compact"/>
              <w:jc w:val="left"/>
            </w:pPr>
            <w:r>
              <w:t xml:space="preserve">-0.45 (0.24)</w:t>
            </w:r>
          </w:p>
        </w:tc>
        <w:tc>
          <w:tcPr/>
          <w:p>
            <w:pPr>
              <w:pStyle w:val="Compact"/>
              <w:jc w:val="left"/>
            </w:pPr>
            <w:r>
              <w:t xml:space="preserve">-1.8</w:t>
            </w:r>
            <m:oMath>
              <m:sSup>
                <m:e>
                  <m:r>
                    <m:t>​</m:t>
                  </m:r>
                </m:e>
                <m:sup>
                  <m:r>
                    <m:rPr>
                      <m:sty m:val="p"/>
                    </m:rPr>
                    <m:t>.</m:t>
                  </m:r>
                </m:sup>
              </m:sSup>
            </m:oMath>
          </w:p>
        </w:tc>
      </w:tr>
    </w:tbl>
    <w:bookmarkEnd w:id="73"/>
    <w:p>
      <w:r>
        <w:br w:type="page"/>
      </w:r>
    </w:p>
    <w:bookmarkEnd w:id="74"/>
    <w:bookmarkStart w:id="239" w:name="references"/>
    <w:p>
      <w:pPr>
        <w:pStyle w:val="Heading2"/>
      </w:pPr>
      <w:r>
        <w:t xml:space="preserve">References</w:t>
      </w:r>
    </w:p>
    <w:bookmarkStart w:id="238" w:name="refs"/>
    <w:bookmarkStart w:id="76"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5">
        <w:r>
          <w:rPr>
            <w:rStyle w:val="Hyperlink"/>
          </w:rPr>
          <w:t xml:space="preserve">https://doi.org/10.1016/j.ocecoaman.2023.106929</w:t>
        </w:r>
      </w:hyperlink>
      <w:r>
        <w:t xml:space="preserve">.</w:t>
      </w:r>
    </w:p>
    <w:bookmarkEnd w:id="76"/>
    <w:bookmarkStart w:id="78"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7">
        <w:r>
          <w:rPr>
            <w:rStyle w:val="Hyperlink"/>
          </w:rPr>
          <w:t xml:space="preserve">https://doi.org/10.18637/jss.v067.i01</w:t>
        </w:r>
      </w:hyperlink>
      <w:r>
        <w:t xml:space="preserve">.</w:t>
      </w:r>
    </w:p>
    <w:bookmarkEnd w:id="78"/>
    <w:bookmarkStart w:id="80" w:name="ref-Beck20a"/>
    <w:p>
      <w:pPr>
        <w:pStyle w:val="Bibliography"/>
      </w:pPr>
      <w:r>
        <w:t xml:space="preserve">Beck, M. W. 2020a.</w:t>
      </w:r>
      <w:r>
        <w:t xml:space="preserve"> </w:t>
      </w:r>
      <w:r>
        <w:t xml:space="preserve">t</w:t>
      </w:r>
      <w:r>
        <w:t xml:space="preserve">bep-tech/wq-dash: v1.0 (version v1.0). Zenodo.</w:t>
      </w:r>
      <w:r>
        <w:t xml:space="preserve"> </w:t>
      </w:r>
      <w:hyperlink r:id="rId79">
        <w:r>
          <w:rPr>
            <w:rStyle w:val="Hyperlink"/>
          </w:rPr>
          <w:t xml:space="preserve">https://doi.org/10.5281/zenodo.3648664</w:t>
        </w:r>
      </w:hyperlink>
      <w:r>
        <w:t xml:space="preserve">.</w:t>
      </w:r>
    </w:p>
    <w:bookmarkEnd w:id="80"/>
    <w:bookmarkStart w:id="82" w:name="ref-Beck20b"/>
    <w:p>
      <w:pPr>
        <w:pStyle w:val="Bibliography"/>
      </w:pPr>
      <w:r>
        <w:t xml:space="preserve">Beck, M. W. 2020b.</w:t>
      </w:r>
      <w:r>
        <w:t xml:space="preserve"> </w:t>
      </w:r>
      <w:r>
        <w:t xml:space="preserve">t</w:t>
      </w:r>
      <w:r>
        <w:t xml:space="preserve">bep-tech/seagrasstransect-dash: v1.0 (version v1.0). Zenodo.</w:t>
      </w:r>
      <w:r>
        <w:t xml:space="preserve"> </w:t>
      </w:r>
      <w:hyperlink r:id="rId81">
        <w:r>
          <w:rPr>
            <w:rStyle w:val="Hyperlink"/>
          </w:rPr>
          <w:t xml:space="preserve">https://doi.org/10.5281/zenodo.4319936</w:t>
        </w:r>
      </w:hyperlink>
      <w:r>
        <w:t xml:space="preserve">.</w:t>
      </w:r>
    </w:p>
    <w:bookmarkEnd w:id="82"/>
    <w:bookmarkStart w:id="84"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3">
        <w:r>
          <w:rPr>
            <w:rStyle w:val="Hyperlink"/>
          </w:rPr>
          <w:t xml:space="preserve">https://doi.org/10.1016/j.marpolbul.2022.113598</w:t>
        </w:r>
      </w:hyperlink>
      <w:r>
        <w:t xml:space="preserve">.</w:t>
      </w:r>
    </w:p>
    <w:bookmarkEnd w:id="84"/>
    <w:bookmarkStart w:id="86"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5">
        <w:r>
          <w:rPr>
            <w:rStyle w:val="Hyperlink"/>
          </w:rPr>
          <w:t xml:space="preserve">https://doi.org/10.3389/fevo.2023.1070266</w:t>
        </w:r>
      </w:hyperlink>
      <w:r>
        <w:t xml:space="preserve">.</w:t>
      </w:r>
    </w:p>
    <w:bookmarkEnd w:id="86"/>
    <w:bookmarkStart w:id="88"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7">
        <w:r>
          <w:rPr>
            <w:rStyle w:val="Hyperlink"/>
          </w:rPr>
          <w:t xml:space="preserve">https://doi.org/10.21105/joss.03485</w:t>
        </w:r>
      </w:hyperlink>
      <w:r>
        <w:t xml:space="preserve">.</w:t>
      </w:r>
    </w:p>
    <w:bookmarkEnd w:id="88"/>
    <w:bookmarkStart w:id="90"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89">
        <w:r>
          <w:rPr>
            <w:rStyle w:val="Hyperlink"/>
          </w:rPr>
          <w:t xml:space="preserve">https://doi.org/10.1007/s12237-019-00619-w</w:t>
        </w:r>
      </w:hyperlink>
      <w:r>
        <w:t xml:space="preserve">.</w:t>
      </w:r>
    </w:p>
    <w:bookmarkEnd w:id="90"/>
    <w:bookmarkStart w:id="92" w:name="ref-begueria23"/>
    <w:p>
      <w:pPr>
        <w:pStyle w:val="Bibliography"/>
      </w:pPr>
      <w:r>
        <w:t xml:space="preserve">Beguería, S., and S. M. Vicente-Serrano. 2023.</w:t>
      </w:r>
      <w:r>
        <w:t xml:space="preserve"> </w:t>
      </w:r>
      <w:hyperlink r:id="rId91">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92"/>
    <w:bookmarkStart w:id="94"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3">
        <w:r>
          <w:rPr>
            <w:rStyle w:val="Hyperlink"/>
          </w:rPr>
          <w:t xml:space="preserve">https://doi.org/10.1002/joc.3887</w:t>
        </w:r>
      </w:hyperlink>
      <w:r>
        <w:t xml:space="preserve">.</w:t>
      </w:r>
    </w:p>
    <w:bookmarkEnd w:id="94"/>
    <w:bookmarkStart w:id="96"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5">
        <w:r>
          <w:rPr>
            <w:rStyle w:val="Hyperlink"/>
          </w:rPr>
          <w:t xml:space="preserve">https://doi.org/10.3354/meps147277</w:t>
        </w:r>
      </w:hyperlink>
      <w:r>
        <w:t xml:space="preserve">.</w:t>
      </w:r>
    </w:p>
    <w:bookmarkEnd w:id="96"/>
    <w:bookmarkStart w:id="98" w:name="ref-blakesley2001"/>
    <w:p>
      <w:pPr>
        <w:pStyle w:val="Bibliography"/>
      </w:pPr>
      <w:r>
        <w:t xml:space="preserve">Blakesley, B., P. Hall, D. Berns, J. Hyniova, M. Merello, and R. Conroy. 2001.</w:t>
      </w:r>
      <w:r>
        <w:t xml:space="preserve"> </w:t>
      </w:r>
      <w:hyperlink r:id="rId97">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8"/>
    <w:bookmarkStart w:id="100"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99">
        <w:r>
          <w:rPr>
            <w:rStyle w:val="Hyperlink"/>
          </w:rPr>
          <w:t xml:space="preserve">https://doi.org/10.2134/jeq2001.302303x</w:t>
        </w:r>
      </w:hyperlink>
      <w:r>
        <w:t xml:space="preserve">.</w:t>
      </w:r>
    </w:p>
    <w:bookmarkEnd w:id="100"/>
    <w:bookmarkStart w:id="102"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01">
        <w:r>
          <w:rPr>
            <w:rStyle w:val="Hyperlink"/>
          </w:rPr>
          <w:t xml:space="preserve">https://doi.org/10.1111/1365-2664.13169</w:t>
        </w:r>
      </w:hyperlink>
      <w:r>
        <w:t xml:space="preserve">.</w:t>
      </w:r>
    </w:p>
    <w:bookmarkEnd w:id="102"/>
    <w:bookmarkStart w:id="104"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03">
        <w:r>
          <w:rPr>
            <w:rStyle w:val="Hyperlink"/>
          </w:rPr>
          <w:t xml:space="preserve">https://doi.org/10.2307/1352383</w:t>
        </w:r>
      </w:hyperlink>
      <w:r>
        <w:t xml:space="preserve">.</w:t>
      </w:r>
    </w:p>
    <w:bookmarkEnd w:id="104"/>
    <w:bookmarkStart w:id="106"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05">
        <w:r>
          <w:rPr>
            <w:rStyle w:val="Hyperlink"/>
          </w:rPr>
          <w:t xml:space="preserve">https://doi.org/10.1016/j.jembe.2007.06.024</w:t>
        </w:r>
      </w:hyperlink>
      <w:r>
        <w:t xml:space="preserve">.</w:t>
      </w:r>
    </w:p>
    <w:bookmarkEnd w:id="106"/>
    <w:bookmarkStart w:id="108" w:name="ref-chamberlain23"/>
    <w:p>
      <w:pPr>
        <w:pStyle w:val="Bibliography"/>
      </w:pPr>
      <w:r>
        <w:t xml:space="preserve">Chamberlain, S., and D. Hocking. 2023.</w:t>
      </w:r>
      <w:r>
        <w:t xml:space="preserve"> </w:t>
      </w:r>
      <w:hyperlink r:id="rId107">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08"/>
    <w:bookmarkStart w:id="110"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09">
        <w:r>
          <w:rPr>
            <w:rStyle w:val="Hyperlink"/>
          </w:rPr>
          <w:t xml:space="preserve">https://doi.org/10.1016/j.jenvman.2018.01.025</w:t>
        </w:r>
      </w:hyperlink>
      <w:r>
        <w:t xml:space="preserve">.</w:t>
      </w:r>
    </w:p>
    <w:bookmarkEnd w:id="110"/>
    <w:bookmarkStart w:id="112"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11">
        <w:r>
          <w:rPr>
            <w:rStyle w:val="Hyperlink"/>
          </w:rPr>
          <w:t xml:space="preserve">https://doi.org/10.1080/00785236.1995.10422039</w:t>
        </w:r>
      </w:hyperlink>
      <w:r>
        <w:t xml:space="preserve">.</w:t>
      </w:r>
    </w:p>
    <w:bookmarkEnd w:id="112"/>
    <w:bookmarkStart w:id="114"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13">
        <w:r>
          <w:rPr>
            <w:rStyle w:val="Hyperlink"/>
          </w:rPr>
          <w:t xml:space="preserve">https://doi.org/10.1007/s12237-008-9038-7</w:t>
        </w:r>
      </w:hyperlink>
      <w:r>
        <w:t xml:space="preserve">.</w:t>
      </w:r>
    </w:p>
    <w:bookmarkEnd w:id="114"/>
    <w:bookmarkStart w:id="116"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15">
        <w:r>
          <w:rPr>
            <w:rStyle w:val="Hyperlink"/>
          </w:rPr>
          <w:t xml:space="preserve">https://doi.org/10.3389/fpls.2021.612947</w:t>
        </w:r>
      </w:hyperlink>
      <w:r>
        <w:t xml:space="preserve">.</w:t>
      </w:r>
    </w:p>
    <w:bookmarkEnd w:id="116"/>
    <w:bookmarkStart w:id="118"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17">
        <w:r>
          <w:rPr>
            <w:rStyle w:val="Hyperlink"/>
          </w:rPr>
          <w:t xml:space="preserve">https://doi.org/10.1111/gcb.15684</w:t>
        </w:r>
      </w:hyperlink>
      <w:r>
        <w:t xml:space="preserve">.</w:t>
      </w:r>
    </w:p>
    <w:bookmarkEnd w:id="118"/>
    <w:bookmarkStart w:id="120"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19">
        <w:r>
          <w:rPr>
            <w:rStyle w:val="Hyperlink"/>
          </w:rPr>
          <w:t xml:space="preserve">https://doi.org/10.1111/conl.12938</w:t>
        </w:r>
      </w:hyperlink>
      <w:r>
        <w:t xml:space="preserve">.</w:t>
      </w:r>
    </w:p>
    <w:bookmarkEnd w:id="120"/>
    <w:bookmarkStart w:id="122"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21">
        <w:r>
          <w:rPr>
            <w:rStyle w:val="Hyperlink"/>
          </w:rPr>
          <w:t xml:space="preserve">https://doi.org/10.1038/ngeo1477</w:t>
        </w:r>
      </w:hyperlink>
      <w:r>
        <w:t xml:space="preserve">.</w:t>
      </w:r>
    </w:p>
    <w:bookmarkEnd w:id="122"/>
    <w:bookmarkStart w:id="124"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23">
        <w:r>
          <w:rPr>
            <w:rStyle w:val="Hyperlink"/>
          </w:rPr>
          <w:t xml:space="preserve">https://doi.org/10.1016/j.marpolbul.2010.11.017</w:t>
        </w:r>
      </w:hyperlink>
      <w:r>
        <w:t xml:space="preserve">.</w:t>
      </w:r>
    </w:p>
    <w:bookmarkEnd w:id="124"/>
    <w:bookmarkStart w:id="126"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25">
        <w:r>
          <w:rPr>
            <w:rStyle w:val="Hyperlink"/>
          </w:rPr>
          <w:t xml:space="preserve">https://doi.org/10.1007/s00267-005-0079-4</w:t>
        </w:r>
      </w:hyperlink>
      <w:r>
        <w:t xml:space="preserve">.</w:t>
      </w:r>
    </w:p>
    <w:bookmarkEnd w:id="126"/>
    <w:bookmarkStart w:id="128"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27">
        <w:r>
          <w:rPr>
            <w:rStyle w:val="Hyperlink"/>
          </w:rPr>
          <w:t xml:space="preserve">https://doi.org/10.1016/j.ecss.2014.10.003</w:t>
        </w:r>
      </w:hyperlink>
      <w:r>
        <w:t xml:space="preserve">.</w:t>
      </w:r>
    </w:p>
    <w:bookmarkEnd w:id="128"/>
    <w:bookmarkStart w:id="130" w:name="ref-hall2016"/>
    <w:p>
      <w:pPr>
        <w:pStyle w:val="Bibliography"/>
      </w:pPr>
      <w:r>
        <w:t xml:space="preserve">Hall, M.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29">
        <w:r>
          <w:rPr>
            <w:rStyle w:val="Hyperlink"/>
          </w:rPr>
          <w:t xml:space="preserve">https://doi.org/10.3354/meps11923</w:t>
        </w:r>
      </w:hyperlink>
      <w:r>
        <w:t xml:space="preserve">.</w:t>
      </w:r>
    </w:p>
    <w:bookmarkEnd w:id="130"/>
    <w:bookmarkStart w:id="132"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31">
        <w:r>
          <w:rPr>
            <w:rStyle w:val="Hyperlink"/>
          </w:rPr>
          <w:t xml:space="preserve">https://doi.org/10.1073/pnas.2220678120</w:t>
        </w:r>
      </w:hyperlink>
      <w:r>
        <w:t xml:space="preserve">.</w:t>
      </w:r>
    </w:p>
    <w:bookmarkEnd w:id="132"/>
    <w:bookmarkStart w:id="134"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33">
        <w:r>
          <w:rPr>
            <w:rStyle w:val="Hyperlink"/>
          </w:rPr>
          <w:t xml:space="preserve">https://doi.org/10.1029/wr018i001p00107</w:t>
        </w:r>
      </w:hyperlink>
      <w:r>
        <w:t xml:space="preserve">.</w:t>
      </w:r>
    </w:p>
    <w:bookmarkEnd w:id="134"/>
    <w:bookmarkStart w:id="136"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35">
        <w:r>
          <w:rPr>
            <w:rStyle w:val="Hyperlink"/>
          </w:rPr>
          <w:t xml:space="preserve">https://doi.org/10.1101/sqb.1957.022.01.039</w:t>
        </w:r>
      </w:hyperlink>
      <w:r>
        <w:t xml:space="preserve">.</w:t>
      </w:r>
    </w:p>
    <w:bookmarkEnd w:id="136"/>
    <w:bookmarkStart w:id="138" w:name="ref-tbep0696"/>
    <w:p>
      <w:pPr>
        <w:pStyle w:val="Bibliography"/>
      </w:pPr>
      <w:r>
        <w:t xml:space="preserve">Janicki, A. J., and D. L. Wade. 1996.</w:t>
      </w:r>
      <w:r>
        <w:t xml:space="preserve"> </w:t>
      </w:r>
      <w:hyperlink r:id="rId137">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38"/>
    <w:bookmarkStart w:id="140" w:name="ref-jei2022"/>
    <w:p>
      <w:pPr>
        <w:pStyle w:val="Bibliography"/>
      </w:pPr>
      <w:r>
        <w:t xml:space="preserve">Janicki Environmental, Inc. 2022.</w:t>
      </w:r>
      <w:r>
        <w:t xml:space="preserve"> </w:t>
      </w:r>
      <w:hyperlink r:id="rId139">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40"/>
    <w:bookmarkStart w:id="142" w:name="ref-tbep0623"/>
    <w:p>
      <w:pPr>
        <w:pStyle w:val="Bibliography"/>
      </w:pPr>
      <w:r>
        <w:t xml:space="preserve">Janicki Environmental, Inc. 2023.</w:t>
      </w:r>
      <w:r>
        <w:t xml:space="preserve"> </w:t>
      </w:r>
      <w:hyperlink r:id="rId141">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42"/>
    <w:bookmarkStart w:id="144" w:name="ref-tbep0816"/>
    <w:p>
      <w:pPr>
        <w:pStyle w:val="Bibliography"/>
      </w:pPr>
      <w:r>
        <w:t xml:space="preserve">Johansson, J. O. R. 2016.</w:t>
      </w:r>
      <w:r>
        <w:t xml:space="preserve"> </w:t>
      </w:r>
      <w:hyperlink r:id="rId143">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44"/>
    <w:bookmarkStart w:id="146" w:name="ref-johansson15"/>
    <w:p>
      <w:pPr>
        <w:pStyle w:val="Bibliography"/>
      </w:pPr>
      <w:r>
        <w:t xml:space="preserve">Johansson, J. O. R., and Janicki Environmental, Inc. 2015.</w:t>
      </w:r>
      <w:r>
        <w:t xml:space="preserve"> </w:t>
      </w:r>
      <w:hyperlink r:id="rId145">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46"/>
    <w:bookmarkStart w:id="148"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47">
        <w:r>
          <w:rPr>
            <w:rStyle w:val="Hyperlink"/>
          </w:rPr>
          <w:t xml:space="preserve">https://doi.org/10.1073/pnas.1715798115</w:t>
        </w:r>
      </w:hyperlink>
      <w:r>
        <w:t xml:space="preserve">.</w:t>
      </w:r>
    </w:p>
    <w:bookmarkEnd w:id="148"/>
    <w:bookmarkStart w:id="150"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49">
        <w:r>
          <w:rPr>
            <w:rStyle w:val="Hyperlink"/>
          </w:rPr>
          <w:t xml:space="preserve">https://doi.org/10.1111/gcb.13623</w:t>
        </w:r>
      </w:hyperlink>
      <w:r>
        <w:t xml:space="preserve">.</w:t>
      </w:r>
    </w:p>
    <w:bookmarkEnd w:id="150"/>
    <w:bookmarkStart w:id="152" w:name="ref-lewis1985"/>
    <w:p>
      <w:pPr>
        <w:pStyle w:val="Bibliography"/>
      </w:pPr>
      <w:r>
        <w:t xml:space="preserve">Lewis III, R. R., M. Durako, M. Moffler, and R. Phillips. 1985.</w:t>
      </w:r>
      <w:r>
        <w:t xml:space="preserve"> </w:t>
      </w:r>
      <w:hyperlink r:id="rId151">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52"/>
    <w:bookmarkStart w:id="154"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53">
        <w:r>
          <w:rPr>
            <w:rStyle w:val="Hyperlink"/>
          </w:rPr>
          <w:t xml:space="preserve">https://doi.org/10.1007/bf02691700</w:t>
        </w:r>
      </w:hyperlink>
      <w:r>
        <w:t xml:space="preserve">.</w:t>
      </w:r>
    </w:p>
    <w:bookmarkEnd w:id="154"/>
    <w:bookmarkStart w:id="156"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55">
        <w:r>
          <w:rPr>
            <w:rStyle w:val="Hyperlink"/>
          </w:rPr>
          <w:t xml:space="preserve">https://doi.org/10.1016/j.ecss.2022.108134</w:t>
        </w:r>
      </w:hyperlink>
      <w:r>
        <w:t xml:space="preserve">.</w:t>
      </w:r>
    </w:p>
    <w:bookmarkEnd w:id="156"/>
    <w:bookmarkStart w:id="158" w:name="ref-lopez2021"/>
    <w:p>
      <w:pPr>
        <w:pStyle w:val="Bibliography"/>
      </w:pPr>
      <w:r>
        <w:t xml:space="preserve">Lopez, C. B., S. Shankar, S. G. Kaminski, M. Garrett, and K. A. Hubbard. 2021.</w:t>
      </w:r>
      <w:r>
        <w:t xml:space="preserve"> </w:t>
      </w:r>
      <w:hyperlink r:id="rId157">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58"/>
    <w:bookmarkStart w:id="159"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59"/>
    <w:bookmarkStart w:id="161" w:name="ref-luther2022"/>
    <w:p>
      <w:pPr>
        <w:pStyle w:val="Bibliography"/>
      </w:pPr>
      <w:r>
        <w:t xml:space="preserve">Luther, M. E., and S. D. Meyers. 2022.</w:t>
      </w:r>
      <w:r>
        <w:t xml:space="preserve"> </w:t>
      </w:r>
      <w:hyperlink r:id="rId160">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61"/>
    <w:bookmarkStart w:id="163"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62">
        <w:r>
          <w:rPr>
            <w:rStyle w:val="Hyperlink"/>
          </w:rPr>
          <w:t xml:space="preserve">https://doi.org/10.1016/j.seares.2012.03.002</w:t>
        </w:r>
      </w:hyperlink>
      <w:r>
        <w:t xml:space="preserve">.</w:t>
      </w:r>
    </w:p>
    <w:bookmarkEnd w:id="163"/>
    <w:bookmarkStart w:id="165"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64">
        <w:r>
          <w:rPr>
            <w:rStyle w:val="Hyperlink"/>
          </w:rPr>
          <w:t xml:space="preserve">https://doi.org/10.1111/brv.12294</w:t>
        </w:r>
      </w:hyperlink>
      <w:r>
        <w:t xml:space="preserve">.</w:t>
      </w:r>
    </w:p>
    <w:bookmarkEnd w:id="165"/>
    <w:bookmarkStart w:id="167"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66">
        <w:r>
          <w:rPr>
            <w:rStyle w:val="Hyperlink"/>
          </w:rPr>
          <w:t xml:space="preserve">https://doi.org/10.2307/1932688</w:t>
        </w:r>
      </w:hyperlink>
      <w:r>
        <w:t xml:space="preserve">.</w:t>
      </w:r>
    </w:p>
    <w:bookmarkEnd w:id="167"/>
    <w:bookmarkStart w:id="169" w:name="ref-millard13"/>
    <w:p>
      <w:pPr>
        <w:pStyle w:val="Bibliography"/>
      </w:pPr>
      <w:r>
        <w:t xml:space="preserve">Millard, S. P. 2013.</w:t>
      </w:r>
      <w:r>
        <w:t xml:space="preserve"> </w:t>
      </w:r>
      <w:hyperlink r:id="rId168">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69"/>
    <w:bookmarkStart w:id="171"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70">
        <w:r>
          <w:rPr>
            <w:rStyle w:val="Hyperlink"/>
          </w:rPr>
          <w:t xml:space="preserve">https://doi.org/10.1016/j.dsr2.2023.105321</w:t>
        </w:r>
      </w:hyperlink>
      <w:r>
        <w:t xml:space="preserve">.</w:t>
      </w:r>
    </w:p>
    <w:bookmarkEnd w:id="171"/>
    <w:bookmarkStart w:id="173"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72">
        <w:r>
          <w:rPr>
            <w:rStyle w:val="Hyperlink"/>
          </w:rPr>
          <w:t xml:space="preserve">https://doi.org/10.1038/s41467-018-03732-9</w:t>
        </w:r>
      </w:hyperlink>
      <w:r>
        <w:t xml:space="preserve">.</w:t>
      </w:r>
    </w:p>
    <w:bookmarkEnd w:id="173"/>
    <w:bookmarkStart w:id="175"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174">
        <w:r>
          <w:rPr>
            <w:rStyle w:val="Hyperlink"/>
          </w:rPr>
          <w:t xml:space="preserve">https://doi.org/10.1641/0006-3568(2006)56[987:agcfse]2.0.co;2</w:t>
        </w:r>
      </w:hyperlink>
      <w:r>
        <w:t xml:space="preserve">.</w:t>
      </w:r>
    </w:p>
    <w:bookmarkEnd w:id="175"/>
    <w:bookmarkStart w:id="177"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176">
        <w:r>
          <w:rPr>
            <w:rStyle w:val="Hyperlink"/>
          </w:rPr>
          <w:t xml:space="preserve">https://doi.org/10.1093/biosci/bix058</w:t>
        </w:r>
      </w:hyperlink>
      <w:r>
        <w:t xml:space="preserve">.</w:t>
      </w:r>
    </w:p>
    <w:bookmarkEnd w:id="177"/>
    <w:bookmarkStart w:id="179"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178">
        <w:r>
          <w:rPr>
            <w:rStyle w:val="Hyperlink"/>
          </w:rPr>
          <w:t xml:space="preserve">https://doi.org/10.1007/s12237-023-01252-4</w:t>
        </w:r>
      </w:hyperlink>
      <w:r>
        <w:t xml:space="preserve">.</w:t>
      </w:r>
    </w:p>
    <w:bookmarkEnd w:id="179"/>
    <w:bookmarkStart w:id="181"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180">
        <w:r>
          <w:rPr>
            <w:rStyle w:val="Hyperlink"/>
          </w:rPr>
          <w:t xml:space="preserve">https://doi.org/10.1126/sciadv.abc6434</w:t>
        </w:r>
      </w:hyperlink>
      <w:r>
        <w:t xml:space="preserve">.</w:t>
      </w:r>
    </w:p>
    <w:bookmarkEnd w:id="181"/>
    <w:bookmarkStart w:id="183"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82">
        <w:r>
          <w:rPr>
            <w:rStyle w:val="Hyperlink"/>
          </w:rPr>
          <w:t xml:space="preserve">https://doi.org/10.1111/gcb.13084</w:t>
        </w:r>
      </w:hyperlink>
      <w:r>
        <w:t xml:space="preserve">.</w:t>
      </w:r>
    </w:p>
    <w:bookmarkEnd w:id="183"/>
    <w:bookmarkStart w:id="184"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84"/>
    <w:bookmarkStart w:id="186"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185">
        <w:r>
          <w:rPr>
            <w:rStyle w:val="Hyperlink"/>
          </w:rPr>
          <w:t xml:space="preserve">https://doi.org/10.3354/meps322099</w:t>
        </w:r>
      </w:hyperlink>
      <w:r>
        <w:t xml:space="preserve">.</w:t>
      </w:r>
    </w:p>
    <w:bookmarkEnd w:id="186"/>
    <w:bookmarkStart w:id="188"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187">
        <w:r>
          <w:rPr>
            <w:rStyle w:val="Hyperlink"/>
          </w:rPr>
          <w:t xml:space="preserve">https://doi.org/10.3354/meps08925</w:t>
        </w:r>
      </w:hyperlink>
      <w:r>
        <w:t xml:space="preserve">.</w:t>
      </w:r>
    </w:p>
    <w:bookmarkEnd w:id="188"/>
    <w:bookmarkStart w:id="189"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189"/>
    <w:bookmarkStart w:id="191" w:name="ref-Robison20"/>
    <w:p>
      <w:pPr>
        <w:pStyle w:val="Bibliography"/>
      </w:pPr>
      <w:r>
        <w:t xml:space="preserve">Robison, D., T. Ries, J. Saarinen, D. A. Tomasko, and C. Sciarrino. 2020.</w:t>
      </w:r>
      <w:r>
        <w:t xml:space="preserve"> </w:t>
      </w:r>
      <w:hyperlink r:id="rId190">
        <w:r>
          <w:rPr>
            <w:rStyle w:val="Hyperlink"/>
            <w:iCs/>
            <w:i/>
          </w:rPr>
          <w:t xml:space="preserve">Tampa Bay Estuary Program: 2020 Habitat Master Plan Update</w:t>
        </w:r>
      </w:hyperlink>
      <w:r>
        <w:t xml:space="preserve">. Technical report. Tampa Bay Estuary Program, St. Petersburg, Florida.</w:t>
      </w:r>
    </w:p>
    <w:bookmarkEnd w:id="191"/>
    <w:bookmarkStart w:id="193"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192">
        <w:r>
          <w:rPr>
            <w:rStyle w:val="Hyperlink"/>
          </w:rPr>
          <w:t xml:space="preserve">https://doi.org/10.1016/j.ecolind.2015.12.007</w:t>
        </w:r>
      </w:hyperlink>
      <w:r>
        <w:t xml:space="preserve">.</w:t>
      </w:r>
    </w:p>
    <w:bookmarkEnd w:id="193"/>
    <w:bookmarkStart w:id="194"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194"/>
    <w:bookmarkStart w:id="196"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195">
        <w:r>
          <w:rPr>
            <w:rStyle w:val="Hyperlink"/>
          </w:rPr>
          <w:t xml:space="preserve">https://doi.org/10.1016/j.ecolind.2020.107310</w:t>
        </w:r>
      </w:hyperlink>
      <w:r>
        <w:t xml:space="preserve">.</w:t>
      </w:r>
    </w:p>
    <w:bookmarkEnd w:id="196"/>
    <w:bookmarkStart w:id="197"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197"/>
    <w:bookmarkStart w:id="199"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198">
        <w:r>
          <w:rPr>
            <w:rStyle w:val="Hyperlink"/>
          </w:rPr>
          <w:t xml:space="preserve">https://doi.org/10.1007/s00267-013-0179-5</w:t>
        </w:r>
      </w:hyperlink>
      <w:r>
        <w:t xml:space="preserve">.</w:t>
      </w:r>
    </w:p>
    <w:bookmarkEnd w:id="199"/>
    <w:bookmarkStart w:id="201" w:name="ref-sherwood2015"/>
    <w:p>
      <w:pPr>
        <w:pStyle w:val="Bibliography"/>
      </w:pPr>
      <w:r>
        <w:t xml:space="preserve">Sherwood, E. T., H. S. Greening, L. Garcia, K. Kaufman, T. Janicki, R. Pribble, B. Cunningham, et al. 2015.</w:t>
      </w:r>
      <w:r>
        <w:t xml:space="preserve"> </w:t>
      </w:r>
      <w:hyperlink r:id="rId200">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01"/>
    <w:bookmarkStart w:id="203"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02">
        <w:r>
          <w:rPr>
            <w:rStyle w:val="Hyperlink"/>
          </w:rPr>
          <w:t xml:space="preserve">https://doi.org/10.1016/j.rsma.2015.05.005</w:t>
        </w:r>
      </w:hyperlink>
      <w:r>
        <w:t xml:space="preserve">.</w:t>
      </w:r>
    </w:p>
    <w:bookmarkEnd w:id="203"/>
    <w:bookmarkStart w:id="205"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04">
        <w:r>
          <w:rPr>
            <w:rStyle w:val="Hyperlink"/>
          </w:rPr>
          <w:t xml:space="preserve">https://doi.org/10.1353/sgo.2017.0026</w:t>
        </w:r>
      </w:hyperlink>
      <w:r>
        <w:t xml:space="preserve">.</w:t>
      </w:r>
    </w:p>
    <w:bookmarkEnd w:id="205"/>
    <w:bookmarkStart w:id="207"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06">
        <w:r>
          <w:rPr>
            <w:rStyle w:val="Hyperlink"/>
          </w:rPr>
          <w:t xml:space="preserve">https://doi.org/10.21203/rs.3.rs-3528678/v1</w:t>
        </w:r>
      </w:hyperlink>
      <w:r>
        <w:t xml:space="preserve">.</w:t>
      </w:r>
    </w:p>
    <w:bookmarkEnd w:id="207"/>
    <w:bookmarkStart w:id="209"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08">
        <w:r>
          <w:rPr>
            <w:rStyle w:val="Hyperlink"/>
          </w:rPr>
          <w:t xml:space="preserve">https://doi.org/10.1016/j.scitotenv.2011.09.088</w:t>
        </w:r>
      </w:hyperlink>
      <w:r>
        <w:t xml:space="preserve">.</w:t>
      </w:r>
    </w:p>
    <w:bookmarkEnd w:id="209"/>
    <w:bookmarkStart w:id="211"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10">
        <w:r>
          <w:rPr>
            <w:rStyle w:val="Hyperlink"/>
          </w:rPr>
          <w:t xml:space="preserve">https://doi.org/10.3389/fevo.2023.1134069</w:t>
        </w:r>
      </w:hyperlink>
      <w:r>
        <w:t xml:space="preserve">.</w:t>
      </w:r>
    </w:p>
    <w:bookmarkEnd w:id="211"/>
    <w:bookmarkStart w:id="213"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12">
        <w:r>
          <w:rPr>
            <w:rStyle w:val="Hyperlink"/>
          </w:rPr>
          <w:t xml:space="preserve">https://doi.org/10.1016/j.rsma.2015.11.010</w:t>
        </w:r>
      </w:hyperlink>
      <w:r>
        <w:t xml:space="preserve">.</w:t>
      </w:r>
    </w:p>
    <w:bookmarkEnd w:id="213"/>
    <w:bookmarkStart w:id="214"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14"/>
    <w:bookmarkStart w:id="216" w:name="ref-tomasko2020"/>
    <w:p>
      <w:pPr>
        <w:pStyle w:val="Bibliography"/>
      </w:pPr>
      <w:r>
        <w:t xml:space="preserve">Tomasko, D. A., M. Alderson, R. Burnes, J. Hecker, N. Iadevaia, J. Leverone, G. Raulerson, and E. Sherwood. 2020. The effects of Hurricane Irma on seagrass meadows in previously eutrophic estuaries in Southwest Florida (USA).</w:t>
      </w:r>
      <w:r>
        <w:t xml:space="preserve"> </w:t>
      </w:r>
      <w:r>
        <w:rPr>
          <w:iCs/>
          <w:i/>
        </w:rPr>
        <w:t xml:space="preserve">Marine Pollution Bulletin</w:t>
      </w:r>
      <w:r>
        <w:t xml:space="preserve"> </w:t>
      </w:r>
      <w:r>
        <w:t xml:space="preserve">156: 111247.</w:t>
      </w:r>
      <w:r>
        <w:t xml:space="preserve"> </w:t>
      </w:r>
      <w:hyperlink r:id="rId215">
        <w:r>
          <w:rPr>
            <w:rStyle w:val="Hyperlink"/>
          </w:rPr>
          <w:t xml:space="preserve">https://doi.org/10.1016/j.marpolbul.2020.111247</w:t>
        </w:r>
      </w:hyperlink>
      <w:r>
        <w:t xml:space="preserve">.</w:t>
      </w:r>
    </w:p>
    <w:bookmarkEnd w:id="216"/>
    <w:bookmarkStart w:id="218"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17">
        <w:r>
          <w:rPr>
            <w:rStyle w:val="Hyperlink"/>
          </w:rPr>
          <w:t xml:space="preserve">https://doi.org/10.1002/nt.2620020503</w:t>
        </w:r>
      </w:hyperlink>
      <w:r>
        <w:t xml:space="preserve">.</w:t>
      </w:r>
    </w:p>
    <w:bookmarkEnd w:id="218"/>
    <w:bookmarkStart w:id="220"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19">
        <w:r>
          <w:rPr>
            <w:rStyle w:val="Hyperlink"/>
          </w:rPr>
          <w:t xml:space="preserve">https://doi.org/10.1002/lol2.10098</w:t>
        </w:r>
      </w:hyperlink>
      <w:r>
        <w:t xml:space="preserve">.</w:t>
      </w:r>
    </w:p>
    <w:bookmarkEnd w:id="220"/>
    <w:bookmarkStart w:id="222"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21">
        <w:r>
          <w:rPr>
            <w:rStyle w:val="Hyperlink"/>
          </w:rPr>
          <w:t xml:space="preserve">https://doi.org/10.1146/annurev.es.03.110172.000543</w:t>
        </w:r>
      </w:hyperlink>
      <w:r>
        <w:t xml:space="preserve">.</w:t>
      </w:r>
    </w:p>
    <w:bookmarkEnd w:id="222"/>
    <w:bookmarkStart w:id="224"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23">
        <w:r>
          <w:rPr>
            <w:rStyle w:val="Hyperlink"/>
          </w:rPr>
          <w:t xml:space="preserve">https://doi.org/10.1007/978-0-387-21706-2</w:t>
        </w:r>
      </w:hyperlink>
      <w:r>
        <w:t xml:space="preserve">.</w:t>
      </w:r>
    </w:p>
    <w:bookmarkEnd w:id="224"/>
    <w:bookmarkStart w:id="226"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25">
        <w:r>
          <w:rPr>
            <w:rStyle w:val="Hyperlink"/>
          </w:rPr>
          <w:t xml:space="preserve">https://doi.org/10.1073/pnas.0905620106</w:t>
        </w:r>
      </w:hyperlink>
      <w:r>
        <w:t xml:space="preserve">.</w:t>
      </w:r>
    </w:p>
    <w:bookmarkEnd w:id="226"/>
    <w:bookmarkStart w:id="228"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27">
        <w:r>
          <w:rPr>
            <w:rStyle w:val="Hyperlink"/>
          </w:rPr>
          <w:t xml:space="preserve">https://doi.org/10.1111/1365-2745.13648</w:t>
        </w:r>
      </w:hyperlink>
      <w:r>
        <w:t xml:space="preserve">.</w:t>
      </w:r>
    </w:p>
    <w:bookmarkEnd w:id="228"/>
    <w:bookmarkStart w:id="230"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29">
        <w:r>
          <w:rPr>
            <w:rStyle w:val="Hyperlink"/>
          </w:rPr>
          <w:t xml:space="preserve">https://doi.org/10.1002/ehs2.1258</w:t>
        </w:r>
      </w:hyperlink>
      <w:r>
        <w:t xml:space="preserve">.</w:t>
      </w:r>
    </w:p>
    <w:bookmarkEnd w:id="230"/>
    <w:bookmarkStart w:id="231"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31"/>
    <w:bookmarkStart w:id="233"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32">
        <w:r>
          <w:rPr>
            <w:rStyle w:val="Hyperlink"/>
          </w:rPr>
          <w:t xml:space="preserve">https://doi.org/10.1016/j.marpolbul.2023.115043</w:t>
        </w:r>
      </w:hyperlink>
      <w:r>
        <w:t xml:space="preserve">.</w:t>
      </w:r>
    </w:p>
    <w:bookmarkEnd w:id="233"/>
    <w:bookmarkStart w:id="235"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34">
        <w:r>
          <w:rPr>
            <w:rStyle w:val="Hyperlink"/>
          </w:rPr>
          <w:t xml:space="preserve">https://doi.org/10.1016/0304-3770(75)90016-9</w:t>
        </w:r>
      </w:hyperlink>
      <w:r>
        <w:t xml:space="preserve">.</w:t>
      </w:r>
    </w:p>
    <w:bookmarkEnd w:id="235"/>
    <w:bookmarkStart w:id="237"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36">
        <w:r>
          <w:rPr>
            <w:rStyle w:val="Hyperlink"/>
          </w:rPr>
          <w:t xml:space="preserve">https://doi.org/10.1007/978-0-387-87458-6</w:t>
        </w:r>
      </w:hyperlink>
      <w:r>
        <w:t xml:space="preserve">.</w:t>
      </w:r>
    </w:p>
    <w:bookmarkEnd w:id="237"/>
    <w:bookmarkEnd w:id="238"/>
    <w:bookmarkEnd w:id="239"/>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hyperlink" Id="rId91" Target="https://CRAN.R-project.org/package=SPEI" TargetMode="External" /><Relationship Type="http://schemas.openxmlformats.org/officeDocument/2006/relationships/hyperlink" Id="rId107"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29" Target="https://doi.org/10.1002/ehs2.1258" TargetMode="External" /><Relationship Type="http://schemas.openxmlformats.org/officeDocument/2006/relationships/hyperlink" Id="rId93" Target="https://doi.org/10.1002/joc.3887" TargetMode="External" /><Relationship Type="http://schemas.openxmlformats.org/officeDocument/2006/relationships/hyperlink" Id="rId219" Target="https://doi.org/10.1002/lol2.10098" TargetMode="External" /><Relationship Type="http://schemas.openxmlformats.org/officeDocument/2006/relationships/hyperlink" Id="rId217" Target="https://doi.org/10.1002/nt.2620020503" TargetMode="External" /><Relationship Type="http://schemas.openxmlformats.org/officeDocument/2006/relationships/hyperlink" Id="rId223" Target="https://doi.org/10.1007/978-0-387-21706-2" TargetMode="External" /><Relationship Type="http://schemas.openxmlformats.org/officeDocument/2006/relationships/hyperlink" Id="rId236" Target="https://doi.org/10.1007/978-0-387-87458-6" TargetMode="External" /><Relationship Type="http://schemas.openxmlformats.org/officeDocument/2006/relationships/hyperlink" Id="rId153" Target="https://doi.org/10.1007/bf02691700" TargetMode="External" /><Relationship Type="http://schemas.openxmlformats.org/officeDocument/2006/relationships/hyperlink" Id="rId125" Target="https://doi.org/10.1007/s00267-005-0079-4" TargetMode="External" /><Relationship Type="http://schemas.openxmlformats.org/officeDocument/2006/relationships/hyperlink" Id="rId198" Target="https://doi.org/10.1007/s00267-013-0179-5" TargetMode="External" /><Relationship Type="http://schemas.openxmlformats.org/officeDocument/2006/relationships/hyperlink" Id="rId113" Target="https://doi.org/10.1007/s12237-008-9038-7" TargetMode="External" /><Relationship Type="http://schemas.openxmlformats.org/officeDocument/2006/relationships/hyperlink" Id="rId89" Target="https://doi.org/10.1007/s12237-019-00619-w" TargetMode="External" /><Relationship Type="http://schemas.openxmlformats.org/officeDocument/2006/relationships/hyperlink" Id="rId178" Target="https://doi.org/10.1007/s12237-023-01252-4" TargetMode="External" /><Relationship Type="http://schemas.openxmlformats.org/officeDocument/2006/relationships/hyperlink" Id="rId234" Target="https://doi.org/10.1016/0304-3770(75)90016-9" TargetMode="External" /><Relationship Type="http://schemas.openxmlformats.org/officeDocument/2006/relationships/hyperlink" Id="rId170" Target="https://doi.org/10.1016/j.dsr2.2023.105321" TargetMode="External" /><Relationship Type="http://schemas.openxmlformats.org/officeDocument/2006/relationships/hyperlink" Id="rId192" Target="https://doi.org/10.1016/j.ecolind.2015.12.007" TargetMode="External" /><Relationship Type="http://schemas.openxmlformats.org/officeDocument/2006/relationships/hyperlink" Id="rId195" Target="https://doi.org/10.1016/j.ecolind.2020.107310" TargetMode="External" /><Relationship Type="http://schemas.openxmlformats.org/officeDocument/2006/relationships/hyperlink" Id="rId127" Target="https://doi.org/10.1016/j.ecss.2014.10.003" TargetMode="External" /><Relationship Type="http://schemas.openxmlformats.org/officeDocument/2006/relationships/hyperlink" Id="rId155" Target="https://doi.org/10.1016/j.ecss.2022.108134" TargetMode="External" /><Relationship Type="http://schemas.openxmlformats.org/officeDocument/2006/relationships/hyperlink" Id="rId105" Target="https://doi.org/10.1016/j.jembe.2007.06.024" TargetMode="External" /><Relationship Type="http://schemas.openxmlformats.org/officeDocument/2006/relationships/hyperlink" Id="rId109" Target="https://doi.org/10.1016/j.jenvman.2018.01.025" TargetMode="External" /><Relationship Type="http://schemas.openxmlformats.org/officeDocument/2006/relationships/hyperlink" Id="rId123" Target="https://doi.org/10.1016/j.marpolbul.2010.11.017" TargetMode="External" /><Relationship Type="http://schemas.openxmlformats.org/officeDocument/2006/relationships/hyperlink" Id="rId215" Target="https://doi.org/10.1016/j.marpolbul.2020.111247" TargetMode="External" /><Relationship Type="http://schemas.openxmlformats.org/officeDocument/2006/relationships/hyperlink" Id="rId83" Target="https://doi.org/10.1016/j.marpolbul.2022.113598" TargetMode="External" /><Relationship Type="http://schemas.openxmlformats.org/officeDocument/2006/relationships/hyperlink" Id="rId232" Target="https://doi.org/10.1016/j.marpolbul.2023.115043" TargetMode="External" /><Relationship Type="http://schemas.openxmlformats.org/officeDocument/2006/relationships/hyperlink" Id="rId75" Target="https://doi.org/10.1016/j.ocecoaman.2023.106929" TargetMode="External" /><Relationship Type="http://schemas.openxmlformats.org/officeDocument/2006/relationships/hyperlink" Id="rId202" Target="https://doi.org/10.1016/j.rsma.2015.05.005" TargetMode="External" /><Relationship Type="http://schemas.openxmlformats.org/officeDocument/2006/relationships/hyperlink" Id="rId212" Target="https://doi.org/10.1016/j.rsma.2015.11.010" TargetMode="External" /><Relationship Type="http://schemas.openxmlformats.org/officeDocument/2006/relationships/hyperlink" Id="rId208" Target="https://doi.org/10.1016/j.scitotenv.2011.09.088" TargetMode="External" /><Relationship Type="http://schemas.openxmlformats.org/officeDocument/2006/relationships/hyperlink" Id="rId162" Target="https://doi.org/10.1016/j.seares.2012.03.002" TargetMode="External" /><Relationship Type="http://schemas.openxmlformats.org/officeDocument/2006/relationships/hyperlink" Id="rId133" Target="https://doi.org/10.1029/wr018i001p00107" TargetMode="External" /><Relationship Type="http://schemas.openxmlformats.org/officeDocument/2006/relationships/hyperlink" Id="rId121" Target="https://doi.org/10.1038/ngeo1477" TargetMode="External" /><Relationship Type="http://schemas.openxmlformats.org/officeDocument/2006/relationships/hyperlink" Id="rId172" Target="https://doi.org/10.1038/s41467-018-03732-9" TargetMode="External" /><Relationship Type="http://schemas.openxmlformats.org/officeDocument/2006/relationships/hyperlink" Id="rId225" Target="https://doi.org/10.1073/pnas.0905620106" TargetMode="External" /><Relationship Type="http://schemas.openxmlformats.org/officeDocument/2006/relationships/hyperlink" Id="rId147" Target="https://doi.org/10.1073/pnas.1715798115" TargetMode="External" /><Relationship Type="http://schemas.openxmlformats.org/officeDocument/2006/relationships/hyperlink" Id="rId131" Target="https://doi.org/10.1073/pnas.2220678120" TargetMode="External" /><Relationship Type="http://schemas.openxmlformats.org/officeDocument/2006/relationships/hyperlink" Id="rId111" Target="https://doi.org/10.1080/00785236.1995.10422039" TargetMode="External" /><Relationship Type="http://schemas.openxmlformats.org/officeDocument/2006/relationships/hyperlink" Id="rId176" Target="https://doi.org/10.1093/biosci/bix058" TargetMode="External" /><Relationship Type="http://schemas.openxmlformats.org/officeDocument/2006/relationships/hyperlink" Id="rId135" Target="https://doi.org/10.1101/sqb.1957.022.01.039" TargetMode="External" /><Relationship Type="http://schemas.openxmlformats.org/officeDocument/2006/relationships/hyperlink" Id="rId101" Target="https://doi.org/10.1111/1365-2664.13169" TargetMode="External" /><Relationship Type="http://schemas.openxmlformats.org/officeDocument/2006/relationships/hyperlink" Id="rId227" Target="https://doi.org/10.1111/1365-2745.13648" TargetMode="External" /><Relationship Type="http://schemas.openxmlformats.org/officeDocument/2006/relationships/hyperlink" Id="rId164" Target="https://doi.org/10.1111/brv.12294" TargetMode="External" /><Relationship Type="http://schemas.openxmlformats.org/officeDocument/2006/relationships/hyperlink" Id="rId119" Target="https://doi.org/10.1111/conl.12938" TargetMode="External" /><Relationship Type="http://schemas.openxmlformats.org/officeDocument/2006/relationships/hyperlink" Id="rId182" Target="https://doi.org/10.1111/gcb.13084" TargetMode="External" /><Relationship Type="http://schemas.openxmlformats.org/officeDocument/2006/relationships/hyperlink" Id="rId149" Target="https://doi.org/10.1111/gcb.13623" TargetMode="External" /><Relationship Type="http://schemas.openxmlformats.org/officeDocument/2006/relationships/hyperlink" Id="rId117" Target="https://doi.org/10.1111/gcb.15684" TargetMode="External" /><Relationship Type="http://schemas.openxmlformats.org/officeDocument/2006/relationships/hyperlink" Id="rId180" Target="https://doi.org/10.1126/sciadv.abc6434" TargetMode="External" /><Relationship Type="http://schemas.openxmlformats.org/officeDocument/2006/relationships/hyperlink" Id="rId221" Target="https://doi.org/10.1146/annurev.es.03.110172.000543" TargetMode="External" /><Relationship Type="http://schemas.openxmlformats.org/officeDocument/2006/relationships/hyperlink" Id="rId204" Target="https://doi.org/10.1353/sgo.2017.0026" TargetMode="External" /><Relationship Type="http://schemas.openxmlformats.org/officeDocument/2006/relationships/hyperlink" Id="rId174" Target="https://doi.org/10.1641/0006-3568(2006)56[987:agcfse]2.0.co;2" TargetMode="External" /><Relationship Type="http://schemas.openxmlformats.org/officeDocument/2006/relationships/hyperlink" Id="rId77" Target="https://doi.org/10.18637/jss.v067.i01" TargetMode="External" /><Relationship Type="http://schemas.openxmlformats.org/officeDocument/2006/relationships/hyperlink" Id="rId87" Target="https://doi.org/10.21105/joss.03485" TargetMode="External" /><Relationship Type="http://schemas.openxmlformats.org/officeDocument/2006/relationships/hyperlink" Id="rId206" Target="https://doi.org/10.21203/rs.3.rs-3528678/v1" TargetMode="External" /><Relationship Type="http://schemas.openxmlformats.org/officeDocument/2006/relationships/hyperlink" Id="rId99" Target="https://doi.org/10.2134/jeq2001.302303x" TargetMode="External" /><Relationship Type="http://schemas.openxmlformats.org/officeDocument/2006/relationships/hyperlink" Id="rId103" Target="https://doi.org/10.2307/1352383" TargetMode="External" /><Relationship Type="http://schemas.openxmlformats.org/officeDocument/2006/relationships/hyperlink" Id="rId166" Target="https://doi.org/10.2307/1932688" TargetMode="External" /><Relationship Type="http://schemas.openxmlformats.org/officeDocument/2006/relationships/hyperlink" Id="rId187" Target="https://doi.org/10.3354/meps08925" TargetMode="External" /><Relationship Type="http://schemas.openxmlformats.org/officeDocument/2006/relationships/hyperlink" Id="rId129" Target="https://doi.org/10.3354/meps11923" TargetMode="External" /><Relationship Type="http://schemas.openxmlformats.org/officeDocument/2006/relationships/hyperlink" Id="rId95" Target="https://doi.org/10.3354/meps147277" TargetMode="External" /><Relationship Type="http://schemas.openxmlformats.org/officeDocument/2006/relationships/hyperlink" Id="rId185" Target="https://doi.org/10.3354/meps322099" TargetMode="External" /><Relationship Type="http://schemas.openxmlformats.org/officeDocument/2006/relationships/hyperlink" Id="rId85" Target="https://doi.org/10.3389/fevo.2023.1070266" TargetMode="External" /><Relationship Type="http://schemas.openxmlformats.org/officeDocument/2006/relationships/hyperlink" Id="rId210" Target="https://doi.org/10.3389/fevo.2023.1134069" TargetMode="External" /><Relationship Type="http://schemas.openxmlformats.org/officeDocument/2006/relationships/hyperlink" Id="rId115" Target="https://doi.org/10.3389/fpls.2021.612947" TargetMode="External" /><Relationship Type="http://schemas.openxmlformats.org/officeDocument/2006/relationships/hyperlink" Id="rId79" Target="https://doi.org/10.5281/zenodo.3648664" TargetMode="External" /><Relationship Type="http://schemas.openxmlformats.org/officeDocument/2006/relationships/hyperlink" Id="rId81" Target="https://doi.org/10.5281/zenodo.4319936" TargetMode="External" /><Relationship Type="http://schemas.openxmlformats.org/officeDocument/2006/relationships/hyperlink" Id="rId160" Target="https://drive.google.com/file/d/1-1Jq9vly5EvVwEp698brlBucXjSMDbNn/view?usp=sharing" TargetMode="External" /><Relationship Type="http://schemas.openxmlformats.org/officeDocument/2006/relationships/hyperlink" Id="rId145" Target="https://drive.google.com/file/d/19bNEs2qy6z0hXa1IE7OtbFTjqk1LarFN/view?usp=drivesdk" TargetMode="External" /><Relationship Type="http://schemas.openxmlformats.org/officeDocument/2006/relationships/hyperlink" Id="rId200" Target="https://drive.google.com/file/d/1BCviGfLykVX-p1tA3b0306deP3pKMagr/view?usp=drivesdk" TargetMode="External" /><Relationship Type="http://schemas.openxmlformats.org/officeDocument/2006/relationships/hyperlink" Id="rId190" Target="https://drive.google.com/file/d/1Hp0l_qtbxp1JxKJoGatdyuANSzQrpL0I/view?usp=drivesdk" TargetMode="External" /><Relationship Type="http://schemas.openxmlformats.org/officeDocument/2006/relationships/hyperlink" Id="rId141" Target="https://drive.google.com/file/d/1KARuSC5fGx05MuT1wiOQFWNXysBokkQl/view?usp=share_link" TargetMode="External" /><Relationship Type="http://schemas.openxmlformats.org/officeDocument/2006/relationships/hyperlink" Id="rId143" Target="https://drive.google.com/file/d/1Z_8L9sYQWSl1hon1tP1Y8zBo7MHQK9zC/view?usp=drivesdk" TargetMode="External" /><Relationship Type="http://schemas.openxmlformats.org/officeDocument/2006/relationships/hyperlink" Id="rId157" Target="https://drive.google.com/file/d/1iXX_JZP5fLS3ORIkFb7WwNYv8HjpHyKw/view?usp=sharing" TargetMode="External" /><Relationship Type="http://schemas.openxmlformats.org/officeDocument/2006/relationships/hyperlink" Id="rId137" Target="https://drive.google.com/file/d/1kZkvuprvsMyN9nPS5PHYvXHyo1KQxKTr/view?usp=drivesdk" TargetMode="External" /><Relationship Type="http://schemas.openxmlformats.org/officeDocument/2006/relationships/hyperlink" Id="rId151" Target="https://drive.google.com/file/d/1sNp3FpjdeOjATZ9nDRRAiXEOqQen9W_p/view?usp=sharing" TargetMode="External" /><Relationship Type="http://schemas.openxmlformats.org/officeDocument/2006/relationships/hyperlink" Id="rId97" Target="https://drive.google.com/file/d/1tUkGW7TRAJ_skWj-UemDVIJnUAsy0ITf/view?usp=drivesdk" TargetMode="External" /><Relationship Type="http://schemas.openxmlformats.org/officeDocument/2006/relationships/hyperlink" Id="rId13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68"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1" Target="https://CRAN.R-project.org/package=SPEI" TargetMode="External" /><Relationship Type="http://schemas.openxmlformats.org/officeDocument/2006/relationships/hyperlink" Id="rId107"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29" Target="https://doi.org/10.1002/ehs2.1258" TargetMode="External" /><Relationship Type="http://schemas.openxmlformats.org/officeDocument/2006/relationships/hyperlink" Id="rId93" Target="https://doi.org/10.1002/joc.3887" TargetMode="External" /><Relationship Type="http://schemas.openxmlformats.org/officeDocument/2006/relationships/hyperlink" Id="rId219" Target="https://doi.org/10.1002/lol2.10098" TargetMode="External" /><Relationship Type="http://schemas.openxmlformats.org/officeDocument/2006/relationships/hyperlink" Id="rId217" Target="https://doi.org/10.1002/nt.2620020503" TargetMode="External" /><Relationship Type="http://schemas.openxmlformats.org/officeDocument/2006/relationships/hyperlink" Id="rId223" Target="https://doi.org/10.1007/978-0-387-21706-2" TargetMode="External" /><Relationship Type="http://schemas.openxmlformats.org/officeDocument/2006/relationships/hyperlink" Id="rId236" Target="https://doi.org/10.1007/978-0-387-87458-6" TargetMode="External" /><Relationship Type="http://schemas.openxmlformats.org/officeDocument/2006/relationships/hyperlink" Id="rId153" Target="https://doi.org/10.1007/bf02691700" TargetMode="External" /><Relationship Type="http://schemas.openxmlformats.org/officeDocument/2006/relationships/hyperlink" Id="rId125" Target="https://doi.org/10.1007/s00267-005-0079-4" TargetMode="External" /><Relationship Type="http://schemas.openxmlformats.org/officeDocument/2006/relationships/hyperlink" Id="rId198" Target="https://doi.org/10.1007/s00267-013-0179-5" TargetMode="External" /><Relationship Type="http://schemas.openxmlformats.org/officeDocument/2006/relationships/hyperlink" Id="rId113" Target="https://doi.org/10.1007/s12237-008-9038-7" TargetMode="External" /><Relationship Type="http://schemas.openxmlformats.org/officeDocument/2006/relationships/hyperlink" Id="rId89" Target="https://doi.org/10.1007/s12237-019-00619-w" TargetMode="External" /><Relationship Type="http://schemas.openxmlformats.org/officeDocument/2006/relationships/hyperlink" Id="rId178" Target="https://doi.org/10.1007/s12237-023-01252-4" TargetMode="External" /><Relationship Type="http://schemas.openxmlformats.org/officeDocument/2006/relationships/hyperlink" Id="rId234" Target="https://doi.org/10.1016/0304-3770(75)90016-9" TargetMode="External" /><Relationship Type="http://schemas.openxmlformats.org/officeDocument/2006/relationships/hyperlink" Id="rId170" Target="https://doi.org/10.1016/j.dsr2.2023.105321" TargetMode="External" /><Relationship Type="http://schemas.openxmlformats.org/officeDocument/2006/relationships/hyperlink" Id="rId192" Target="https://doi.org/10.1016/j.ecolind.2015.12.007" TargetMode="External" /><Relationship Type="http://schemas.openxmlformats.org/officeDocument/2006/relationships/hyperlink" Id="rId195" Target="https://doi.org/10.1016/j.ecolind.2020.107310" TargetMode="External" /><Relationship Type="http://schemas.openxmlformats.org/officeDocument/2006/relationships/hyperlink" Id="rId127" Target="https://doi.org/10.1016/j.ecss.2014.10.003" TargetMode="External" /><Relationship Type="http://schemas.openxmlformats.org/officeDocument/2006/relationships/hyperlink" Id="rId155" Target="https://doi.org/10.1016/j.ecss.2022.108134" TargetMode="External" /><Relationship Type="http://schemas.openxmlformats.org/officeDocument/2006/relationships/hyperlink" Id="rId105" Target="https://doi.org/10.1016/j.jembe.2007.06.024" TargetMode="External" /><Relationship Type="http://schemas.openxmlformats.org/officeDocument/2006/relationships/hyperlink" Id="rId109" Target="https://doi.org/10.1016/j.jenvman.2018.01.025" TargetMode="External" /><Relationship Type="http://schemas.openxmlformats.org/officeDocument/2006/relationships/hyperlink" Id="rId123" Target="https://doi.org/10.1016/j.marpolbul.2010.11.017" TargetMode="External" /><Relationship Type="http://schemas.openxmlformats.org/officeDocument/2006/relationships/hyperlink" Id="rId215" Target="https://doi.org/10.1016/j.marpolbul.2020.111247" TargetMode="External" /><Relationship Type="http://schemas.openxmlformats.org/officeDocument/2006/relationships/hyperlink" Id="rId83" Target="https://doi.org/10.1016/j.marpolbul.2022.113598" TargetMode="External" /><Relationship Type="http://schemas.openxmlformats.org/officeDocument/2006/relationships/hyperlink" Id="rId232" Target="https://doi.org/10.1016/j.marpolbul.2023.115043" TargetMode="External" /><Relationship Type="http://schemas.openxmlformats.org/officeDocument/2006/relationships/hyperlink" Id="rId75" Target="https://doi.org/10.1016/j.ocecoaman.2023.106929" TargetMode="External" /><Relationship Type="http://schemas.openxmlformats.org/officeDocument/2006/relationships/hyperlink" Id="rId202" Target="https://doi.org/10.1016/j.rsma.2015.05.005" TargetMode="External" /><Relationship Type="http://schemas.openxmlformats.org/officeDocument/2006/relationships/hyperlink" Id="rId212" Target="https://doi.org/10.1016/j.rsma.2015.11.010" TargetMode="External" /><Relationship Type="http://schemas.openxmlformats.org/officeDocument/2006/relationships/hyperlink" Id="rId208" Target="https://doi.org/10.1016/j.scitotenv.2011.09.088" TargetMode="External" /><Relationship Type="http://schemas.openxmlformats.org/officeDocument/2006/relationships/hyperlink" Id="rId162" Target="https://doi.org/10.1016/j.seares.2012.03.002" TargetMode="External" /><Relationship Type="http://schemas.openxmlformats.org/officeDocument/2006/relationships/hyperlink" Id="rId133" Target="https://doi.org/10.1029/wr018i001p00107" TargetMode="External" /><Relationship Type="http://schemas.openxmlformats.org/officeDocument/2006/relationships/hyperlink" Id="rId121" Target="https://doi.org/10.1038/ngeo1477" TargetMode="External" /><Relationship Type="http://schemas.openxmlformats.org/officeDocument/2006/relationships/hyperlink" Id="rId172" Target="https://doi.org/10.1038/s41467-018-03732-9" TargetMode="External" /><Relationship Type="http://schemas.openxmlformats.org/officeDocument/2006/relationships/hyperlink" Id="rId225" Target="https://doi.org/10.1073/pnas.0905620106" TargetMode="External" /><Relationship Type="http://schemas.openxmlformats.org/officeDocument/2006/relationships/hyperlink" Id="rId147" Target="https://doi.org/10.1073/pnas.1715798115" TargetMode="External" /><Relationship Type="http://schemas.openxmlformats.org/officeDocument/2006/relationships/hyperlink" Id="rId131" Target="https://doi.org/10.1073/pnas.2220678120" TargetMode="External" /><Relationship Type="http://schemas.openxmlformats.org/officeDocument/2006/relationships/hyperlink" Id="rId111" Target="https://doi.org/10.1080/00785236.1995.10422039" TargetMode="External" /><Relationship Type="http://schemas.openxmlformats.org/officeDocument/2006/relationships/hyperlink" Id="rId176" Target="https://doi.org/10.1093/biosci/bix058" TargetMode="External" /><Relationship Type="http://schemas.openxmlformats.org/officeDocument/2006/relationships/hyperlink" Id="rId135" Target="https://doi.org/10.1101/sqb.1957.022.01.039" TargetMode="External" /><Relationship Type="http://schemas.openxmlformats.org/officeDocument/2006/relationships/hyperlink" Id="rId101" Target="https://doi.org/10.1111/1365-2664.13169" TargetMode="External" /><Relationship Type="http://schemas.openxmlformats.org/officeDocument/2006/relationships/hyperlink" Id="rId227" Target="https://doi.org/10.1111/1365-2745.13648" TargetMode="External" /><Relationship Type="http://schemas.openxmlformats.org/officeDocument/2006/relationships/hyperlink" Id="rId164" Target="https://doi.org/10.1111/brv.12294" TargetMode="External" /><Relationship Type="http://schemas.openxmlformats.org/officeDocument/2006/relationships/hyperlink" Id="rId119" Target="https://doi.org/10.1111/conl.12938" TargetMode="External" /><Relationship Type="http://schemas.openxmlformats.org/officeDocument/2006/relationships/hyperlink" Id="rId182" Target="https://doi.org/10.1111/gcb.13084" TargetMode="External" /><Relationship Type="http://schemas.openxmlformats.org/officeDocument/2006/relationships/hyperlink" Id="rId149" Target="https://doi.org/10.1111/gcb.13623" TargetMode="External" /><Relationship Type="http://schemas.openxmlformats.org/officeDocument/2006/relationships/hyperlink" Id="rId117" Target="https://doi.org/10.1111/gcb.15684" TargetMode="External" /><Relationship Type="http://schemas.openxmlformats.org/officeDocument/2006/relationships/hyperlink" Id="rId180" Target="https://doi.org/10.1126/sciadv.abc6434" TargetMode="External" /><Relationship Type="http://schemas.openxmlformats.org/officeDocument/2006/relationships/hyperlink" Id="rId221" Target="https://doi.org/10.1146/annurev.es.03.110172.000543" TargetMode="External" /><Relationship Type="http://schemas.openxmlformats.org/officeDocument/2006/relationships/hyperlink" Id="rId204" Target="https://doi.org/10.1353/sgo.2017.0026" TargetMode="External" /><Relationship Type="http://schemas.openxmlformats.org/officeDocument/2006/relationships/hyperlink" Id="rId174" Target="https://doi.org/10.1641/0006-3568(2006)56[987:agcfse]2.0.co;2" TargetMode="External" /><Relationship Type="http://schemas.openxmlformats.org/officeDocument/2006/relationships/hyperlink" Id="rId77" Target="https://doi.org/10.18637/jss.v067.i01" TargetMode="External" /><Relationship Type="http://schemas.openxmlformats.org/officeDocument/2006/relationships/hyperlink" Id="rId87" Target="https://doi.org/10.21105/joss.03485" TargetMode="External" /><Relationship Type="http://schemas.openxmlformats.org/officeDocument/2006/relationships/hyperlink" Id="rId206" Target="https://doi.org/10.21203/rs.3.rs-3528678/v1" TargetMode="External" /><Relationship Type="http://schemas.openxmlformats.org/officeDocument/2006/relationships/hyperlink" Id="rId99" Target="https://doi.org/10.2134/jeq2001.302303x" TargetMode="External" /><Relationship Type="http://schemas.openxmlformats.org/officeDocument/2006/relationships/hyperlink" Id="rId103" Target="https://doi.org/10.2307/1352383" TargetMode="External" /><Relationship Type="http://schemas.openxmlformats.org/officeDocument/2006/relationships/hyperlink" Id="rId166" Target="https://doi.org/10.2307/1932688" TargetMode="External" /><Relationship Type="http://schemas.openxmlformats.org/officeDocument/2006/relationships/hyperlink" Id="rId187" Target="https://doi.org/10.3354/meps08925" TargetMode="External" /><Relationship Type="http://schemas.openxmlformats.org/officeDocument/2006/relationships/hyperlink" Id="rId129" Target="https://doi.org/10.3354/meps11923" TargetMode="External" /><Relationship Type="http://schemas.openxmlformats.org/officeDocument/2006/relationships/hyperlink" Id="rId95" Target="https://doi.org/10.3354/meps147277" TargetMode="External" /><Relationship Type="http://schemas.openxmlformats.org/officeDocument/2006/relationships/hyperlink" Id="rId185" Target="https://doi.org/10.3354/meps322099" TargetMode="External" /><Relationship Type="http://schemas.openxmlformats.org/officeDocument/2006/relationships/hyperlink" Id="rId85" Target="https://doi.org/10.3389/fevo.2023.1070266" TargetMode="External" /><Relationship Type="http://schemas.openxmlformats.org/officeDocument/2006/relationships/hyperlink" Id="rId210" Target="https://doi.org/10.3389/fevo.2023.1134069" TargetMode="External" /><Relationship Type="http://schemas.openxmlformats.org/officeDocument/2006/relationships/hyperlink" Id="rId115" Target="https://doi.org/10.3389/fpls.2021.612947" TargetMode="External" /><Relationship Type="http://schemas.openxmlformats.org/officeDocument/2006/relationships/hyperlink" Id="rId79" Target="https://doi.org/10.5281/zenodo.3648664" TargetMode="External" /><Relationship Type="http://schemas.openxmlformats.org/officeDocument/2006/relationships/hyperlink" Id="rId81" Target="https://doi.org/10.5281/zenodo.4319936" TargetMode="External" /><Relationship Type="http://schemas.openxmlformats.org/officeDocument/2006/relationships/hyperlink" Id="rId160" Target="https://drive.google.com/file/d/1-1Jq9vly5EvVwEp698brlBucXjSMDbNn/view?usp=sharing" TargetMode="External" /><Relationship Type="http://schemas.openxmlformats.org/officeDocument/2006/relationships/hyperlink" Id="rId145" Target="https://drive.google.com/file/d/19bNEs2qy6z0hXa1IE7OtbFTjqk1LarFN/view?usp=drivesdk" TargetMode="External" /><Relationship Type="http://schemas.openxmlformats.org/officeDocument/2006/relationships/hyperlink" Id="rId200" Target="https://drive.google.com/file/d/1BCviGfLykVX-p1tA3b0306deP3pKMagr/view?usp=drivesdk" TargetMode="External" /><Relationship Type="http://schemas.openxmlformats.org/officeDocument/2006/relationships/hyperlink" Id="rId190" Target="https://drive.google.com/file/d/1Hp0l_qtbxp1JxKJoGatdyuANSzQrpL0I/view?usp=drivesdk" TargetMode="External" /><Relationship Type="http://schemas.openxmlformats.org/officeDocument/2006/relationships/hyperlink" Id="rId141" Target="https://drive.google.com/file/d/1KARuSC5fGx05MuT1wiOQFWNXysBokkQl/view?usp=share_link" TargetMode="External" /><Relationship Type="http://schemas.openxmlformats.org/officeDocument/2006/relationships/hyperlink" Id="rId143" Target="https://drive.google.com/file/d/1Z_8L9sYQWSl1hon1tP1Y8zBo7MHQK9zC/view?usp=drivesdk" TargetMode="External" /><Relationship Type="http://schemas.openxmlformats.org/officeDocument/2006/relationships/hyperlink" Id="rId157" Target="https://drive.google.com/file/d/1iXX_JZP5fLS3ORIkFb7WwNYv8HjpHyKw/view?usp=sharing" TargetMode="External" /><Relationship Type="http://schemas.openxmlformats.org/officeDocument/2006/relationships/hyperlink" Id="rId137" Target="https://drive.google.com/file/d/1kZkvuprvsMyN9nPS5PHYvXHyo1KQxKTr/view?usp=drivesdk" TargetMode="External" /><Relationship Type="http://schemas.openxmlformats.org/officeDocument/2006/relationships/hyperlink" Id="rId151" Target="https://drive.google.com/file/d/1sNp3FpjdeOjATZ9nDRRAiXEOqQen9W_p/view?usp=sharing" TargetMode="External" /><Relationship Type="http://schemas.openxmlformats.org/officeDocument/2006/relationships/hyperlink" Id="rId97" Target="https://drive.google.com/file/d/1tUkGW7TRAJ_skWj-UemDVIJnUAsy0ITf/view?usp=drivesdk" TargetMode="External" /><Relationship Type="http://schemas.openxmlformats.org/officeDocument/2006/relationships/hyperlink" Id="rId13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68"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 Kerry Flaherty-Walia1, Sheila Scolaro1, Maya C Burke1, and Edward T Sherwood1</dc:creator>
  <cp:keywords/>
  <dcterms:created xsi:type="dcterms:W3CDTF">2023-12-15T18:18:47Z</dcterms:created>
  <dcterms:modified xsi:type="dcterms:W3CDTF">2023-12-15T18:18:47Z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