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Marcus W Beck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Tampa Bay Estuary Program, St. Petersburg, Florida 33701 USA 16802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Marcus W Beck &lt;mbeck@tbep.org&gt;</w:t>
        </w:r>
      </w:hyperlink>
    </w:p>
    <w:bookmarkStart w:id="21" w:name="abstract"/>
    <w:p>
      <w:pPr>
        <w:pStyle w:val="Heading2"/>
      </w:pPr>
      <w:r>
        <w:t xml:space="preserve">Abstract</w:t>
      </w:r>
    </w:p>
    <w:bookmarkEnd w:id="21"/>
    <w:bookmarkStart w:id="22" w:name="introduction"/>
    <w:p>
      <w:pPr>
        <w:pStyle w:val="Heading2"/>
      </w:pPr>
      <w:r>
        <w:t xml:space="preserve">1 Introduction</w:t>
      </w:r>
    </w:p>
    <w:bookmarkEnd w:id="22"/>
    <w:bookmarkStart w:id="23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Salinity tolerance: Ruppia &gt; Halodule&gt; Thalassia &gt; Syringodium</w:t>
      </w:r>
    </w:p>
    <w:p>
      <w:pPr>
        <w:pStyle w:val="BodyText"/>
      </w:pPr>
      <w:r>
        <w:t xml:space="preserve">Halodule:</w:t>
      </w:r>
    </w:p>
    <w:p>
      <w:pPr>
        <w:numPr>
          <w:ilvl w:val="0"/>
          <w:numId w:val="1001"/>
        </w:numPr>
      </w:pPr>
      <w:r>
        <w:t xml:space="preserve">Temp: 20-30 (range,</w:t>
      </w:r>
      <w:r>
        <w:t xml:space="preserve"> </w:t>
      </w:r>
      <w:r>
        <w:t xml:space="preserve">Lewis III et al. (1985)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Salinity: grows well in most salinity ranges</w:t>
      </w:r>
      <w:r>
        <w:t xml:space="preserve"> </w:t>
      </w:r>
      <w:r>
        <w:t xml:space="preserve">(Lirman and Cropper 2003)</w:t>
      </w:r>
      <w:r>
        <w:t xml:space="preserve">, like Syringodium but more tolerant</w:t>
      </w:r>
      <w:r>
        <w:t xml:space="preserve"> </w:t>
      </w:r>
      <w:r>
        <w:t xml:space="preserve">(Lewis III et al. 1985)</w:t>
      </w:r>
      <w:r>
        <w:t xml:space="preserve">, 10-35 (range) or &lt; 10 (S. Scolaro)</w:t>
      </w:r>
    </w:p>
    <w:p>
      <w:pPr>
        <w:pStyle w:val="FirstParagraph"/>
      </w:pPr>
      <w:r>
        <w:t xml:space="preserve">Thalassia:</w:t>
      </w:r>
    </w:p>
    <w:p>
      <w:pPr>
        <w:numPr>
          <w:ilvl w:val="0"/>
          <w:numId w:val="1002"/>
        </w:numPr>
      </w:pPr>
      <w:r>
        <w:t xml:space="preserve">Temp: 20-30 (range,</w:t>
      </w:r>
      <w:r>
        <w:t xml:space="preserve"> </w:t>
      </w:r>
      <w:r>
        <w:t xml:space="preserve">Lewis III et al. (1985)</w:t>
      </w:r>
      <w:r>
        <w:t xml:space="preserve">,</w:t>
      </w:r>
      <w:r>
        <w:t xml:space="preserve"> </w:t>
      </w:r>
      <w:r>
        <w:t xml:space="preserve">(</w:t>
      </w:r>
      <w:r>
        <w:rPr>
          <w:bCs/>
          <w:b/>
        </w:rPr>
        <w:t xml:space="preserve">zieman75?</w:t>
      </w:r>
      <w:r>
        <w:t xml:space="preserve">)</w:t>
      </w:r>
      <w:r>
        <w:t xml:space="preserve">), 30-31 (upper, from SS)</w:t>
      </w:r>
    </w:p>
    <w:p>
      <w:pPr>
        <w:numPr>
          <w:ilvl w:val="0"/>
          <w:numId w:val="1002"/>
        </w:numPr>
      </w:pPr>
      <w:r>
        <w:t xml:space="preserve">Salinity: 25 (lower,</w:t>
      </w:r>
      <w:r>
        <w:t xml:space="preserve"> </w:t>
      </w:r>
      <w:r>
        <w:t xml:space="preserve">Lewis III et al. (1985)</w:t>
      </w:r>
      <w:r>
        <w:t xml:space="preserve">); 30, lowest at 5 (lower,</w:t>
      </w:r>
      <w:r>
        <w:t xml:space="preserve"> </w:t>
      </w:r>
      <w:r>
        <w:t xml:space="preserve">Lirman and Cropper (2003)</w:t>
      </w:r>
      <w:r>
        <w:t xml:space="preserve">), 33-38 (range,</w:t>
      </w:r>
      <w:r>
        <w:t xml:space="preserve"> </w:t>
      </w:r>
      <w:r>
        <w:t xml:space="preserve">Phillips (1960)</w:t>
      </w:r>
      <w:r>
        <w:t xml:space="preserve">); 24-35 (range,</w:t>
      </w:r>
      <w:r>
        <w:t xml:space="preserve"> </w:t>
      </w:r>
      <w:r>
        <w:t xml:space="preserve">Zieman (1975)</w:t>
      </w:r>
      <w:r>
        <w:t xml:space="preserve"> </w:t>
      </w:r>
      <w:r>
        <w:t xml:space="preserve">citing</w:t>
      </w:r>
      <w:r>
        <w:t xml:space="preserve"> </w:t>
      </w:r>
      <w:r>
        <w:t xml:space="preserve">Phillips (1960)</w:t>
      </w:r>
      <w:r>
        <w:t xml:space="preserve">)</w:t>
      </w:r>
    </w:p>
    <w:p>
      <w:pPr>
        <w:pStyle w:val="FirstParagraph"/>
      </w:pPr>
      <w:r>
        <w:t xml:space="preserve">Syringodium:</w:t>
      </w:r>
    </w:p>
    <w:p>
      <w:pPr>
        <w:numPr>
          <w:ilvl w:val="0"/>
          <w:numId w:val="1003"/>
        </w:numPr>
      </w:pPr>
      <w:r>
        <w:t xml:space="preserve">Temp: 20-30 (range,</w:t>
      </w:r>
      <w:r>
        <w:t xml:space="preserve"> </w:t>
      </w:r>
      <w:r>
        <w:t xml:space="preserve">Lewis III et al. (1985)</w:t>
      </w:r>
      <w:r>
        <w:t xml:space="preserve">), 29 (upper from SS)</w:t>
      </w:r>
    </w:p>
    <w:p>
      <w:pPr>
        <w:numPr>
          <w:ilvl w:val="0"/>
          <w:numId w:val="1003"/>
        </w:numPr>
      </w:pPr>
      <w:r>
        <w:t xml:space="preserve">Salinity: 20 (lower,</w:t>
      </w:r>
      <w:r>
        <w:t xml:space="preserve"> </w:t>
      </w:r>
      <w:r>
        <w:t xml:space="preserve">Lewis III et al. (1985)</w:t>
      </w:r>
      <w:r>
        <w:t xml:space="preserve">), 25 (lower,</w:t>
      </w:r>
      <w:r>
        <w:t xml:space="preserve"> </w:t>
      </w:r>
      <w:r>
        <w:t xml:space="preserve">(</w:t>
      </w:r>
      <w:r>
        <w:rPr>
          <w:bCs/>
          <w:b/>
        </w:rPr>
        <w:t xml:space="preserve">lirman?</w:t>
      </w:r>
      <w:r>
        <w:t xml:space="preserve">)</w:t>
      </w:r>
      <w:r>
        <w:t xml:space="preserve">),</w:t>
      </w:r>
    </w:p>
    <w:p>
      <w:pPr>
        <w:pStyle w:val="FirstParagraph"/>
      </w:pPr>
      <w:r>
        <w:t xml:space="preserve">Lewis III et al. (1985)</w:t>
      </w:r>
      <w:r>
        <w:t xml:space="preserve"> </w:t>
      </w:r>
      <w:r>
        <w:t xml:space="preserve">review of seagrass in Tampa Bay.</w:t>
      </w:r>
      <w:r>
        <w:t xml:space="preserve"> </w:t>
      </w:r>
      <w:r>
        <w:t xml:space="preserve">Lirman and Cropper (2003)</w:t>
      </w:r>
      <w:r>
        <w:t xml:space="preserve"> </w:t>
      </w:r>
      <w:r>
        <w:t xml:space="preserve">conducted exposure experiments to evaluate seagrass growth in response to a range of salinity conditions.</w:t>
      </w:r>
      <w:r>
        <w:t xml:space="preserve"> </w:t>
      </w:r>
      <w:r>
        <w:t xml:space="preserve">McMillan and Moseley (1967)</w:t>
      </w:r>
      <w:r>
        <w:t xml:space="preserve"> </w:t>
      </w:r>
      <w:r>
        <w:t xml:space="preserve">discusses growth of halodule, syringodium, thalassia, and ruppia in response to salinity increases (up to 75 psu), no info on lower limit. Cites</w:t>
      </w:r>
      <w:r>
        <w:t xml:space="preserve"> </w:t>
      </w:r>
      <w:r>
        <w:t xml:space="preserve">Phillips (1960)</w:t>
      </w:r>
      <w:r>
        <w:t xml:space="preserve"> </w:t>
      </w:r>
      <w:r>
        <w:t xml:space="preserve">for a salinity range of Thalassia in Florida of 33 - 38 psu.</w:t>
      </w:r>
      <w:r>
        <w:t xml:space="preserve"> </w:t>
      </w:r>
      <w:r>
        <w:t xml:space="preserve">Zieman (1975)</w:t>
      </w:r>
      <w:r>
        <w:t xml:space="preserve"> </w:t>
      </w:r>
      <w:r>
        <w:t xml:space="preserve">discusses seasonal variation of thalassia relative to temp and salinity</w:t>
      </w:r>
    </w:p>
    <w:p>
      <w:pPr>
        <w:numPr>
          <w:ilvl w:val="0"/>
          <w:numId w:val="1004"/>
        </w:numPr>
        <w:pStyle w:val="Compact"/>
      </w:pPr>
      <w:r>
        <w:t xml:space="preserve">Get FIM, Pinellas, Manatee data</w:t>
      </w:r>
    </w:p>
    <w:p>
      <w:pPr>
        <w:pStyle w:val="FirstParagraph"/>
      </w:pPr>
      <w:r>
        <w:t xml:space="preserve">The conceptual stressor diagram</w:t>
      </w:r>
      <w:r>
        <w:t xml:space="preserve"> </w:t>
      </w:r>
      <w:r>
        <w:rPr>
          <w:bCs/>
          <w:b/>
        </w:rPr>
        <w:t xml:space="preserve">?@fig-concept</w:t>
      </w:r>
      <w:r>
        <w:t xml:space="preserve">.</w:t>
      </w:r>
    </w:p>
    <w:bookmarkEnd w:id="23"/>
    <w:bookmarkStart w:id="24" w:name="results"/>
    <w:p>
      <w:pPr>
        <w:pStyle w:val="Heading2"/>
      </w:pPr>
      <w:r>
        <w:t xml:space="preserve">3 Results</w:t>
      </w:r>
    </w:p>
    <w:bookmarkEnd w:id="24"/>
    <w:bookmarkStart w:id="25" w:name="discussion"/>
    <w:p>
      <w:pPr>
        <w:pStyle w:val="Heading2"/>
      </w:pPr>
      <w:r>
        <w:t xml:space="preserve">4 Discussion</w:t>
      </w:r>
    </w:p>
    <w:bookmarkEnd w:id="25"/>
    <w:bookmarkStart w:id="26" w:name="acknowledgments"/>
    <w:p>
      <w:pPr>
        <w:pStyle w:val="Heading2"/>
      </w:pPr>
      <w:r>
        <w:t xml:space="preserve">Acknowledgments</w:t>
      </w:r>
    </w:p>
    <w:bookmarkEnd w:id="26"/>
    <w:bookmarkStart w:id="31" w:name="figures"/>
    <w:p>
      <w:pPr>
        <w:pStyle w:val="Heading2"/>
      </w:pPr>
      <w:r>
        <w:t xml:space="preserve">Figures</w:t>
      </w:r>
    </w:p>
    <w:p>
      <w:pPr>
        <w:pStyle w:val="FirstParagraph"/>
      </w:pPr>
      <w:bookmarkStart w:id="30" w:name="fig-concept"/>
      <w:r>
        <w:drawing>
          <wp:inline>
            <wp:extent cx="4905519" cy="5002796"/>
            <wp:effectExtent b="0" l="0" r="0" t="0"/>
            <wp:docPr descr="Conceptual stressor diagram" title="" id="28" name="Picture"/>
            <a:graphic>
              <a:graphicData uri="http://schemas.openxmlformats.org/drawingml/2006/picture">
                <pic:pic>
                  <pic:nvPicPr>
                    <pic:cNvPr descr="figs/concep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19" cy="500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p>
        <w:r>
          <w:br w:type="page"/>
        </w:r>
      </w:p>
    </w:p>
    <w:bookmarkEnd w:id="31"/>
    <w:bookmarkStart w:id="32" w:name="tables"/>
    <w:p>
      <w:pPr>
        <w:pStyle w:val="Heading2"/>
      </w:pPr>
      <w:r>
        <w:t xml:space="preserve">Tables</w:t>
      </w:r>
    </w:p>
    <w:bookmarkEnd w:id="32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34" w:name="ref-lewis1985"/>
    <w:p>
      <w:pPr>
        <w:pStyle w:val="Bibliography"/>
      </w:pPr>
      <w:r>
        <w:t xml:space="preserve">Lewis III, Roy R, MJ Durako, MD Moffler, and RC Phillips. 1985.</w:t>
      </w:r>
      <w:r>
        <w:t xml:space="preserve"> </w:t>
      </w:r>
      <w:r>
        <w:t xml:space="preserve">“Seagrass Meadows of</w:t>
      </w:r>
      <w:r>
        <w:t xml:space="preserve"> </w:t>
      </w:r>
      <w:r>
        <w:t xml:space="preserve">T</w:t>
      </w:r>
      <w:r>
        <w:t xml:space="preserve">ampa</w:t>
      </w:r>
      <w:r>
        <w:t xml:space="preserve"> </w:t>
      </w:r>
      <w:r>
        <w:t xml:space="preserve">B</w:t>
      </w:r>
      <w:r>
        <w:t xml:space="preserve">ay - a Review.”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Proceedings, Tampa Bay Area Scientific Information Symposium, May 1982</w:t>
      </w:r>
      <w:r>
        <w:t xml:space="preserve">, edited by S. F. Treat, J. L. Simon, R. R. Lewis III, and R. L. Whitman Jr., 210–46. Tampa, Florida: Bellweather Press.</w:t>
      </w:r>
      <w:r>
        <w:t xml:space="preserve"> </w:t>
      </w:r>
      <w:hyperlink r:id="rId33">
        <w:r>
          <w:rPr>
            <w:rStyle w:val="Hyperlink"/>
          </w:rPr>
          <w:t xml:space="preserve">https://drive.google.com/file/d/1sNp3FpjdeOjATZ9nDRRAiXEOqQen9W_p/view?usp=sharing</w:t>
        </w:r>
      </w:hyperlink>
      <w:r>
        <w:t xml:space="preserve">.</w:t>
      </w:r>
    </w:p>
    <w:bookmarkEnd w:id="34"/>
    <w:bookmarkStart w:id="36" w:name="ref-lirman2003"/>
    <w:p>
      <w:pPr>
        <w:pStyle w:val="Bibliography"/>
      </w:pPr>
      <w:r>
        <w:t xml:space="preserve">Lirman, Diego, and Wendell P. Cropper. 2003.</w:t>
      </w:r>
      <w:r>
        <w:t xml:space="preserve"> </w:t>
      </w:r>
      <w:r>
        <w:t xml:space="preserve">“The Influence of Salinity on Seagrass Growth, Survivorship, and Distribution Within Biscayne Bay, Florida: Field, Experimental, and Modeling Studies.”</w:t>
      </w:r>
      <w:r>
        <w:t xml:space="preserve"> </w:t>
      </w:r>
      <w:r>
        <w:rPr>
          <w:iCs/>
          <w:i/>
        </w:rPr>
        <w:t xml:space="preserve">Estuaries</w:t>
      </w:r>
      <w:r>
        <w:t xml:space="preserve"> </w:t>
      </w:r>
      <w:r>
        <w:t xml:space="preserve">26 (1): 131–41.</w:t>
      </w:r>
      <w:r>
        <w:t xml:space="preserve"> </w:t>
      </w:r>
      <w:hyperlink r:id="rId35">
        <w:r>
          <w:rPr>
            <w:rStyle w:val="Hyperlink"/>
          </w:rPr>
          <w:t xml:space="preserve">https://doi.org/10.1007/bf02691700</w:t>
        </w:r>
      </w:hyperlink>
      <w:r>
        <w:t xml:space="preserve">.</w:t>
      </w:r>
    </w:p>
    <w:bookmarkEnd w:id="36"/>
    <w:bookmarkStart w:id="38" w:name="ref-mcmillan1967"/>
    <w:p>
      <w:pPr>
        <w:pStyle w:val="Bibliography"/>
      </w:pPr>
      <w:r>
        <w:t xml:space="preserve">McMillan, Calvin, and Frank N. Moseley. 1967.</w:t>
      </w:r>
      <w:r>
        <w:t xml:space="preserve"> </w:t>
      </w:r>
      <w:r>
        <w:t xml:space="preserve">“Salinity Tolerances of Five Marine Spermatophytes of Redfish Bay, Texas.”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48 (3): 503–6.</w:t>
      </w:r>
      <w:r>
        <w:t xml:space="preserve"> </w:t>
      </w:r>
      <w:hyperlink r:id="rId37">
        <w:r>
          <w:rPr>
            <w:rStyle w:val="Hyperlink"/>
          </w:rPr>
          <w:t xml:space="preserve">https://doi.org/10.2307/1932688</w:t>
        </w:r>
      </w:hyperlink>
      <w:r>
        <w:t xml:space="preserve">.</w:t>
      </w:r>
    </w:p>
    <w:bookmarkEnd w:id="38"/>
    <w:bookmarkStart w:id="39" w:name="ref-phillips1960"/>
    <w:p>
      <w:pPr>
        <w:pStyle w:val="Bibliography"/>
      </w:pPr>
      <w:r>
        <w:t xml:space="preserve">Phillips, Ronald C. 1960.</w:t>
      </w:r>
      <w:r>
        <w:t xml:space="preserve"> </w:t>
      </w:r>
      <w:r>
        <w:rPr>
          <w:iCs/>
          <w:i/>
        </w:rPr>
        <w:t xml:space="preserve">Observations on the Ecology and Distribution of the Florida Seagrasses</w:t>
      </w:r>
      <w:r>
        <w:t xml:space="preserve">. 44. Florida State Board of Conservation, Marine Laboratory.</w:t>
      </w:r>
    </w:p>
    <w:bookmarkEnd w:id="39"/>
    <w:bookmarkStart w:id="41" w:name="ref-zieman1975"/>
    <w:p>
      <w:pPr>
        <w:pStyle w:val="Bibliography"/>
      </w:pPr>
      <w:r>
        <w:t xml:space="preserve">Zieman, Joseph C. 1975.</w:t>
      </w:r>
      <w:r>
        <w:t xml:space="preserve"> </w:t>
      </w:r>
      <w:r>
        <w:t xml:space="preserve">“Seasonal Variation of Turtle Grass, Thalassia Testudinum König, with Reference to Temperature and Salinity Effects.”</w:t>
      </w:r>
      <w:r>
        <w:t xml:space="preserve"> </w:t>
      </w:r>
      <w:r>
        <w:rPr>
          <w:iCs/>
          <w:i/>
        </w:rPr>
        <w:t xml:space="preserve">Aquatic Botany</w:t>
      </w:r>
      <w:r>
        <w:t xml:space="preserve"> </w:t>
      </w:r>
      <w:r>
        <w:t xml:space="preserve">1 (January): 107–23.</w:t>
      </w:r>
      <w:r>
        <w:t xml:space="preserve"> </w:t>
      </w:r>
      <w:hyperlink r:id="rId40">
        <w:r>
          <w:rPr>
            <w:rStyle w:val="Hyperlink"/>
          </w:rPr>
          <w:t xml:space="preserve">https://doi.org/10.1016/0304-3770(75)90016-9</w:t>
        </w:r>
      </w:hyperlink>
      <w:r>
        <w:t xml:space="preserve">.</w:t>
      </w:r>
    </w:p>
    <w:bookmarkEnd w:id="41"/>
    <w:bookmarkEnd w:id="42"/>
    <w:bookmarkEnd w:id="43"/>
    <w:sectPr w:rsidR="00752863" w:rsidRPr="00752863" w:rsidSect="003C73CD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6F42C1D"/>
    <w:multiLevelType w:val="multilevel"/>
    <w:tmpl w:val="45FC37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0BBEBA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3ACC0CC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5C74620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4C9A394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2C728B4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832479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044401467" w:numId="1">
    <w:abstractNumId w:val="1"/>
  </w:num>
  <w:num w16cid:durableId="684594278" w:numId="2">
    <w:abstractNumId w:val="0"/>
  </w:num>
  <w:num w16cid:durableId="2135755371" w:numId="3">
    <w:abstractNumId w:val="11"/>
  </w:num>
  <w:num w16cid:durableId="521864421" w:numId="4">
    <w:abstractNumId w:val="9"/>
  </w:num>
  <w:num w16cid:durableId="1294285200" w:numId="5">
    <w:abstractNumId w:val="8"/>
  </w:num>
  <w:num w16cid:durableId="1525821760" w:numId="6">
    <w:abstractNumId w:val="7"/>
  </w:num>
  <w:num w16cid:durableId="1834224836" w:numId="7">
    <w:abstractNumId w:val="6"/>
  </w:num>
  <w:num w16cid:durableId="672300852" w:numId="8">
    <w:abstractNumId w:val="10"/>
  </w:num>
  <w:num w16cid:durableId="708917550" w:numId="9">
    <w:abstractNumId w:val="5"/>
  </w:num>
  <w:num w16cid:durableId="1329821261" w:numId="10">
    <w:abstractNumId w:val="4"/>
  </w:num>
  <w:num w16cid:durableId="634485812" w:numId="11">
    <w:abstractNumId w:val="3"/>
  </w:num>
  <w:num w16cid:durableId="1296912930" w:numId="12">
    <w:abstractNumId w:val="2"/>
  </w:num>
  <w:num w16cid:durableId="1406682967"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8080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4000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7057"/>
    <w:pPr>
      <w:keepNext/>
      <w:keepLines/>
      <w:spacing w:after="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Normal"/>
    <w:link w:val="Heading8Char"/>
    <w:rsid w:val="00C8080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04FBE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D20E6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4000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747C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B04FBE"/>
    <w:rPr>
      <w:rFonts w:ascii="Times New Roman" w:hAnsi="Times New Roman"/>
    </w:rPr>
  </w:style>
  <w:style w:styleId="ListContinue" w:type="paragraph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styleId="ListParagraph" w:type="paragraph">
    <w:name w:val="List Paragraph"/>
    <w:basedOn w:val="Normal"/>
    <w:rsid w:val="007747C2"/>
    <w:pPr>
      <w:ind w:left="720"/>
      <w:contextualSpacing/>
    </w:pPr>
  </w:style>
  <w:style w:styleId="List" w:type="paragraph">
    <w:name w:val="List"/>
    <w:basedOn w:val="Normal"/>
    <w:semiHidden/>
    <w:unhideWhenUsed/>
    <w:rsid w:val="00BD3235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BD3235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BD3235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BD3235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BD3235"/>
    <w:pPr>
      <w:ind w:hanging="360" w:left="1800"/>
      <w:contextualSpacing/>
    </w:pPr>
  </w:style>
  <w:style w:styleId="Index1" w:type="paragraph">
    <w:name w:val="index 1"/>
    <w:basedOn w:val="Normal"/>
    <w:next w:val="Normal"/>
    <w:autoRedefine/>
    <w:rsid w:val="00C242C7"/>
    <w:pPr>
      <w:spacing w:after="0"/>
      <w:ind w:hanging="240" w:left="240"/>
    </w:pPr>
  </w:style>
  <w:style w:styleId="ListBullet" w:type="paragraph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styleId="ListBullet2" w:type="paragraph">
    <w:name w:val="List Bullet 2"/>
    <w:basedOn w:val="Normal"/>
    <w:rsid w:val="00C242C7"/>
    <w:pPr>
      <w:numPr>
        <w:numId w:val="4"/>
      </w:numPr>
      <w:contextualSpacing/>
    </w:pPr>
  </w:style>
  <w:style w:styleId="ListBullet3" w:type="paragraph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styleId="ListBullet4" w:type="paragraph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styleId="ListBullet5" w:type="paragraph">
    <w:name w:val="List Bullet 5"/>
    <w:basedOn w:val="Normal"/>
    <w:rsid w:val="008E7A52"/>
    <w:pPr>
      <w:numPr>
        <w:numId w:val="7"/>
      </w:numPr>
      <w:contextualSpacing/>
    </w:pPr>
  </w:style>
  <w:style w:customStyle="1" w:styleId="Heading8Char" w:type="character">
    <w:name w:val="Heading 8 Char"/>
    <w:basedOn w:val="DefaultParagraphFont"/>
    <w:link w:val="Heading8"/>
    <w:rsid w:val="00C8080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OC1" w:type="paragraph">
    <w:name w:val="toc 1"/>
    <w:basedOn w:val="Normal"/>
    <w:next w:val="Normal"/>
    <w:autoRedefine/>
    <w:semiHidden/>
    <w:unhideWhenUsed/>
    <w:rsid w:val="00C8080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styleId="TOC3" w:type="paragraph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styleId="Header" w:type="paragraph">
    <w:name w:val="header"/>
    <w:basedOn w:val="Normal"/>
    <w:link w:val="HeaderChar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C73CD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5" Target="https://doi.org/10.1007/bf02691700" TargetMode="External" /><Relationship Type="http://schemas.openxmlformats.org/officeDocument/2006/relationships/hyperlink" Id="rId40" Target="https://doi.org/10.1016/0304-3770(75)90016-9" TargetMode="External" /><Relationship Type="http://schemas.openxmlformats.org/officeDocument/2006/relationships/hyperlink" Id="rId37" Target="https://doi.org/10.2307/1932688" TargetMode="External" /><Relationship Type="http://schemas.openxmlformats.org/officeDocument/2006/relationships/hyperlink" Id="rId33" Target="https://drive.google.com/file/d/1sNp3FpjdeOjATZ9nDRRAiXEOqQen9W_p/view?usp=sharing" TargetMode="External" /><Relationship Type="http://schemas.openxmlformats.org/officeDocument/2006/relationships/hyperlink" Id="rId20" Target="mailto:mbeck@tbep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bf02691700" TargetMode="External" /><Relationship Type="http://schemas.openxmlformats.org/officeDocument/2006/relationships/hyperlink" Id="rId40" Target="https://doi.org/10.1016/0304-3770(75)90016-9" TargetMode="External" /><Relationship Type="http://schemas.openxmlformats.org/officeDocument/2006/relationships/hyperlink" Id="rId37" Target="https://doi.org/10.2307/1932688" TargetMode="External" /><Relationship Type="http://schemas.openxmlformats.org/officeDocument/2006/relationships/hyperlink" Id="rId33" Target="https://drive.google.com/file/d/1sNp3FpjdeOjATZ9nDRRAiXEOqQen9W_p/view?usp=sharing" TargetMode="External" /><Relationship Type="http://schemas.openxmlformats.org/officeDocument/2006/relationships/hyperlink" Id="rId20" Target="mailto:mbeck@tbe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Marcus W Beck1,✉</dc:creator>
  <cp:keywords/>
  <dcterms:created xsi:type="dcterms:W3CDTF">2023-08-14T19:15:03Z</dcterms:created>
  <dcterms:modified xsi:type="dcterms:W3CDTF">2023-08-14T19:15:03Z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biblio-config">
    <vt:lpwstr>True</vt:lpwstr>
  </property>
  <property fmtid="{D5CDD505-2E9C-101B-9397-08002B2CF9AE}" pid="4" name="bibliography">
    <vt:lpwstr>refs.bib</vt:lpwstr>
  </property>
  <property fmtid="{D5CDD505-2E9C-101B-9397-08002B2CF9AE}" pid="5" name="by-affiliation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institutes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