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2.png" ContentType="image/png"/>
  <Override PartName="/word/media/rId62.png" ContentType="image/png"/>
  <Override PartName="/word/media/rId46.png" ContentType="image/png"/>
  <Override PartName="/word/media/rId38.png" ContentType="image/png"/>
  <Override PartName="/word/media/rId50.png" ContentType="image/png"/>
  <Override PartName="/word/media/rId54.png" ContentType="image/png"/>
  <Override PartName="/word/media/rId34.png" ContentType="image/png"/>
  <Override PartName="/word/media/rId5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numPr>
          <w:ilvl w:val="0"/>
          <w:numId w:val="1001"/>
        </w:numPr>
        <w:pStyle w:val="Compact"/>
      </w:pPr>
      <w:r>
        <w:t xml:space="preserve">Importance of seagrass as foundation species</w:t>
      </w:r>
    </w:p>
    <w:p>
      <w:pPr>
        <w:numPr>
          <w:ilvl w:val="0"/>
          <w:numId w:val="1001"/>
        </w:numPr>
        <w:pStyle w:val="Compact"/>
      </w:pPr>
      <w:r>
        <w:t xml:space="preserve">Tampa Bay context</w:t>
      </w:r>
    </w:p>
    <w:p>
      <w:pPr>
        <w:numPr>
          <w:ilvl w:val="0"/>
          <w:numId w:val="1001"/>
        </w:numPr>
        <w:pStyle w:val="Compact"/>
      </w:pPr>
      <w:r>
        <w:t xml:space="preserve">Climate change stressors</w:t>
      </w:r>
    </w:p>
    <w:p>
      <w:pPr>
        <w:numPr>
          <w:ilvl w:val="0"/>
          <w:numId w:val="1001"/>
        </w:numPr>
        <w:pStyle w:val="Compact"/>
      </w:pPr>
      <w:r>
        <w:t xml:space="preserve">Goals/objectives</w:t>
      </w:r>
    </w:p>
    <w:p>
      <w:pPr>
        <w:numPr>
          <w:ilvl w:val="1"/>
          <w:numId w:val="1002"/>
        </w:numPr>
        <w:pStyle w:val="Compact"/>
      </w:pPr>
      <w:r>
        <w:t xml:space="preserve">Describe</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30"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one of the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temperate and tropical boundary of central Florida characterized by warm, humid conditions and a distinct rainy season during the summer months. The watershed is heavily developed and includes over 3 million people with 42% of the land as urban or suburban contributing substantial inputs of wastewater and stormwater runoff that can stress bay resources</w:t>
      </w:r>
      <w:r>
        <w:t xml:space="preserve"> </w:t>
      </w:r>
      <w:r>
        <w:t xml:space="preserve">(M. W. 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M. W. Beck, Altieri, et al. 2022)</w:t>
      </w:r>
      <w:r>
        <w:t xml:space="preserve">. Important subtidal habitats include seagrasses, hard bottom, tidal flats, and oyster reefs, where a majority of management effort has focused on restoring and maintaining seagrass cover</w:t>
      </w:r>
      <w:r>
        <w:t xml:space="preserve"> </w:t>
      </w:r>
      <w:r>
        <w:t xml:space="preserve">(E. T. Sherwood et al. 2017)</w:t>
      </w:r>
      <w:r>
        <w:t xml:space="preserve">. Additional native habitats include intertidal wetlands (mangroves, salt marshes, salt barriers)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M. W.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Old Tampa Bay and Hillsborough Bay have historically had the most degraded water quality conditions primarily from nutrient inputs from wastewater and stormwater</w:t>
      </w:r>
      <w:r>
        <w:t xml:space="preserve"> </w:t>
      </w:r>
      <w:r>
        <w:t xml:space="preserve">(H. 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(E. Sherwood et al. 2015; M.E. Luther, S.D.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(Cary B. 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(H. 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a successful management paradigm through the National Estuary Program</w:t>
      </w:r>
      <w:r>
        <w:t xml:space="preserve"> </w:t>
      </w:r>
      <w:r>
        <w:t xml:space="preserve">(Holly Greening and Janicki 2006; H. Greening et al. 2014; E. T. Sherwood et al. 2017)</w:t>
      </w:r>
      <w:r>
        <w:t xml:space="preserve">. From 1988 to 2016, seagrasses increased 79% to a total areal cover of 41,655 acres (16,857 ha), surpassing the goal of restoring coverage to 95% of that which occurred in 1950 (Figure</w:t>
      </w:r>
      <w:r>
        <w:t xml:space="preserve"> </w:t>
      </w:r>
      <w:hyperlink w:anchor="fig-seagrasschg">
        <w:r>
          <w:rPr>
            <w:rStyle w:val="Hyperlink"/>
          </w:rPr>
          <w:t xml:space="preserve">1</w:t>
        </w:r>
      </w:hyperlink>
      <w:r>
        <w:t xml:space="preserve">a). Throughout this same period, nitrogen load estimates decreased by about 2/3 from their peak estimated in the mid-1970s as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(H. Greening et al. 2014; M. W. Beck et al. 2019)</w:t>
      </w:r>
      <w:r>
        <w:t xml:space="preserve">. These reductions in nutrient loadings resulted in largescale reductions in chlorophyll concentrations and light attenuation in the water column, creating favorable environments for seagrass growth. The most dramatic improvements in seagrass cover were observed in Old Tampa Bay where coverage increased by 122% or 4,465 acres (2,477 ha) to a total of 11,247 acres (4,511 ha) from 1988 estimates.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water quality conditions remaining relatively stable (Figure</w:t>
      </w:r>
      <w:r>
        <w:t xml:space="preserve"> </w:t>
      </w:r>
      <w:hyperlink w:anchor="fig-seagrasschg">
        <w:r>
          <w:rPr>
            <w:rStyle w:val="Hyperlink"/>
          </w:rPr>
          <w:t xml:space="preserve">1</w:t>
        </w:r>
      </w:hyperlink>
      <w:r>
        <w:t xml:space="preserve">a). Total cover in Tampa Bay has decreased by 28% from the 2016 peak by 11,518 acres (4,661 ha) to ta total of 30,137 acres (12,196 ha). Losses have been most pronounced in Old Tampa Bay (62%; 6,963acres/2,818 ha loss) and Hillsborough Bay (80%; 1,599acres/647 ha loss). The current estimate for Old Tampa Bay of 4,183 acres (1,693 ha) is the lowest ever recorded in that bay segment since mapping efforts began in the 1980s. Similarly, coverage in Middle Tampa Bay decreased by 20% (1,926 acres/779 ha loss). Coverage in Lower Tampa Bay has remained stable, with only a 2% loss that is likely within the mapping error for the coverage estimates.</w:t>
      </w:r>
    </w:p>
    <w:bookmarkEnd w:id="24"/>
    <w:bookmarkStart w:id="26"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 [e.g.,</w:t>
      </w:r>
      <w:r>
        <w:t xml:space="preserve"> </w:t>
      </w:r>
      <w:r>
        <w:t xml:space="preserve">Southwest Florida Water Management District (2023)</w:t>
      </w:r>
      <w:r>
        <w:t xml:space="preserve">]. These maps are created by photointerpretation of aerial images obtained at the end of the growing season, typically during November-December. The TBEP has used these maps to track progress towards achieving seagrass restoration goals as total cover in Tampa Bay. No species information is provided. A more detailed, but spatially-specific, data source is the Tampa Bay Interagency Seagrass Monitoring Program (Figure [-</w:t>
      </w:r>
      <w:hyperlink w:anchor="fig-seagrasschg">
        <w:r>
          <w:rPr>
            <w:rStyle w:val="Hyperlink"/>
          </w:rPr>
          <w:t xml:space="preserve">Figure 1</w:t>
        </w:r>
      </w:hyperlink>
      <w:r>
        <w:t xml:space="preserve">]b,</w:t>
      </w:r>
      <w:r>
        <w:t xml:space="preserve"> </w:t>
      </w:r>
      <w:hyperlink r:id="rId25">
        <w:r>
          <w:rPr>
            <w:rStyle w:val="Hyperlink"/>
          </w:rPr>
          <w:t xml:space="preserve">https://tampabay.wateratlas.usf.edu/seagrass-monitoring/</w:t>
        </w:r>
      </w:hyperlink>
      <w:r>
        <w:t xml:space="preserve">). Annual transect surveys have been conducted since 1998 at 61 fixed locations in Tampa Bay, many of which were chosen to target seagrass beds of interest</w:t>
      </w:r>
      <w:r>
        <w:t xml:space="preserve"> </w:t>
      </w:r>
      <w:r>
        <w:t xml:space="preserve">(Johansson 2016; E. T. Sherwood et al. 2017)</w:t>
      </w:r>
      <w:r>
        <w:t xml:space="preserve">. This dataset provides species information, including abundance, cover, frequency occurrence, and condition, collected at fixed meter marks along a transect extending from the shoreline to the deepwater edge of the seagrass bed. Although the areal maps provide the standard for assessment of restoration goals, the transect data allow for inter-annual comparison at greater temporal resolution, particularly for the recent period of interest when seagrasses have declined. As such, the transect data were used below for comparison with temperature and salinity changes for the major bay segments. Other sources of seagrass data are described in the next section.</w:t>
      </w:r>
    </w:p>
    <w:bookmarkEnd w:id="26"/>
    <w:bookmarkStart w:id="27"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These data provide the basis for regulatory assessments and compliance reporting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for physical parameters (e.g., salinity, temperature), where the latter includes measurements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(M. 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where unique sites are sampled each month. We used data from the 21.3 meter center-bag nearshore seine that specifically targets shallow habitats where seagrasses are predominantly found in Tampa Bay and includes the longest consistent sampling protocol (1996 to present).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Sites with greater than 50% cover of seagrass were identified as</w:t>
      </w:r>
      <w:r>
        <w:t xml:space="preserve"> </w:t>
      </w:r>
      <w:r>
        <w:t xml:space="preserve">“</w:t>
      </w:r>
      <w:r>
        <w:t xml:space="preserve">seagrass</w:t>
      </w:r>
      <w:r>
        <w:t xml:space="preserve">”</w:t>
      </w:r>
      <w:r>
        <w:t xml:space="preserve"> </w:t>
      </w:r>
      <w:r>
        <w:t xml:space="preserve">sites and those less than 50% or bare sediment were identified as</w:t>
      </w:r>
      <w:r>
        <w:t xml:space="preserve"> </w:t>
      </w:r>
      <w:r>
        <w:t xml:space="preserve">“</w:t>
      </w:r>
      <w:r>
        <w:t xml:space="preserve">no seagrass</w:t>
      </w:r>
      <w:r>
        <w:t xml:space="preserve">”</w:t>
      </w:r>
      <w:r>
        <w:t xml:space="preserve"> </w:t>
      </w:r>
      <w:r>
        <w:t xml:space="preserve">sites for comparison with temperature and salinity measurements. Sites exclusively with macroalgae were not included in the analysis. All FIM data from FWC staff by request.</w:t>
      </w:r>
    </w:p>
    <w:p>
      <w:pPr>
        <w:pStyle w:val="BodyText"/>
      </w:pPr>
      <w:r>
        <w:t xml:space="preserve">The third and final dataset evaluated was from the Pinellas County Department of Environmental Management (PCDEM). Surface waters in Pinellas county have been monitored since the 1990s, although a consistent stratified random sampling designed has been used in Tampa Bay since 2003 primarily to support robust statistical assessments for NPDES reporting. Data were obtained by recquest to PCDEM staff for the western portion of Old Tampa Bay where sampling occurs from 2003 to present (also available at &lt;https://wateratlas.usf.edu/&gt;). We focused primarily on OTB for the analysis of the PCDEM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Seagrass presence/absence is also recored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7"/>
    <w:bookmarkStart w:id="28"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by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Slack, and Smith 1982; Millard 2013)</w:t>
      </w:r>
      <w:r>
        <w:t xml:space="preserve">. The change per year was also evaluated for each parameter based on the slope estimates returned by each test. Kendall tests were also used to evaluate changes over time for each month to determine when the trends more most pronounced seasonally, e.g., all January estimates across years, all February estimates, etc. The percentage of stations in each bay segment with significant increasing temperature or decreasing salinity trends were evaluated for each month. All tests evaluated both surface and bottom measurements to assess potential differences by water depth.</w:t>
      </w:r>
    </w:p>
    <w:bookmarkEnd w:id="28"/>
    <w:bookmarkStart w:id="29" w:name="links-to-seagrass"/>
    <w:p>
      <w:pPr>
        <w:pStyle w:val="Heading3"/>
      </w:pPr>
      <w:r>
        <w:t xml:space="preserve">2.6 Links to seagrass</w:t>
      </w:r>
    </w:p>
    <w:p>
      <w:pPr>
        <w:pStyle w:val="FirstParagraph"/>
      </w:pPr>
      <w:r>
        <w:t xml:space="preserve">The second goal of the analysis was to evaluate if seagrass changes were linked to long-term changes in water temparerature and salinity, with particular attention on the time periods before and after 2016 (pre/post recovery). The conceptual model for evaluating these changes follows simple niche space theory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 a range of values (e.g., minimum and maximum temperatures where a species is typically observed), where reduced growth or mortality is observed outside of these ranges. Because both water temperature and salinity are evaluated herein, the same model can be conceptualized in two-dimensional space</w:t>
      </w:r>
      <w:r>
        <w:t xml:space="preserve"> </w:t>
      </w:r>
      <w:hyperlink w:anchor="fig-concept">
        <w:r>
          <w:rPr>
            <w:rStyle w:val="Hyperlink"/>
          </w:rPr>
          <w:t xml:space="preserve">Figure 3</w:t>
        </w:r>
      </w:hyperlink>
      <w:r>
        <w:t xml:space="preserve">. Seagrass growth can be limited when temperature is below or above the optimum range, when salinity is below or above the optimum, or when both temperature and salinity conditions are outside of the optimum range. Using this conceptual model, we can evaluate whether seagrasses are individually stressed by either temperature or salinity, or whether seagrasses are jointly stressed by both temperature and salinity. Based on the results of the trend tests, we hypothesized that seagrasses are likely stressed by both high temperature and low salinity. The statistical models described below were constructed specifically to assess these hypotheses following the conceptual model in</w:t>
      </w:r>
      <w:r>
        <w:t xml:space="preserve"> </w:t>
      </w:r>
      <w:hyperlink w:anchor="fig-concept">
        <w:r>
          <w:rPr>
            <w:rStyle w:val="Hyperlink"/>
          </w:rPr>
          <w:t xml:space="preserve">Figure 3</w:t>
        </w:r>
      </w:hyperlink>
      <w:r>
        <w:t xml:space="preserve">. Of course, the optimal niche space can be defined in n-dimensions, but we focus on water temperature and salinity given that other dominant forcing factors, i.e., light availability, have generally not been limiting for growth in recent years.</w:t>
      </w:r>
    </w:p>
    <w:p>
      <w:pPr>
        <w:pStyle w:val="BodyText"/>
      </w:pPr>
      <w:r>
        <w:t xml:space="preserve">A fundamental challenge in describing niche space is identifying the boundaries within which the space occurs. In reality, the boundaries are typically not discrete and organisms can be found outside of these ranges, although at reduced abundances. Regardless, discrete limits are often used and substantial efforts have been made to identify these boundaries for seagrasses. In Tampa Bay, three dominant seagrass species are observed that include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testudinium</w:t>
      </w:r>
      <w:r>
        <w:t xml:space="preserve"> </w:t>
      </w:r>
      <w:r>
        <w:t xml:space="preserve">(turtle grass)</w:t>
      </w:r>
      <w:r>
        <w:t xml:space="preserve"> </w:t>
      </w:r>
      <w:r>
        <w:t xml:space="preserve">(Lewis III et al. 1985)</w:t>
      </w:r>
      <w:r>
        <w:t xml:space="preserve">. These species co-occur often in mixed beds, although differences in abundance are observed across salinity ranges. Shoal grass is tolerant of a wide range of salinity</w:t>
      </w:r>
      <w:r>
        <w:t xml:space="preserve"> </w:t>
      </w:r>
      <w:r>
        <w:t xml:space="preserve">(Lirman and Cropper 2003)</w:t>
      </w:r>
      <w:r>
        <w:t xml:space="preserve">, but is more abundant in oligohaline portions of Tampa Bay. Conversely, turtle grass is most often found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both describe the potential for stress and how it may be related to changes in seagrass. Distinctions were not made between species, primarily due to lack of consensus between studies and the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 in the EPC data. To quantify daily counts each year, a continuous prediction of temperature or stress over time was estimated using Generalized Additive Models (GAMs) fit to the response variable and a single predictor for decimal year. The smoothing spline for decimal year had sufficient knots to capture the seasonal signal within each year and the long-term inter-annual trends</w:t>
      </w:r>
      <w:r>
        <w:t xml:space="preserve"> </w:t>
      </w:r>
      <w:r>
        <w:t xml:space="preserve">(M. W. Beck, Valpine, et al. 2022)</w:t>
      </w:r>
      <w:r>
        <w:t xml:space="preserve">. Model fit for each station was sufficient to calculate daily predictions for assessing the stressor metrics (see supplement, R</w:t>
      </w:r>
      <m:oMath>
        <m:sSup>
          <m:e>
            <m:r>
              <m:t>​</m:t>
            </m:r>
          </m:e>
          <m:sup>
            <m:r>
              <m:t>2</m:t>
            </m:r>
          </m:sup>
        </m:sSup>
      </m:oMath>
      <w:r>
        <w:t xml:space="preserve"> </w:t>
      </w:r>
      <w:r>
        <w:t xml:space="preserve">ranged from 0.85 to 0.95 for temperature models, 0.71 to 0.96 for salinity models).</w:t>
      </w:r>
    </w:p>
    <w:p>
      <w:pPr>
        <w:pStyle w:val="BodyText"/>
      </w:pPr>
      <w:r>
        <w:t xml:space="preserve">Counts of the maximum number of days each year that temperature was above or salinity was below a thresold were obtained from the GAMs. This was done at each of 45 stations in the EPC data using temperature thresholds of 29, 30, and 31</w:t>
      </w:r>
      <m:oMath>
        <m:sSup>
          <m:e>
            <m:r>
              <m:t>​</m:t>
            </m:r>
          </m:e>
          <m:sup>
            <m:r>
              <m:rPr>
                <m:sty m:val="p"/>
              </m:rPr>
              <m:t>∘</m:t>
            </m:r>
          </m:sup>
        </m:sSup>
      </m:oMath>
      <w:r>
        <w:t xml:space="preserve"> </w:t>
      </w:r>
      <w:r>
        <w:t xml:space="preserve">C and salinity thresholds of 15, 20, and 25 ppt.</w:t>
      </w:r>
    </w:p>
    <w:p>
      <w:pPr>
        <w:pStyle w:val="BodyText"/>
      </w:pPr>
      <w:r>
        <w:t xml:space="preserve">All models excluded Lower Tampa Bay because of minimal seagrass change over time. Evaluated total fo, percent change between years, and</w:t>
      </w:r>
    </w:p>
    <w:p>
      <w:pPr>
        <w:pStyle w:val="BodyText"/>
      </w:pPr>
      <w:r>
        <w:t xml:space="preserve">GLMs of percent change each year by Sal, Temp, with year and bay segment interactions. Attempted different windows of time from approximate seagrass sample date, 30 days to one year. The best model was one that included an effect of Salinity and an interaction with bay segment. Hillsborough Bay showed a strong response of increasing likelihood of seagrass loss with number of days when salinity was below the threshold.</w:t>
      </w:r>
    </w:p>
    <w:p>
      <w:pPr>
        <w:pStyle w:val="BodyText"/>
      </w:pPr>
      <w:r>
        <w:t xml:space="preserve">Then GAMs were evaluated looking at total by Salinity, with interaction of year and bay segment. Also created a model looking at percent change vs Temp and year/bay segment interaction.</w:t>
      </w:r>
    </w:p>
    <w:p>
      <w:pPr>
        <w:pStyle w:val="BodyText"/>
      </w:pPr>
      <w:r>
        <w:t xml:space="preserve">Show plots of both the glm and gams.</w:t>
      </w:r>
    </w:p>
    <w:bookmarkEnd w:id="29"/>
    <w:bookmarkEnd w:id="30"/>
    <w:bookmarkStart w:id="31" w:name="results"/>
    <w:p>
      <w:pPr>
        <w:pStyle w:val="Heading2"/>
      </w:pPr>
      <w:r>
        <w:t xml:space="preserve">3 Results</w:t>
      </w:r>
    </w:p>
    <w:p>
      <w:pPr>
        <w:pStyle w:val="FirstParagraph"/>
      </w:pPr>
      <w:r>
        <w:t xml:space="preserve">For</w:t>
      </w:r>
      <w:r>
        <w:t xml:space="preserve"> </w:t>
      </w:r>
      <w:hyperlink w:anchor="fig-meteowqraw">
        <w:r>
          <w:rPr>
            <w:rStyle w:val="Hyperlink"/>
          </w:rPr>
          <w:t xml:space="preserve">Figure 2</w:t>
        </w:r>
      </w:hyperlink>
      <w:r>
        <w:t xml:space="preserve">, salinity shows much higher inter-annual variability, but lower intra-year variation among stations. Trends are similar for bottom vs top, temperature shows stronger trend than salinity.</w:t>
      </w:r>
    </w:p>
    <w:p>
      <w:pPr>
        <w:pStyle w:val="BodyText"/>
      </w:pPr>
      <w:r>
        <w:t xml:space="preserve">Kendall test results are shown in</w:t>
      </w:r>
      <w:r>
        <w:t xml:space="preserve"> </w:t>
      </w:r>
      <w:hyperlink w:anchor="fig-kendall">
        <w:r>
          <w:rPr>
            <w:rStyle w:val="Hyperlink"/>
          </w:rPr>
          <w:t xml:space="preserve">Figure 4</w:t>
        </w:r>
      </w:hyperlink>
      <w:r>
        <w:t xml:space="preserve">.</w:t>
      </w:r>
    </w:p>
    <w:p>
      <w:pPr>
        <w:pStyle w:val="BodyText"/>
      </w:pPr>
      <w:r>
        <w:t xml:space="preserve">An example of mixed effects models for two selected thresholds is shown in</w:t>
      </w:r>
      <w:r>
        <w:t xml:space="preserve"> </w:t>
      </w:r>
      <w:hyperlink w:anchor="fig-mixeff">
        <w:r>
          <w:rPr>
            <w:rStyle w:val="Hyperlink"/>
          </w:rPr>
          <w:t xml:space="preserve">Figure 5</w:t>
        </w:r>
      </w:hyperlink>
      <w:r>
        <w:t xml:space="preserve">.</w:t>
      </w:r>
    </w:p>
    <w:p>
      <w:pPr>
        <w:pStyle w:val="BodyText"/>
      </w:pPr>
      <m:oMathPara>
        <m:oMathParaPr>
          <m:jc m:val="center"/>
        </m:oMathParaPr>
        <m:oMath>
          <m:sSub>
            <m:e>
              <m:r>
                <m:t>Y</m:t>
              </m:r>
            </m:e>
            <m:sub>
              <m:r>
                <m:t>i</m:t>
              </m:r>
              <m:r>
                <m:t>j</m:t>
              </m:r>
            </m:sub>
          </m:sSub>
          <m:r>
            <m:rPr>
              <m:sty m:val="p"/>
            </m:rPr>
            <m:t>=</m:t>
          </m:r>
          <m:sSub>
            <m:e>
              <m:r>
                <m:t>β</m:t>
              </m:r>
            </m:e>
            <m:sub>
              <m:r>
                <m:t>0</m:t>
              </m:r>
            </m:sub>
          </m:sSub>
          <m:r>
            <m:rPr>
              <m:sty m:val="p"/>
            </m:rPr>
            <m:t>+</m:t>
          </m:r>
          <m:sSub>
            <m:e>
              <m:r>
                <m:t>β</m:t>
              </m:r>
            </m:e>
            <m:sub>
              <m:r>
                <m:t>1</m:t>
              </m:r>
            </m:sub>
          </m:sSub>
          <m:sSub>
            <m:e>
              <m:r>
                <m:t>X</m:t>
              </m:r>
            </m:e>
            <m:sub>
              <m:r>
                <m:t>i</m:t>
              </m:r>
              <m:r>
                <m:t>j</m:t>
              </m:r>
            </m:sub>
          </m:sSub>
          <m:r>
            <m:rPr>
              <m:sty m:val="p"/>
            </m:rPr>
            <m:t>+</m:t>
          </m:r>
          <m:sSub>
            <m:e>
              <m:r>
                <m:t>u</m:t>
              </m:r>
            </m:e>
            <m:sub>
              <m:r>
                <m:t>i</m:t>
              </m:r>
            </m:sub>
          </m:sSub>
          <m:r>
            <m:rPr>
              <m:sty m:val="p"/>
            </m:rPr>
            <m:t>+</m:t>
          </m:r>
          <m:sSub>
            <m:e>
              <m:r>
                <m:t>ϵ</m:t>
              </m:r>
            </m:e>
            <m:sub>
              <m:r>
                <m:t>i</m:t>
              </m:r>
              <m:r>
                <m:t>j</m:t>
              </m:r>
            </m:sub>
          </m:sSub>
        </m:oMath>
      </m:oMathPara>
    </w:p>
    <w:p>
      <w:pPr>
        <w:pStyle w:val="FirstParagraph"/>
      </w:pPr>
      <w:r>
        <w:t xml:space="preserve">NMS results in</w:t>
      </w:r>
      <w:r>
        <w:t xml:space="preserve"> </w:t>
      </w:r>
      <w:hyperlink w:anchor="fig-nms">
        <w:r>
          <w:rPr>
            <w:rStyle w:val="Hyperlink"/>
          </w:rPr>
          <w:t xml:space="preserve">Figure 6</w:t>
        </w:r>
      </w:hyperlink>
      <w:r>
        <w:t xml:space="preserve"> </w:t>
      </w:r>
      <w:r>
        <w:t xml:space="preserve">and seagrass decline results in</w:t>
      </w:r>
      <w:r>
        <w:t xml:space="preserve"> </w:t>
      </w:r>
      <w:hyperlink w:anchor="fig-sgmod">
        <w:r>
          <w:rPr>
            <w:rStyle w:val="Hyperlink"/>
          </w:rPr>
          <w:t xml:space="preserve">Figure 7</w:t>
        </w:r>
      </w:hyperlink>
    </w:p>
    <w:bookmarkEnd w:id="31"/>
    <w:bookmarkStart w:id="32" w:name="discussion"/>
    <w:p>
      <w:pPr>
        <w:pStyle w:val="Heading2"/>
      </w:pPr>
      <w:r>
        <w:t xml:space="preserve">4 Discussion</w:t>
      </w:r>
    </w:p>
    <w:p>
      <w:pPr>
        <w:pStyle w:val="FirstParagraph"/>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Role of additional stressors and why they weren’t considered in the model - they’re important but we can also demonstrate that light attenuation has been relatively stable over time, so may not be important to include in the models.</w:t>
      </w:r>
    </w:p>
    <w:p>
      <w:pPr>
        <w:pStyle w:val="BodyText"/>
      </w:pPr>
      <w:r>
        <w:t xml:space="preserve">Issues with thresholds, not definitive and those likely to stress seagrass are potentially not occurring at frequencies sufficient enough to model. Those used herein were chosen statistically. Point is that the temp and sal trends are in a direction such that thresholds that are more likely to stress seagrass are more likely to occur in the future.</w:t>
      </w:r>
    </w:p>
    <w:p>
      <w:pPr>
        <w:pStyle w:val="BodyText"/>
      </w:pPr>
      <w:r>
        <w:t xml:space="preserve">Case for continuous monitoring</w:t>
      </w:r>
    </w:p>
    <w:p>
      <w:pPr>
        <w:pStyle w:val="BodyText"/>
      </w:pPr>
      <w:r>
        <w:t xml:space="preserve">Are we just showing seagrasses are not present because of temperature limitations or if temperature indeed caused a reduction?</w:t>
      </w:r>
    </w:p>
    <w:p>
      <w:pPr>
        <w:pStyle w:val="BodyText"/>
      </w:pPr>
      <w:r>
        <w:t xml:space="preserve">Manamagement implication - we can’t do much to control temp and salinity, but we can temper expectations for how to manage the bay. Adaptive capacity/resiliency is likely decreasing because of these</w:t>
      </w:r>
      <w:r>
        <w:t xml:space="preserve"> </w:t>
      </w:r>
      <w:r>
        <w:t xml:space="preserve">“</w:t>
      </w:r>
      <w:r>
        <w:t xml:space="preserve">co-morbidities</w:t>
      </w:r>
      <w:r>
        <w:t xml:space="preserve">”</w:t>
      </w:r>
      <w:r>
        <w:t xml:space="preserve">, so we have to temper expectations for other stressors that we can control.</w:t>
      </w:r>
    </w:p>
    <w:p>
      <w:pPr>
        <w:pStyle w:val="BodyText"/>
      </w:pPr>
      <w:r>
        <w:t xml:space="preserve">OTB is likely at a tipping point…</w:t>
      </w:r>
    </w:p>
    <w:p>
      <w:pPr>
        <w:pStyle w:val="BodyText"/>
      </w:pPr>
      <w:r>
        <w:t xml:space="preserve">Alternative nutrient pathways and role of macroalgae, competition for resources, shading, etc.</w:t>
      </w:r>
    </w:p>
    <w:p>
      <w:pPr>
        <w:pStyle w:val="BodyText"/>
      </w:pPr>
      <w:r>
        <w:t xml:space="preserve">OTB seagrass loss and role of pyrodinium, optimal temperatures from 28-31</w:t>
      </w:r>
      <w:r>
        <w:t xml:space="preserve"> </w:t>
      </w:r>
      <w:r>
        <w:t xml:space="preserve">(Cary B. 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Cary B. Lopez et al. 2021)</w:t>
      </w:r>
      <w:r>
        <w:t xml:space="preserve">. Optimal salinity range between 20-32 psu</w:t>
      </w:r>
      <w:r>
        <w:t xml:space="preserve"> </w:t>
      </w:r>
      <w:r>
        <w:t xml:space="preserve">(Cary B. Lopez et al. 2021)</w:t>
      </w:r>
      <w:r>
        <w:t xml:space="preserve">.</w:t>
      </w:r>
    </w:p>
    <w:bookmarkEnd w:id="32"/>
    <w:bookmarkStart w:id="33" w:name="acknowledgments"/>
    <w:p>
      <w:pPr>
        <w:pStyle w:val="Heading2"/>
      </w:pPr>
      <w:r>
        <w:t xml:space="preserve">5 Acknowledgments</w:t>
      </w:r>
    </w:p>
    <w:bookmarkEnd w:id="33"/>
    <w:bookmarkStart w:id="66"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37" w:name="fig-seagrasschg"/>
          <w:p>
            <w:pPr>
              <w:pStyle w:val="Figure"/>
              <w:jc w:val="center"/>
            </w:pPr>
            <w:r>
              <w:drawing>
                <wp:inline>
                  <wp:extent cx="5943600" cy="4457699"/>
                  <wp:effectExtent b="0" l="0" r="0" t="0"/>
                  <wp:docPr descr="" title="" id="35" name="Picture"/>
                  <a:graphic>
                    <a:graphicData uri="http://schemas.openxmlformats.org/drawingml/2006/picture">
                      <pic:pic>
                        <pic:nvPicPr>
                          <pic:cNvPr descr="figs/seagrasschg.png" id="36" name="Picture"/>
                          <pic:cNvPicPr>
                            <a:picLocks noChangeArrowheads="1" noChangeAspect="1"/>
                          </pic:cNvPicPr>
                        </pic:nvPicPr>
                        <pic:blipFill>
                          <a:blip r:embed="rId34"/>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37"/>
        </w:tc>
      </w:tr>
    </w:tbl>
    <w:p>
      <w:r>
        <w:br w:type="page"/>
      </w:r>
    </w:p>
    <w:tbl>
      <w:tblPr>
        <w:tblStyle w:val="Table"/>
        <w:tblW w:type="pct" w:w="5000"/>
        <w:tblLook w:firstRow="0" w:lastRow="0" w:firstColumn="0" w:lastColumn="0" w:noHBand="0" w:noVBand="0" w:val="0000"/>
      </w:tblPr>
      <w:tblGrid>
        <w:gridCol w:w="7920"/>
      </w:tblGrid>
      <w:tr>
        <w:tc>
          <w:tcPr/>
          <w:bookmarkStart w:id="41" w:name="fig-meteowqraw"/>
          <w:p>
            <w:pPr>
              <w:pStyle w:val="Figure"/>
              <w:jc w:val="center"/>
            </w:pPr>
            <w:r>
              <w:drawing>
                <wp:inline>
                  <wp:extent cx="5943600" cy="7217228"/>
                  <wp:effectExtent b="0" l="0" r="0" t="0"/>
                  <wp:docPr descr="" title="" id="39" name="Picture"/>
                  <a:graphic>
                    <a:graphicData uri="http://schemas.openxmlformats.org/drawingml/2006/picture">
                      <pic:pic>
                        <pic:nvPicPr>
                          <pic:cNvPr descr="figs/meteowqraw.png" id="40" name="Picture"/>
                          <pic:cNvPicPr>
                            <a:picLocks noChangeArrowheads="1" noChangeAspect="1"/>
                          </pic:cNvPicPr>
                        </pic:nvPicPr>
                        <pic:blipFill>
                          <a:blip r:embed="rId38"/>
                          <a:stretch>
                            <a:fillRect/>
                          </a:stretch>
                        </pic:blipFill>
                        <pic:spPr bwMode="auto">
                          <a:xfrm>
                            <a:off x="0" y="0"/>
                            <a:ext cx="5943600" cy="72172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41"/>
        </w:tc>
      </w:tr>
    </w:tbl>
    <w:p>
      <w:r>
        <w:br w:type="page"/>
      </w:r>
    </w:p>
    <w:tbl>
      <w:tblPr>
        <w:tblStyle w:val="Table"/>
        <w:tblW w:type="pct" w:w="5000"/>
        <w:tblLook w:firstRow="0" w:lastRow="0" w:firstColumn="0" w:lastColumn="0" w:noHBand="0" w:noVBand="0" w:val="0000"/>
      </w:tblPr>
      <w:tblGrid>
        <w:gridCol w:w="7920"/>
      </w:tblGrid>
      <w:tr>
        <w:tc>
          <w:tcPr/>
          <w:bookmarkStart w:id="45" w:name="fig-concept"/>
          <w:p>
            <w:pPr>
              <w:pStyle w:val="Figure"/>
              <w:jc w:val="center"/>
            </w:pPr>
            <w:r>
              <w:drawing>
                <wp:inline>
                  <wp:extent cx="4905519" cy="5002796"/>
                  <wp:effectExtent b="0" l="0" r="0" t="0"/>
                  <wp:docPr descr="" title="" id="43" name="Picture"/>
                  <a:graphic>
                    <a:graphicData uri="http://schemas.openxmlformats.org/drawingml/2006/picture">
                      <pic:pic>
                        <pic:nvPicPr>
                          <pic:cNvPr descr="figs/concept.png" id="44" name="Picture"/>
                          <pic:cNvPicPr>
                            <a:picLocks noChangeArrowheads="1" noChangeAspect="1"/>
                          </pic:cNvPicPr>
                        </pic:nvPicPr>
                        <pic:blipFill>
                          <a:blip r:embed="rId42"/>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45"/>
        </w:tc>
      </w:tr>
    </w:tbl>
    <w:p>
      <w:r>
        <w:br w:type="page"/>
      </w:r>
    </w:p>
    <w:tbl>
      <w:tblPr>
        <w:tblStyle w:val="Table"/>
        <w:tblW w:type="pct" w:w="5000"/>
        <w:tblLook w:firstRow="0" w:lastRow="0" w:firstColumn="0" w:lastColumn="0" w:noHBand="0" w:noVBand="0" w:val="0000"/>
      </w:tblPr>
      <w:tblGrid>
        <w:gridCol w:w="7920"/>
      </w:tblGrid>
      <w:tr>
        <w:tc>
          <w:tcPr/>
          <w:bookmarkStart w:id="49" w:name="fig-kendall"/>
          <w:p>
            <w:pPr>
              <w:pStyle w:val="Figure"/>
              <w:jc w:val="center"/>
            </w:pPr>
            <w:r>
              <w:drawing>
                <wp:inline>
                  <wp:extent cx="5943600" cy="4379494"/>
                  <wp:effectExtent b="0" l="0" r="0" t="0"/>
                  <wp:docPr descr="" title="" id="47" name="Picture"/>
                  <a:graphic>
                    <a:graphicData uri="http://schemas.openxmlformats.org/drawingml/2006/picture">
                      <pic:pic>
                        <pic:nvPicPr>
                          <pic:cNvPr descr="figs/kendall.png" id="48" name="Picture"/>
                          <pic:cNvPicPr>
                            <a:picLocks noChangeArrowheads="1" noChangeAspect="1"/>
                          </pic:cNvPicPr>
                        </pic:nvPicPr>
                        <pic:blipFill>
                          <a:blip r:embed="rId46"/>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49"/>
        </w:tc>
      </w:tr>
    </w:tbl>
    <w:p>
      <w:r>
        <w:br w:type="page"/>
      </w:r>
    </w:p>
    <w:tbl>
      <w:tblPr>
        <w:tblStyle w:val="Table"/>
        <w:tblW w:type="pct" w:w="5000"/>
        <w:tblLook w:firstRow="0" w:lastRow="0" w:firstColumn="0" w:lastColumn="0" w:noHBand="0" w:noVBand="0" w:val="0000"/>
      </w:tblPr>
      <w:tblGrid>
        <w:gridCol w:w="7920"/>
      </w:tblGrid>
      <w:tr>
        <w:tc>
          <w:tcPr/>
          <w:bookmarkStart w:id="53" w:name="fig-mixeff"/>
          <w:p>
            <w:pPr>
              <w:pStyle w:val="Figure"/>
              <w:jc w:val="center"/>
            </w:pPr>
            <w:r>
              <w:drawing>
                <wp:inline>
                  <wp:extent cx="5943600" cy="5094514"/>
                  <wp:effectExtent b="0" l="0" r="0" t="0"/>
                  <wp:docPr descr="" title="" id="51" name="Picture"/>
                  <a:graphic>
                    <a:graphicData uri="http://schemas.openxmlformats.org/drawingml/2006/picture">
                      <pic:pic>
                        <pic:nvPicPr>
                          <pic:cNvPr descr="figs/mixeff.png" id="52" name="Picture"/>
                          <pic:cNvPicPr>
                            <a:picLocks noChangeArrowheads="1" noChangeAspect="1"/>
                          </pic:cNvPicPr>
                        </pic:nvPicPr>
                        <pic:blipFill>
                          <a:blip r:embed="rId50"/>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53"/>
        </w:tc>
      </w:tr>
    </w:tbl>
    <w:p>
      <w:r>
        <w:br w:type="page"/>
      </w:r>
    </w:p>
    <w:tbl>
      <w:tblPr>
        <w:tblStyle w:val="Table"/>
        <w:tblW w:type="pct" w:w="5000"/>
        <w:tblLook w:firstRow="0" w:lastRow="0" w:firstColumn="0" w:lastColumn="0" w:noHBand="0" w:noVBand="0" w:val="0000"/>
      </w:tblPr>
      <w:tblGrid>
        <w:gridCol w:w="7920"/>
      </w:tblGrid>
      <w:tr>
        <w:tc>
          <w:tcPr/>
          <w:bookmarkStart w:id="57" w:name="fig-nms"/>
          <w:p>
            <w:pPr>
              <w:pStyle w:val="Figure"/>
              <w:jc w:val="center"/>
            </w:pPr>
            <w:r>
              <w:drawing>
                <wp:inline>
                  <wp:extent cx="5943600" cy="2641600"/>
                  <wp:effectExtent b="0" l="0" r="0" t="0"/>
                  <wp:docPr descr="" title="" id="55" name="Picture"/>
                  <a:graphic>
                    <a:graphicData uri="http://schemas.openxmlformats.org/drawingml/2006/picture">
                      <pic:pic>
                        <pic:nvPicPr>
                          <pic:cNvPr descr="figs/nms.png" id="56" name="Picture"/>
                          <pic:cNvPicPr>
                            <a:picLocks noChangeArrowheads="1" noChangeAspect="1"/>
                          </pic:cNvPicPr>
                        </pic:nvPicPr>
                        <pic:blipFill>
                          <a:blip r:embed="rId54"/>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Ordination plots of Nonmetric Multidimensional Scaling results for annual estimates in each bay segment for total seagrass frequency occurrence (Freq. Occ.), counts of days above the temperature threshold (Temp.), counts of days below the salinity threshold (Sal.), and counts of days above or below for both, respectively. The left plot excludes counts of days with both temperature and salinity above and below the threshods, whereas the right plot excludes the separate temperature and salinity metrics. Points are sized by seagrass frequency occurrence. 95% confidence ellipses are shown for observations in each major bay segment OTB: Old Tampa Bay, HB: Hillsborough Bay, MTB: Middle Tampa Bay.</w:t>
            </w:r>
          </w:p>
          <w:bookmarkEnd w:id="57"/>
        </w:tc>
      </w:tr>
    </w:tbl>
    <w:p>
      <w:r>
        <w:br w:type="page"/>
      </w:r>
    </w:p>
    <w:tbl>
      <w:tblPr>
        <w:tblStyle w:val="Table"/>
        <w:tblW w:type="pct" w:w="5000"/>
        <w:tblLook w:firstRow="0" w:lastRow="0" w:firstColumn="0" w:lastColumn="0" w:noHBand="0" w:noVBand="0" w:val="0000"/>
      </w:tblPr>
      <w:tblGrid>
        <w:gridCol w:w="7920"/>
      </w:tblGrid>
      <w:tr>
        <w:tc>
          <w:tcPr/>
          <w:bookmarkStart w:id="61" w:name="fig-sgmod"/>
          <w:p>
            <w:pPr>
              <w:pStyle w:val="Figure"/>
              <w:jc w:val="center"/>
            </w:pPr>
            <w:r>
              <w:drawing>
                <wp:inline>
                  <wp:extent cx="5943600" cy="4622800"/>
                  <wp:effectExtent b="0" l="0" r="0" t="0"/>
                  <wp:docPr descr="" title="" id="59" name="Picture"/>
                  <a:graphic>
                    <a:graphicData uri="http://schemas.openxmlformats.org/drawingml/2006/picture">
                      <pic:pic>
                        <pic:nvPicPr>
                          <pic:cNvPr descr="figs/sgmod.png" id="60" name="Picture"/>
                          <pic:cNvPicPr>
                            <a:picLocks noChangeArrowheads="1" noChangeAspect="1"/>
                          </pic:cNvPicPr>
                        </pic:nvPicPr>
                        <pic:blipFill>
                          <a:blip r:embed="rId58"/>
                          <a:stretch>
                            <a:fillRect/>
                          </a:stretch>
                        </pic:blipFill>
                        <pic:spPr bwMode="auto">
                          <a:xfrm>
                            <a:off x="0" y="0"/>
                            <a:ext cx="5943600" cy="462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decline as (a) percent change between years and (b) probability of decline versus number of days when salinity was below the threshold. Models evaluated the response variable on the y-axes as a function of salinity days and interactions with year category (seagrass recovery prior to 2016, seagrass decline 2016 to present) and bay segment. Shaded areas are 95% confidence intervals. Colored lines in (b) as rug plots show instances of seagrass increase (blue) or decrease (red) by year.</w:t>
            </w:r>
          </w:p>
          <w:bookmarkEnd w:id="61"/>
        </w:tc>
      </w:tr>
    </w:tbl>
    <w:p>
      <w:r>
        <w:br w:type="page"/>
      </w:r>
    </w:p>
    <w:tbl>
      <w:tblPr>
        <w:tblStyle w:val="Table"/>
        <w:tblW w:type="pct" w:w="5000"/>
        <w:tblLook w:firstRow="0" w:lastRow="0" w:firstColumn="0" w:lastColumn="0" w:noHBand="0" w:noVBand="0" w:val="0000"/>
      </w:tblPr>
      <w:tblGrid>
        <w:gridCol w:w="7920"/>
      </w:tblGrid>
      <w:tr>
        <w:tc>
          <w:tcPr/>
          <w:bookmarkStart w:id="65" w:name="fig-flowtemp"/>
          <w:p>
            <w:pPr>
              <w:pStyle w:val="Figure"/>
              <w:jc w:val="center"/>
            </w:pPr>
            <w:r>
              <w:drawing>
                <wp:inline>
                  <wp:extent cx="5495559" cy="3663706"/>
                  <wp:effectExtent b="0" l="0" r="0" t="0"/>
                  <wp:docPr descr="" title="" id="63" name="Picture"/>
                  <a:graphic>
                    <a:graphicData uri="http://schemas.openxmlformats.org/drawingml/2006/picture">
                      <pic:pic>
                        <pic:nvPicPr>
                          <pic:cNvPr descr="figs/flowtemp.png" id="64" name="Picture"/>
                          <pic:cNvPicPr>
                            <a:picLocks noChangeArrowheads="1" noChangeAspect="1"/>
                          </pic:cNvPicPr>
                        </pic:nvPicPr>
                        <pic:blipFill>
                          <a:blip r:embed="rId62"/>
                          <a:stretch>
                            <a:fillRect/>
                          </a:stretch>
                        </pic:blipFill>
                        <pic:spPr bwMode="auto">
                          <a:xfrm>
                            <a:off x="0" y="0"/>
                            <a:ext cx="5495559" cy="36637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Relationship between water temperature and discharge in the Hillsborough River (USGS gage 02303000) over time. The relationship is shown for February (dry month) and August (wet month) grouped by historic (1975-1999) and contemporary (2000-2022) time periods. Regression lines with 95% confidence intervals for each temporal grouping are shown.</w:t>
            </w:r>
          </w:p>
          <w:bookmarkEnd w:id="65"/>
        </w:tc>
      </w:tr>
    </w:tbl>
    <w:p>
      <w:r>
        <w:br w:type="page"/>
      </w:r>
    </w:p>
    <w:bookmarkEnd w:id="66"/>
    <w:bookmarkStart w:id="67" w:name="tables"/>
    <w:p>
      <w:pPr>
        <w:pStyle w:val="Heading2"/>
      </w:pPr>
      <w:r>
        <w:t xml:space="preserve">Tables</w:t>
      </w:r>
    </w:p>
    <w:p>
      <w:pPr>
        <w:pStyle w:val="FirstParagraph"/>
      </w:pPr>
      <w:r>
        <w:t xml:space="preserve">Summary of mixed-effects models evaluating increases in the number of days each year from 1975 to 2022 when temperature was above 30C, salinity was below 25ppt,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 (3.3)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219 (13.2)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(2.7)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 (4.8)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(11.8)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 (2.7)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 (3.1)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 (11)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 (1.7)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(3.5)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 (1.3)</w:t>
            </w:r>
          </w:p>
        </w:tc>
      </w:tr>
      <w:tr>
        <w:trPr>
          <w:trHeight w:val="360" w:hRule="auto"/>
        </w:trPr>
        body16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(0)</w:t>
            </w:r>
          </w:p>
        </w:tc>
      </w:tr>
    </w:tbl>
    <w:p>
      <w:r>
        <w:br w:type="page"/>
      </w:r>
    </w:p>
    <w:bookmarkEnd w:id="67"/>
    <w:bookmarkStart w:id="141" w:name="references"/>
    <w:p>
      <w:pPr>
        <w:pStyle w:val="Heading2"/>
      </w:pPr>
      <w:r>
        <w:t xml:space="preserve">References</w:t>
      </w:r>
    </w:p>
    <w:bookmarkStart w:id="140" w:name="refs"/>
    <w:bookmarkStart w:id="69" w:name="ref-beck2022"/>
    <w:p>
      <w:pPr>
        <w:pStyle w:val="Bibliography"/>
      </w:pPr>
      <w:r>
        <w:t xml:space="preserve">Beck, Marcus W., Andrew Altieri, Christine Angelini, Maya C. Burke, Jing Chen, Diana W. Chin, Jayne Gardiner, et al. 2022.</w:t>
      </w:r>
      <w:r>
        <w:t xml:space="preserve"> </w:t>
      </w:r>
      <w:r>
        <w:t xml:space="preserve">“Initial Estuarine Response to Inorganic Nutrient Inputs from a Legacy Mining Facility Adjacent to Tampa Bay, Florida.”</w:t>
      </w:r>
      <w:r>
        <w:t xml:space="preserve"> </w:t>
      </w:r>
      <w:r>
        <w:rPr>
          <w:iCs/>
          <w:i/>
        </w:rPr>
        <w:t xml:space="preserve">Marine Pollution Bulletin</w:t>
      </w:r>
      <w:r>
        <w:t xml:space="preserve"> </w:t>
      </w:r>
      <w:r>
        <w:t xml:space="preserve">178 (May): 113598.</w:t>
      </w:r>
      <w:r>
        <w:t xml:space="preserve"> </w:t>
      </w:r>
      <w:hyperlink r:id="rId68">
        <w:r>
          <w:rPr>
            <w:rStyle w:val="Hyperlink"/>
          </w:rPr>
          <w:t xml:space="preserve">https://doi.org/10.1016/j.marpolbul.2022.113598</w:t>
        </w:r>
      </w:hyperlink>
      <w:r>
        <w:t xml:space="preserve">.</w:t>
      </w:r>
    </w:p>
    <w:bookmarkEnd w:id="69"/>
    <w:bookmarkStart w:id="71" w:name="ref-beck2023"/>
    <w:p>
      <w:pPr>
        <w:pStyle w:val="Bibliography"/>
      </w:pPr>
      <w:r>
        <w:t xml:space="preserve">Beck, Marcus W., Douglas E. Robison, Gary E. Raulerson, Maya C. Burke, Justin Saarinen, Christine Sciarrino, Edward T. Sherwood, and David A. Tomasko. 2023.</w:t>
      </w:r>
      <w:r>
        <w:t xml:space="preserve"> </w:t>
      </w:r>
      <w:r>
        <w:t xml:space="preserve">“Addressing Climate Change and Development Pressures in an Urban Estuary Through Habitat Restoration Planning.”</w:t>
      </w:r>
      <w:r>
        <w:t xml:space="preserve"> </w:t>
      </w:r>
      <w:r>
        <w:rPr>
          <w:iCs/>
          <w:i/>
        </w:rPr>
        <w:t xml:space="preserve">Frontiers in Ecology and Evolution</w:t>
      </w:r>
      <w:r>
        <w:t xml:space="preserve"> </w:t>
      </w:r>
      <w:r>
        <w:t xml:space="preserve">11 (January).</w:t>
      </w:r>
      <w:r>
        <w:t xml:space="preserve"> </w:t>
      </w:r>
      <w:hyperlink r:id="rId70">
        <w:r>
          <w:rPr>
            <w:rStyle w:val="Hyperlink"/>
          </w:rPr>
          <w:t xml:space="preserve">https://doi.org/10.3389/fevo.2023.1070266</w:t>
        </w:r>
      </w:hyperlink>
      <w:r>
        <w:t xml:space="preserve">.</w:t>
      </w:r>
    </w:p>
    <w:bookmarkEnd w:id="71"/>
    <w:bookmarkStart w:id="73" w:name="ref-beck2019"/>
    <w:p>
      <w:pPr>
        <w:pStyle w:val="Bibliography"/>
      </w:pPr>
      <w:r>
        <w:t xml:space="preserve">Beck, Marcus W., Edward T. Sherwood, Jessica Renee Henkel, Kirsten Dorans, Kathryn Ireland, and Patricia Varela. 2019.</w:t>
      </w:r>
      <w:r>
        <w:t xml:space="preserve"> </w:t>
      </w:r>
      <w:r>
        <w:t xml:space="preserve">“Assessment of the Cumulative Effects of Restoration Activities on Water Quality in Tampa Bay, Florida.”</w:t>
      </w:r>
      <w:r>
        <w:t xml:space="preserve"> </w:t>
      </w:r>
      <w:r>
        <w:rPr>
          <w:iCs/>
          <w:i/>
        </w:rPr>
        <w:t xml:space="preserve">Estuaries and Coasts</w:t>
      </w:r>
      <w:r>
        <w:t xml:space="preserve"> </w:t>
      </w:r>
      <w:r>
        <w:t xml:space="preserve">42 (7): 1774–91.</w:t>
      </w:r>
      <w:r>
        <w:t xml:space="preserve"> </w:t>
      </w:r>
      <w:hyperlink r:id="rId72">
        <w:r>
          <w:rPr>
            <w:rStyle w:val="Hyperlink"/>
          </w:rPr>
          <w:t xml:space="preserve">https://doi.org/10.1007/s12237-019-00619-w</w:t>
        </w:r>
      </w:hyperlink>
      <w:r>
        <w:t xml:space="preserve">.</w:t>
      </w:r>
    </w:p>
    <w:bookmarkEnd w:id="73"/>
    <w:bookmarkStart w:id="75" w:name="ref-beck2022a"/>
    <w:p>
      <w:pPr>
        <w:pStyle w:val="Bibliography"/>
      </w:pPr>
      <w:r>
        <w:t xml:space="preserve">Beck, Marcus W., Perry de Valpine, Rebecca Murphy, Ian Wren, Ariella Chelsky, Melissa Foley, and David B. Senn. 2022.</w:t>
      </w:r>
      <w:r>
        <w:t xml:space="preserve"> </w:t>
      </w:r>
      <w:r>
        <w:t xml:space="preserve">“Multi-Scale Trend Analysis of Water Quality Using Error Propagation of Generalized Additive Models.”</w:t>
      </w:r>
      <w:r>
        <w:t xml:space="preserve"> </w:t>
      </w:r>
      <w:r>
        <w:rPr>
          <w:iCs/>
          <w:i/>
        </w:rPr>
        <w:t xml:space="preserve">Science of The Total Environment</w:t>
      </w:r>
      <w:r>
        <w:t xml:space="preserve"> </w:t>
      </w:r>
      <w:r>
        <w:t xml:space="preserve">802 (January): 149927.</w:t>
      </w:r>
      <w:r>
        <w:t xml:space="preserve"> </w:t>
      </w:r>
      <w:hyperlink r:id="rId74">
        <w:r>
          <w:rPr>
            <w:rStyle w:val="Hyperlink"/>
          </w:rPr>
          <w:t xml:space="preserve">https://doi.org/10.1016/j.scitotenv.2021.149927</w:t>
        </w:r>
      </w:hyperlink>
      <w:r>
        <w:t xml:space="preserve">.</w:t>
      </w:r>
    </w:p>
    <w:bookmarkEnd w:id="75"/>
    <w:bookmarkStart w:id="77" w:name="ref-beck2021"/>
    <w:p>
      <w:pPr>
        <w:pStyle w:val="Bibliography"/>
      </w:pPr>
      <w:r>
        <w:t xml:space="preserve">Beck, Marcus, Meagan Schrandt, Michael Wessel, Edward Sherwood, Gary Raulerson, Adhokshaja Prasad, and Benjamin Best. 2021.</w:t>
      </w:r>
      <w:r>
        <w:t xml:space="preserve"> </w:t>
      </w:r>
      <w:r>
        <w:t xml:space="preserve">“Tbeptools: An r Package for Synthesizing Estuarine Data for Environmental Research.”</w:t>
      </w:r>
      <w:r>
        <w:t xml:space="preserve"> </w:t>
      </w:r>
      <w:r>
        <w:rPr>
          <w:iCs/>
          <w:i/>
        </w:rPr>
        <w:t xml:space="preserve">Journal of Open Source Software</w:t>
      </w:r>
      <w:r>
        <w:t xml:space="preserve"> </w:t>
      </w:r>
      <w:r>
        <w:t xml:space="preserve">6 (65): 3485.</w:t>
      </w:r>
      <w:r>
        <w:t xml:space="preserve"> </w:t>
      </w:r>
      <w:hyperlink r:id="rId76">
        <w:r>
          <w:rPr>
            <w:rStyle w:val="Hyperlink"/>
          </w:rPr>
          <w:t xml:space="preserve">https://doi.org/10.21105/joss.03485</w:t>
        </w:r>
      </w:hyperlink>
      <w:r>
        <w:t xml:space="preserve">.</w:t>
      </w:r>
    </w:p>
    <w:bookmarkEnd w:id="77"/>
    <w:bookmarkStart w:id="79" w:name="ref-begueria23"/>
    <w:p>
      <w:pPr>
        <w:pStyle w:val="Bibliography"/>
      </w:pPr>
      <w:r>
        <w:t xml:space="preserve">Beguería, Santiago, and Sergio M. Vicente-Serrano. 2023.</w:t>
      </w:r>
      <w:r>
        <w:t xml:space="preserve"> </w:t>
      </w:r>
      <w:r>
        <w:rPr>
          <w:iCs/>
          <w:i/>
        </w:rPr>
        <w:t xml:space="preserve">SPEI</w:t>
      </w:r>
      <w:r>
        <w:rPr>
          <w:iCs/>
          <w:i/>
        </w:rPr>
        <w:t xml:space="preserve">: Calculation of the</w:t>
      </w:r>
      <w:r>
        <w:rPr>
          <w:iCs/>
          <w:i/>
        </w:rPr>
        <w:t xml:space="preserve"> </w:t>
      </w:r>
      <w:r>
        <w:rPr>
          <w:iCs/>
          <w:i/>
        </w:rPr>
        <w:t xml:space="preserve">S</w:t>
      </w:r>
      <w:r>
        <w:rPr>
          <w:iCs/>
          <w:i/>
        </w:rPr>
        <w:t xml:space="preserve">tandardized</w:t>
      </w:r>
      <w:r>
        <w:rPr>
          <w:iCs/>
          <w:i/>
        </w:rPr>
        <w:t xml:space="preserve"> </w:t>
      </w:r>
      <w:r>
        <w:rPr>
          <w:iCs/>
          <w:i/>
        </w:rPr>
        <w:t xml:space="preserve">P</w:t>
      </w:r>
      <w:r>
        <w:rPr>
          <w:iCs/>
          <w:i/>
        </w:rPr>
        <w:t xml:space="preserve">recipitation-</w:t>
      </w:r>
      <w:r>
        <w:rPr>
          <w:iCs/>
          <w:i/>
        </w:rPr>
        <w:t xml:space="preserve">E</w:t>
      </w:r>
      <w:r>
        <w:rPr>
          <w:iCs/>
          <w:i/>
        </w:rPr>
        <w:t xml:space="preserve">vapotranspiration</w:t>
      </w:r>
      <w:r>
        <w:rPr>
          <w:iCs/>
          <w:i/>
        </w:rPr>
        <w:t xml:space="preserve"> </w:t>
      </w:r>
      <w:r>
        <w:rPr>
          <w:iCs/>
          <w:i/>
        </w:rPr>
        <w:t xml:space="preserve">I</w:t>
      </w:r>
      <w:r>
        <w:rPr>
          <w:iCs/>
          <w:i/>
        </w:rPr>
        <w:t xml:space="preserve">ndex</w:t>
      </w:r>
      <w:r>
        <w:t xml:space="preserve">.</w:t>
      </w:r>
      <w:r>
        <w:t xml:space="preserve"> </w:t>
      </w:r>
      <w:hyperlink r:id="rId78">
        <w:r>
          <w:rPr>
            <w:rStyle w:val="Hyperlink"/>
          </w:rPr>
          <w:t xml:space="preserve">https://CRAN.R-project.org/package=SPEI</w:t>
        </w:r>
      </w:hyperlink>
      <w:r>
        <w:t xml:space="preserve">.</w:t>
      </w:r>
    </w:p>
    <w:bookmarkEnd w:id="79"/>
    <w:bookmarkStart w:id="81" w:name="ref-begueria2013"/>
    <w:p>
      <w:pPr>
        <w:pStyle w:val="Bibliography"/>
      </w:pPr>
      <w:r>
        <w:t xml:space="preserve">Beguería, Santiago, Sergio M. Vicente-Serrano, Fergus Reig, and Borja Latorre. 2013.</w:t>
      </w:r>
      <w:r>
        <w:t xml:space="preserve"> </w:t>
      </w:r>
      <w:r>
        <w:t xml:space="preserve">“Standardized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(10): 3001–23.</w:t>
      </w:r>
      <w:r>
        <w:t xml:space="preserve"> </w:t>
      </w:r>
      <w:hyperlink r:id="rId80">
        <w:r>
          <w:rPr>
            <w:rStyle w:val="Hyperlink"/>
          </w:rPr>
          <w:t xml:space="preserve">https://doi.org/10.1002/joc.3887</w:t>
        </w:r>
      </w:hyperlink>
      <w:r>
        <w:t xml:space="preserve">.</w:t>
      </w:r>
    </w:p>
    <w:bookmarkEnd w:id="81"/>
    <w:bookmarkStart w:id="83" w:name="ref-chamberlain23"/>
    <w:p>
      <w:pPr>
        <w:pStyle w:val="Bibliography"/>
      </w:pPr>
      <w:r>
        <w:t xml:space="preserve">Chamberlain, Scott, and Daniel Hocking. 2023.</w:t>
      </w:r>
      <w:r>
        <w:t xml:space="preserve"> </w:t>
      </w:r>
      <w:r>
        <w:rPr>
          <w:iCs/>
          <w:i/>
        </w:rPr>
        <w:t xml:space="preserve">rnoaa</w:t>
      </w:r>
      <w:r>
        <w:rPr>
          <w:iCs/>
          <w:i/>
        </w:rPr>
        <w:t xml:space="preserve">:</w:t>
      </w:r>
      <w:r>
        <w:rPr>
          <w:iCs/>
          <w:i/>
        </w:rPr>
        <w:t xml:space="preserve"> </w:t>
      </w:r>
      <w:r>
        <w:rPr>
          <w:iCs/>
          <w:i/>
        </w:rPr>
        <w:t xml:space="preserve">’NOAA’</w:t>
      </w:r>
      <w:r>
        <w:rPr>
          <w:iCs/>
          <w:i/>
        </w:rPr>
        <w:t xml:space="preserve"> </w:t>
      </w:r>
      <w:r>
        <w:rPr>
          <w:iCs/>
          <w:i/>
        </w:rPr>
        <w:t xml:space="preserve">Weather Data from</w:t>
      </w:r>
      <w:r>
        <w:rPr>
          <w:iCs/>
          <w:i/>
        </w:rPr>
        <w:t xml:space="preserve"> </w:t>
      </w:r>
      <w:r>
        <w:rPr>
          <w:iCs/>
          <w:i/>
        </w:rPr>
        <w:t xml:space="preserve">R</w:t>
      </w:r>
      <w:r>
        <w:t xml:space="preserve">.</w:t>
      </w:r>
      <w:r>
        <w:t xml:space="preserve"> </w:t>
      </w:r>
      <w:hyperlink r:id="rId82">
        <w:r>
          <w:rPr>
            <w:rStyle w:val="Hyperlink"/>
          </w:rPr>
          <w:t xml:space="preserve">https://CRAN.R-project.org/package=rnoaa</w:t>
        </w:r>
      </w:hyperlink>
      <w:r>
        <w:t xml:space="preserve">.</w:t>
      </w:r>
    </w:p>
    <w:bookmarkEnd w:id="83"/>
    <w:bookmarkStart w:id="85"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84">
        <w:r>
          <w:rPr>
            <w:rStyle w:val="Hyperlink"/>
          </w:rPr>
          <w:t xml:space="preserve">https://doi.org/10.3389/fpls.2021.612947</w:t>
        </w:r>
      </w:hyperlink>
      <w:r>
        <w:t xml:space="preserve">.</w:t>
      </w:r>
    </w:p>
    <w:bookmarkEnd w:id="85"/>
    <w:bookmarkStart w:id="87" w:name="ref-garrett2011"/>
    <w:p>
      <w:pPr>
        <w:pStyle w:val="Bibliography"/>
      </w:pPr>
      <w:r>
        <w:t xml:space="preserve">Garrett, Matthew, Jennifer Wolny, Earnest Truby, Cynthia Heil, and Charles Kovach. 2011.</w:t>
      </w:r>
      <w:r>
        <w:t xml:space="preserve"> </w:t>
      </w:r>
      <w:r>
        <w:t xml:space="preserve">“Harmful Algal Bloom Species and Phosphate-Processing Effluent: Field and Laboratory Studies.”</w:t>
      </w:r>
      <w:r>
        <w:t xml:space="preserve"> </w:t>
      </w:r>
      <w:r>
        <w:rPr>
          <w:iCs/>
          <w:i/>
        </w:rPr>
        <w:t xml:space="preserve">Marine Pollution Bulletin</w:t>
      </w:r>
      <w:r>
        <w:t xml:space="preserve"> </w:t>
      </w:r>
      <w:r>
        <w:t xml:space="preserve">62 (3): 596–601.</w:t>
      </w:r>
      <w:r>
        <w:t xml:space="preserve"> </w:t>
      </w:r>
      <w:hyperlink r:id="rId86">
        <w:r>
          <w:rPr>
            <w:rStyle w:val="Hyperlink"/>
          </w:rPr>
          <w:t xml:space="preserve">https://doi.org/10.1016/j.marpolbul.2010.11.017</w:t>
        </w:r>
      </w:hyperlink>
      <w:r>
        <w:t xml:space="preserve">.</w:t>
      </w:r>
    </w:p>
    <w:bookmarkEnd w:id="87"/>
    <w:bookmarkStart w:id="89" w:name="ref-greening2014"/>
    <w:p>
      <w:pPr>
        <w:pStyle w:val="Bibliography"/>
      </w:pPr>
      <w:r>
        <w:t xml:space="preserve">Greening, H., A. Janicki, E. T. Sherwood, R. Pribble, and J. O. R. Johansson. 2014.</w:t>
      </w:r>
      <w:r>
        <w:t xml:space="preserve"> </w:t>
      </w:r>
      <w:r>
        <w:t xml:space="preserve">“Ecosystem Responses to Long-Term Nutrient Management in an Urban Estuary: Tampa Bay, Florida, USA.”</w:t>
      </w:r>
      <w:r>
        <w:t xml:space="preserve"> </w:t>
      </w:r>
      <w:r>
        <w:rPr>
          <w:iCs/>
          <w:i/>
        </w:rPr>
        <w:t xml:space="preserve">Estuarine, Coastal and Shelf Science</w:t>
      </w:r>
      <w:r>
        <w:t xml:space="preserve"> </w:t>
      </w:r>
      <w:r>
        <w:t xml:space="preserve">151 (December): A1–16.</w:t>
      </w:r>
      <w:r>
        <w:t xml:space="preserve"> </w:t>
      </w:r>
      <w:hyperlink r:id="rId88">
        <w:r>
          <w:rPr>
            <w:rStyle w:val="Hyperlink"/>
          </w:rPr>
          <w:t xml:space="preserve">https://doi.org/10.1016/j.ecss.2014.10.003</w:t>
        </w:r>
      </w:hyperlink>
      <w:r>
        <w:t xml:space="preserve">.</w:t>
      </w:r>
    </w:p>
    <w:bookmarkEnd w:id="89"/>
    <w:bookmarkStart w:id="91" w:name="ref-greening2006"/>
    <w:p>
      <w:pPr>
        <w:pStyle w:val="Bibliography"/>
      </w:pPr>
      <w:r>
        <w:t xml:space="preserve">Greening, Holly, and Anthony Janicki. 2006.</w:t>
      </w:r>
      <w:r>
        <w:t xml:space="preserve"> </w:t>
      </w:r>
      <w:r>
        <w:t xml:space="preserve">“Toward Reversal of Eutrophic Conditions in a Subtropical Estuary: Water Quality and Seagrass Response to Nitrogen Loading Reductions in Tampa Bay, Florida, USA.”</w:t>
      </w:r>
      <w:r>
        <w:t xml:space="preserve"> </w:t>
      </w:r>
      <w:r>
        <w:rPr>
          <w:iCs/>
          <w:i/>
        </w:rPr>
        <w:t xml:space="preserve">Environmental Management</w:t>
      </w:r>
      <w:r>
        <w:t xml:space="preserve"> </w:t>
      </w:r>
      <w:r>
        <w:t xml:space="preserve">38 (2): 163–78.</w:t>
      </w:r>
      <w:r>
        <w:t xml:space="preserve"> </w:t>
      </w:r>
      <w:hyperlink r:id="rId90">
        <w:r>
          <w:rPr>
            <w:rStyle w:val="Hyperlink"/>
          </w:rPr>
          <w:t xml:space="preserve">https://doi.org/10.1007/s00267-005-0079-4</w:t>
        </w:r>
      </w:hyperlink>
      <w:r>
        <w:t xml:space="preserve">.</w:t>
      </w:r>
    </w:p>
    <w:bookmarkEnd w:id="91"/>
    <w:bookmarkStart w:id="93"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92">
        <w:r>
          <w:rPr>
            <w:rStyle w:val="Hyperlink"/>
          </w:rPr>
          <w:t xml:space="preserve">https://doi.org/10.1073/pnas.2220678120</w:t>
        </w:r>
      </w:hyperlink>
      <w:r>
        <w:t xml:space="preserve">.</w:t>
      </w:r>
    </w:p>
    <w:bookmarkEnd w:id="93"/>
    <w:bookmarkStart w:id="95" w:name="ref-hirsch1982"/>
    <w:p>
      <w:pPr>
        <w:pStyle w:val="Bibliography"/>
      </w:pPr>
      <w:r>
        <w:t xml:space="preserve">Hirsch, Robert M., James R. Slack, and Richard A. Smith. 1982.</w:t>
      </w:r>
      <w:r>
        <w:t xml:space="preserve"> </w:t>
      </w:r>
      <w:r>
        <w:t xml:space="preserve">“Techniques of Trend Analysis for Monthly Water Quality Data.”</w:t>
      </w:r>
      <w:r>
        <w:t xml:space="preserve"> </w:t>
      </w:r>
      <w:r>
        <w:rPr>
          <w:iCs/>
          <w:i/>
        </w:rPr>
        <w:t xml:space="preserve">Water Resources Research</w:t>
      </w:r>
      <w:r>
        <w:t xml:space="preserve"> </w:t>
      </w:r>
      <w:r>
        <w:t xml:space="preserve">18 (1): 107–21.</w:t>
      </w:r>
      <w:r>
        <w:t xml:space="preserve"> </w:t>
      </w:r>
      <w:hyperlink r:id="rId94">
        <w:r>
          <w:rPr>
            <w:rStyle w:val="Hyperlink"/>
          </w:rPr>
          <w:t xml:space="preserve">https://doi.org/10.1029/wr018i001p00107</w:t>
        </w:r>
      </w:hyperlink>
      <w:r>
        <w:t xml:space="preserve">.</w:t>
      </w:r>
    </w:p>
    <w:bookmarkEnd w:id="95"/>
    <w:bookmarkStart w:id="97" w:name="ref-hutchinson1957"/>
    <w:p>
      <w:pPr>
        <w:pStyle w:val="Bibliography"/>
      </w:pPr>
      <w:r>
        <w:t xml:space="preserve">Hutchinson, G. E. 1957.</w:t>
      </w:r>
      <w:r>
        <w:t xml:space="preserve"> </w:t>
      </w:r>
      <w:r>
        <w:t xml:space="preserve">“Concluding Remarks.”</w:t>
      </w:r>
      <w:r>
        <w:t xml:space="preserve"> </w:t>
      </w:r>
      <w:r>
        <w:rPr>
          <w:iCs/>
          <w:i/>
        </w:rPr>
        <w:t xml:space="preserve">Cold Spring Harbor Symposia on Quantitative Biology</w:t>
      </w:r>
      <w:r>
        <w:t xml:space="preserve"> </w:t>
      </w:r>
      <w:r>
        <w:t xml:space="preserve">22 (0): 415–27.</w:t>
      </w:r>
      <w:r>
        <w:t xml:space="preserve"> </w:t>
      </w:r>
      <w:hyperlink r:id="rId96">
        <w:r>
          <w:rPr>
            <w:rStyle w:val="Hyperlink"/>
          </w:rPr>
          <w:t xml:space="preserve">https://doi.org/10.1101/sqb.1957.022.01.039</w:t>
        </w:r>
      </w:hyperlink>
      <w:r>
        <w:t xml:space="preserve">.</w:t>
      </w:r>
    </w:p>
    <w:bookmarkEnd w:id="97"/>
    <w:bookmarkStart w:id="99" w:name="ref-tbep0623"/>
    <w:p>
      <w:pPr>
        <w:pStyle w:val="Bibliography"/>
      </w:pPr>
      <w:r>
        <w:t xml:space="preserve">Janicki Environmental, Inc. 2023.</w:t>
      </w:r>
      <w:r>
        <w:t xml:space="preserve"> </w:t>
      </w:r>
      <w:r>
        <w:t xml:space="preserve">“Estimates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2017-2021.”</w:t>
      </w:r>
      <w:r>
        <w:t xml:space="preserve"> </w:t>
      </w:r>
      <w:r>
        <w:t xml:space="preserve">06-23. St. Petersburg, Florida: Tampa Bay Estuary Program.</w:t>
      </w:r>
      <w:r>
        <w:t xml:space="preserve"> </w:t>
      </w:r>
      <w:hyperlink r:id="rId98">
        <w:r>
          <w:rPr>
            <w:rStyle w:val="Hyperlink"/>
          </w:rPr>
          <w:t xml:space="preserve">https://drive.google.com/file/d/1KARuSC5fGx05MuT1wiOQFWNXysBokkQl/view?usp=share_link</w:t>
        </w:r>
      </w:hyperlink>
      <w:r>
        <w:t xml:space="preserve">.</w:t>
      </w:r>
    </w:p>
    <w:bookmarkEnd w:id="99"/>
    <w:bookmarkStart w:id="100" w:name="ref-tbep0816"/>
    <w:p>
      <w:pPr>
        <w:pStyle w:val="Bibliography"/>
      </w:pPr>
      <w:r>
        <w:t xml:space="preserve">Johansson, R. 2016.</w:t>
      </w:r>
      <w:r>
        <w:t xml:space="preserve"> </w:t>
      </w:r>
      <w:r>
        <w:t xml:space="preserve">“Seagrass Transect Monitoring in</w:t>
      </w:r>
      <w:r>
        <w:t xml:space="preserve"> </w:t>
      </w:r>
      <w:r>
        <w:t xml:space="preserve">T</w:t>
      </w:r>
      <w:r>
        <w:t xml:space="preserve">ampa</w:t>
      </w:r>
      <w:r>
        <w:t xml:space="preserve"> </w:t>
      </w:r>
      <w:r>
        <w:t xml:space="preserve">B</w:t>
      </w:r>
      <w:r>
        <w:t xml:space="preserve">ay: A Summary of Findings from 1997 Through 2015.”</w:t>
      </w:r>
    </w:p>
    <w:bookmarkEnd w:id="100"/>
    <w:bookmarkStart w:id="101" w:name="ref-johansson15"/>
    <w:p>
      <w:pPr>
        <w:pStyle w:val="Bibliography"/>
      </w:pPr>
      <w:r>
        <w:t xml:space="preserve">Johansson, R., and Janicki Environmental, Inc. 2015.</w:t>
      </w:r>
      <w:r>
        <w:t xml:space="preserve"> </w:t>
      </w:r>
      <w:r>
        <w:t xml:space="preserve">“Long-Term Underwater Light Climate Variation and Submerged Seagrass Trends in</w:t>
      </w:r>
      <w:r>
        <w:t xml:space="preserve"> </w:t>
      </w:r>
      <w:r>
        <w:t xml:space="preserve">T</w:t>
      </w:r>
      <w:r>
        <w:t xml:space="preserve">ampa</w:t>
      </w:r>
      <w:r>
        <w:t xml:space="preserve"> </w:t>
      </w:r>
      <w:r>
        <w:t xml:space="preserve">B</w:t>
      </w:r>
      <w:r>
        <w:t xml:space="preserve">ay,</w:t>
      </w:r>
      <w:r>
        <w:t xml:space="preserve"> </w:t>
      </w:r>
      <w:r>
        <w:t xml:space="preserve">F</w:t>
      </w:r>
      <w:r>
        <w:t xml:space="preserve">lorida: With a Discussion of Phytoplankton and</w:t>
      </w:r>
      <w:r>
        <w:t xml:space="preserve"> </w:t>
      </w:r>
      <w:r>
        <w:t xml:space="preserve">CDOM</w:t>
      </w:r>
      <w:r>
        <w:t xml:space="preserve"> </w:t>
      </w:r>
      <w:r>
        <w:t xml:space="preserve">Interactions.”</w:t>
      </w:r>
    </w:p>
    <w:bookmarkEnd w:id="101"/>
    <w:bookmarkStart w:id="103"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102">
        <w:r>
          <w:rPr>
            <w:rStyle w:val="Hyperlink"/>
          </w:rPr>
          <w:t xml:space="preserve">https://drive.google.com/file/d/1sNp3FpjdeOjATZ9nDRRAiXEOqQen9W_p/view?usp=sharing</w:t>
        </w:r>
      </w:hyperlink>
      <w:r>
        <w:t xml:space="preserve">.</w:t>
      </w:r>
    </w:p>
    <w:bookmarkEnd w:id="103"/>
    <w:bookmarkStart w:id="105"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104">
        <w:r>
          <w:rPr>
            <w:rStyle w:val="Hyperlink"/>
          </w:rPr>
          <w:t xml:space="preserve">https://doi.org/10.1007/bf02691700</w:t>
        </w:r>
      </w:hyperlink>
      <w:r>
        <w:t xml:space="preserve">.</w:t>
      </w:r>
    </w:p>
    <w:bookmarkEnd w:id="105"/>
    <w:bookmarkStart w:id="106" w:name="ref-lopez2023"/>
    <w:p>
      <w:pPr>
        <w:pStyle w:val="Bibliography"/>
      </w:pPr>
      <w:r>
        <w:t xml:space="preserve">Lopez, Cary B, Sugandha Shankar, Sara G Kaminski, and Katherine A Hubbard. 2023.</w:t>
      </w:r>
      <w:r>
        <w:t xml:space="preserve"> </w:t>
      </w:r>
      <w:r>
        <w:t xml:space="preserve">“</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06"/>
    <w:bookmarkStart w:id="108"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107">
        <w:r>
          <w:rPr>
            <w:rStyle w:val="Hyperlink"/>
          </w:rPr>
          <w:t xml:space="preserve">https://doi.org/10.3389/fmars.2021.769877</w:t>
        </w:r>
      </w:hyperlink>
      <w:r>
        <w:t xml:space="preserve">.</w:t>
      </w:r>
    </w:p>
    <w:bookmarkEnd w:id="108"/>
    <w:bookmarkStart w:id="110"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109">
        <w:r>
          <w:rPr>
            <w:rStyle w:val="Hyperlink"/>
          </w:rPr>
          <w:t xml:space="preserve">https://doi.org/10.2307/1932688</w:t>
        </w:r>
      </w:hyperlink>
      <w:r>
        <w:t xml:space="preserve">.</w:t>
      </w:r>
    </w:p>
    <w:bookmarkEnd w:id="110"/>
    <w:bookmarkStart w:id="112" w:name="ref-luther2022"/>
    <w:p>
      <w:pPr>
        <w:pStyle w:val="Bibliography"/>
      </w:pPr>
      <w:r>
        <w:t xml:space="preserve">M.E. Luther, S.D. Meyers. 2022.</w:t>
      </w:r>
      <w:r>
        <w:t xml:space="preserve"> </w:t>
      </w:r>
      <w:r>
        <w:t xml:space="preserve">“</w:t>
      </w:r>
      <w:r>
        <w:t xml:space="preserve">Designing a Genetic Algorithm for the Selection of Causeway Cut-Throughs in Old Tampa Bay: Planning and Prototyping</w:t>
      </w:r>
      <w:r>
        <w:t xml:space="preserve">.”</w:t>
      </w:r>
      <w:r>
        <w:t xml:space="preserve"> </w:t>
      </w:r>
      <w:r>
        <w:t xml:space="preserve">08-22. St. Petersburg, Florida: Tampa Bay Estuary Program.</w:t>
      </w:r>
      <w:r>
        <w:t xml:space="preserve"> </w:t>
      </w:r>
      <w:hyperlink r:id="rId111">
        <w:r>
          <w:rPr>
            <w:rStyle w:val="Hyperlink"/>
          </w:rPr>
          <w:t xml:space="preserve">https://drive.google.com/file/d/1-1Jq9vly5EvVwEp698brlBucXjSMDbNn/view?usp=sharing</w:t>
        </w:r>
      </w:hyperlink>
      <w:r>
        <w:t xml:space="preserve">.</w:t>
      </w:r>
    </w:p>
    <w:bookmarkEnd w:id="112"/>
    <w:bookmarkStart w:id="114" w:name="ref-millard13"/>
    <w:p>
      <w:pPr>
        <w:pStyle w:val="Bibliography"/>
      </w:pPr>
      <w:r>
        <w:t xml:space="preserve">Millard, Steven P. 2013.</w:t>
      </w:r>
      <w:r>
        <w:t xml:space="preserve"> </w:t>
      </w:r>
      <w:r>
        <w:rPr>
          <w:iCs/>
          <w:i/>
        </w:rPr>
        <w:t xml:space="preserve">EnvStats: An r Package for Environmental Statistics</w:t>
      </w:r>
      <w:r>
        <w:t xml:space="preserve">. New York: Springer.</w:t>
      </w:r>
      <w:r>
        <w:t xml:space="preserve"> </w:t>
      </w:r>
      <w:hyperlink r:id="rId113">
        <w:r>
          <w:rPr>
            <w:rStyle w:val="Hyperlink"/>
          </w:rPr>
          <w:t xml:space="preserve">https://www.springer.com</w:t>
        </w:r>
      </w:hyperlink>
      <w:r>
        <w:t xml:space="preserve">.</w:t>
      </w:r>
    </w:p>
    <w:bookmarkEnd w:id="114"/>
    <w:bookmarkStart w:id="116"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115">
        <w:r>
          <w:rPr>
            <w:rStyle w:val="Hyperlink"/>
          </w:rPr>
          <w:t xml:space="preserve">https://doi.org/10.1016/j.dsr2.2023.105321</w:t>
        </w:r>
      </w:hyperlink>
      <w:r>
        <w:t xml:space="preserve">.</w:t>
      </w:r>
    </w:p>
    <w:bookmarkEnd w:id="116"/>
    <w:bookmarkStart w:id="117"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117"/>
    <w:bookmarkStart w:id="119"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118">
        <w:r>
          <w:rPr>
            <w:rStyle w:val="Hyperlink"/>
          </w:rPr>
          <w:t xml:space="preserve">https://doi.org/10.3354/meps322099</w:t>
        </w:r>
      </w:hyperlink>
      <w:r>
        <w:t xml:space="preserve">.</w:t>
      </w:r>
    </w:p>
    <w:bookmarkEnd w:id="119"/>
    <w:bookmarkStart w:id="121" w:name="ref-Robison20"/>
    <w:p>
      <w:pPr>
        <w:pStyle w:val="Bibliography"/>
      </w:pPr>
      <w:r>
        <w:t xml:space="preserve">Robison, D., T. Ries, J. Saarinen, D. Tomasko, and C. Sciarrino. 2020.</w:t>
      </w:r>
      <w:r>
        <w:t xml:space="preserve"> </w:t>
      </w:r>
      <w:r>
        <w:t xml:space="preserve">“</w:t>
      </w:r>
      <w:r>
        <w:t xml:space="preserve">Tampa Bay Estuary Program: 2020 Habitat Master Plan Update</w:t>
      </w:r>
      <w:r>
        <w:t xml:space="preserve">.”</w:t>
      </w:r>
      <w:r>
        <w:t xml:space="preserve"> </w:t>
      </w:r>
      <w:r>
        <w:t xml:space="preserve">Technical report. Tampa Bay Estuary Program, St. Petersburg, Florida.</w:t>
      </w:r>
      <w:r>
        <w:t xml:space="preserve"> </w:t>
      </w:r>
      <w:hyperlink r:id="rId120">
        <w:r>
          <w:rPr>
            <w:rStyle w:val="Hyperlink"/>
          </w:rPr>
          <w:t xml:space="preserve">https://drive.google.com/file/d/1Hp0l_qtbxp1JxKJoGatdyuANSzQrpL0I/view?usp=drivesdk</w:t>
        </w:r>
      </w:hyperlink>
      <w:r>
        <w:t xml:space="preserve">.</w:t>
      </w:r>
    </w:p>
    <w:bookmarkEnd w:id="121"/>
    <w:bookmarkStart w:id="123" w:name="ref-schrandt2021"/>
    <w:p>
      <w:pPr>
        <w:pStyle w:val="Bibliography"/>
      </w:pPr>
      <w:r>
        <w:t xml:space="preserve">Schrandt, Meagan N., Timothy C. MacDonald, Edward T. Sherwood, and Marcus W. Beck. 2021.</w:t>
      </w:r>
      <w:r>
        <w:t xml:space="preserve"> </w:t>
      </w:r>
      <w:r>
        <w:t xml:space="preserve">“A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(April): 107310.</w:t>
      </w:r>
      <w:r>
        <w:t xml:space="preserve"> </w:t>
      </w:r>
      <w:hyperlink r:id="rId122">
        <w:r>
          <w:rPr>
            <w:rStyle w:val="Hyperlink"/>
          </w:rPr>
          <w:t xml:space="preserve">https://doi.org/10.1016/j.ecolind.2020.107310</w:t>
        </w:r>
      </w:hyperlink>
      <w:r>
        <w:t xml:space="preserve">.</w:t>
      </w:r>
    </w:p>
    <w:bookmarkEnd w:id="123"/>
    <w:bookmarkStart w:id="125" w:name="ref-sherwood2017"/>
    <w:p>
      <w:pPr>
        <w:pStyle w:val="Bibliography"/>
      </w:pPr>
      <w:r>
        <w:t xml:space="preserve">Sherwood, Edward T., Holly S. Greening, J. O. Roger Johansson, Kristen Kaufman, and Gary E. Raulerson. 2017.</w:t>
      </w:r>
      <w:r>
        <w:t xml:space="preserve"> </w:t>
      </w:r>
      <w:r>
        <w:t xml:space="preserve">“Tampa Bay (Florida, USA):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(3): 294–319.</w:t>
      </w:r>
      <w:r>
        <w:t xml:space="preserve"> </w:t>
      </w:r>
      <w:hyperlink r:id="rId124">
        <w:r>
          <w:rPr>
            <w:rStyle w:val="Hyperlink"/>
          </w:rPr>
          <w:t xml:space="preserve">https://doi.org/10.1353/sgo.2017.0026</w:t>
        </w:r>
      </w:hyperlink>
      <w:r>
        <w:t xml:space="preserve">.</w:t>
      </w:r>
    </w:p>
    <w:bookmarkEnd w:id="125"/>
    <w:bookmarkStart w:id="127" w:name="ref-sherwood2015"/>
    <w:p>
      <w:pPr>
        <w:pStyle w:val="Bibliography"/>
      </w:pPr>
      <w:r>
        <w:t xml:space="preserve">Sherwood, E., H. Greening, L. Garcia, K. Kaufman, T. Janicki, R. Pribble, B. Cunningham, et al. 2015.</w:t>
      </w:r>
      <w:r>
        <w:t xml:space="preserve"> </w:t>
      </w:r>
      <w:r>
        <w:t xml:space="preserve">“Development of an Integrated Ecosystem Model to Determine Effectiveness of Potential Watershed Management Projects on Improving</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10-15. St. Petersburg, Florida: Tampa Bay Estuary Program.</w:t>
      </w:r>
      <w:r>
        <w:t xml:space="preserve"> </w:t>
      </w:r>
      <w:hyperlink r:id="rId126">
        <w:r>
          <w:rPr>
            <w:rStyle w:val="Hyperlink"/>
          </w:rPr>
          <w:t xml:space="preserve">https://drive.google.com/file/d/1BCviGfLykVX-p1tA3b0306deP3pKMagr/view?usp=drivesdk</w:t>
        </w:r>
      </w:hyperlink>
      <w:r>
        <w:t xml:space="preserve">.</w:t>
      </w:r>
    </w:p>
    <w:bookmarkEnd w:id="127"/>
    <w:bookmarkStart w:id="129" w:name="ref-SWFWMD23"/>
    <w:p>
      <w:pPr>
        <w:pStyle w:val="Bibliography"/>
      </w:pPr>
      <w:r>
        <w:t xml:space="preserve">Southwest Florida Water Management District. 2023.</w:t>
      </w:r>
      <w:r>
        <w:t xml:space="preserve"> </w:t>
      </w:r>
      <w:r>
        <w:t xml:space="preserve">“Seagrass in 2022.”</w:t>
      </w:r>
      <w:r>
        <w:t xml:space="preserve"> </w:t>
      </w:r>
      <w:hyperlink r:id="rId128">
        <w:r>
          <w:rPr>
            <w:rStyle w:val="Hyperlink"/>
          </w:rPr>
          <w:t xml:space="preserve">https://data-swfwmd.opendata.arcgis.com/datasets/seagrass-in-2022</w:t>
        </w:r>
      </w:hyperlink>
      <w:r>
        <w:t xml:space="preserve">.</w:t>
      </w:r>
    </w:p>
    <w:bookmarkEnd w:id="129"/>
    <w:bookmarkStart w:id="131"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130">
        <w:r>
          <w:rPr>
            <w:rStyle w:val="Hyperlink"/>
          </w:rPr>
          <w:t xml:space="preserve">https://doi.org/10.1002/nt.2620020503</w:t>
        </w:r>
      </w:hyperlink>
      <w:r>
        <w:t xml:space="preserve">.</w:t>
      </w:r>
    </w:p>
    <w:bookmarkEnd w:id="131"/>
    <w:bookmarkStart w:id="133"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132">
        <w:r>
          <w:rPr>
            <w:rStyle w:val="Hyperlink"/>
          </w:rPr>
          <w:t xml:space="preserve">https://doi.org/10.1002/lol2.10098</w:t>
        </w:r>
      </w:hyperlink>
      <w:r>
        <w:t xml:space="preserve">.</w:t>
      </w:r>
    </w:p>
    <w:bookmarkEnd w:id="133"/>
    <w:bookmarkStart w:id="135" w:name="ref-vandermeer1972"/>
    <w:p>
      <w:pPr>
        <w:pStyle w:val="Bibliography"/>
      </w:pPr>
      <w:r>
        <w:t xml:space="preserve">Vandermeer, John H. 1972.</w:t>
      </w:r>
      <w:r>
        <w:t xml:space="preserve"> </w:t>
      </w:r>
      <w:r>
        <w:t xml:space="preserve">“Niche Theory.”</w:t>
      </w:r>
      <w:r>
        <w:t xml:space="preserve"> </w:t>
      </w:r>
      <w:r>
        <w:rPr>
          <w:iCs/>
          <w:i/>
        </w:rPr>
        <w:t xml:space="preserve">Annual Review of Ecology and Systematics</w:t>
      </w:r>
      <w:r>
        <w:t xml:space="preserve"> </w:t>
      </w:r>
      <w:r>
        <w:t xml:space="preserve">3 (1): 107–32.</w:t>
      </w:r>
      <w:r>
        <w:t xml:space="preserve"> </w:t>
      </w:r>
      <w:hyperlink r:id="rId134">
        <w:r>
          <w:rPr>
            <w:rStyle w:val="Hyperlink"/>
          </w:rPr>
          <w:t xml:space="preserve">https://doi.org/10.1146/annurev.es.03.110172.000543</w:t>
        </w:r>
      </w:hyperlink>
      <w:r>
        <w:t xml:space="preserve">.</w:t>
      </w:r>
    </w:p>
    <w:bookmarkEnd w:id="135"/>
    <w:bookmarkStart w:id="137"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136">
        <w:r>
          <w:rPr>
            <w:rStyle w:val="Hyperlink"/>
          </w:rPr>
          <w:t xml:space="preserve">https://doi.org/10.1016/j.marpolbul.2023.115043</w:t>
        </w:r>
      </w:hyperlink>
      <w:r>
        <w:t xml:space="preserve">.</w:t>
      </w:r>
    </w:p>
    <w:bookmarkEnd w:id="137"/>
    <w:bookmarkStart w:id="139"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138">
        <w:r>
          <w:rPr>
            <w:rStyle w:val="Hyperlink"/>
          </w:rPr>
          <w:t xml:space="preserve">https://doi.org/10.1016/0304-3770(75)90016-9</w:t>
        </w:r>
      </w:hyperlink>
      <w:r>
        <w:t xml:space="preserve">.</w:t>
      </w:r>
    </w:p>
    <w:bookmarkEnd w:id="139"/>
    <w:bookmarkEnd w:id="140"/>
    <w:bookmarkEnd w:id="141"/>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2" Target="media/rId42.png" /><Relationship Type="http://schemas.openxmlformats.org/officeDocument/2006/relationships/image" Id="rId62" Target="media/rId62.png" /><Relationship Type="http://schemas.openxmlformats.org/officeDocument/2006/relationships/image" Id="rId46" Target="media/rId46.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34" Target="media/rId34.png" /><Relationship Type="http://schemas.openxmlformats.org/officeDocument/2006/relationships/image" Id="rId58" Target="media/rId58.png" /><Relationship Type="http://schemas.openxmlformats.org/officeDocument/2006/relationships/hyperlink" Id="rId78" Target="https://CRAN.R-project.org/package=SPEI" TargetMode="External" /><Relationship Type="http://schemas.openxmlformats.org/officeDocument/2006/relationships/hyperlink" Id="rId82" Target="https://CRAN.R-project.org/package=rnoaa" TargetMode="External" /><Relationship Type="http://schemas.openxmlformats.org/officeDocument/2006/relationships/hyperlink" Id="rId128" Target="https://data-swfwmd.opendata.arcgis.com/datasets/seagrass-in-2022" TargetMode="External" /><Relationship Type="http://schemas.openxmlformats.org/officeDocument/2006/relationships/hyperlink" Id="rId80" Target="https://doi.org/10.1002/joc.3887" TargetMode="External" /><Relationship Type="http://schemas.openxmlformats.org/officeDocument/2006/relationships/hyperlink" Id="rId132" Target="https://doi.org/10.1002/lol2.10098" TargetMode="External" /><Relationship Type="http://schemas.openxmlformats.org/officeDocument/2006/relationships/hyperlink" Id="rId130" Target="https://doi.org/10.1002/nt.2620020503" TargetMode="External" /><Relationship Type="http://schemas.openxmlformats.org/officeDocument/2006/relationships/hyperlink" Id="rId104" Target="https://doi.org/10.1007/bf02691700" TargetMode="External" /><Relationship Type="http://schemas.openxmlformats.org/officeDocument/2006/relationships/hyperlink" Id="rId90" Target="https://doi.org/10.1007/s00267-005-0079-4" TargetMode="External" /><Relationship Type="http://schemas.openxmlformats.org/officeDocument/2006/relationships/hyperlink" Id="rId72" Target="https://doi.org/10.1007/s12237-019-00619-w" TargetMode="External" /><Relationship Type="http://schemas.openxmlformats.org/officeDocument/2006/relationships/hyperlink" Id="rId138" Target="https://doi.org/10.1016/0304-3770(75)90016-9" TargetMode="External" /><Relationship Type="http://schemas.openxmlformats.org/officeDocument/2006/relationships/hyperlink" Id="rId115" Target="https://doi.org/10.1016/j.dsr2.2023.105321" TargetMode="External" /><Relationship Type="http://schemas.openxmlformats.org/officeDocument/2006/relationships/hyperlink" Id="rId122" Target="https://doi.org/10.1016/j.ecolind.2020.107310" TargetMode="External" /><Relationship Type="http://schemas.openxmlformats.org/officeDocument/2006/relationships/hyperlink" Id="rId88" Target="https://doi.org/10.1016/j.ecss.2014.10.003" TargetMode="External" /><Relationship Type="http://schemas.openxmlformats.org/officeDocument/2006/relationships/hyperlink" Id="rId86" Target="https://doi.org/10.1016/j.marpolbul.2010.11.017" TargetMode="External" /><Relationship Type="http://schemas.openxmlformats.org/officeDocument/2006/relationships/hyperlink" Id="rId68" Target="https://doi.org/10.1016/j.marpolbul.2022.113598" TargetMode="External" /><Relationship Type="http://schemas.openxmlformats.org/officeDocument/2006/relationships/hyperlink" Id="rId136" Target="https://doi.org/10.1016/j.marpolbul.2023.115043" TargetMode="External" /><Relationship Type="http://schemas.openxmlformats.org/officeDocument/2006/relationships/hyperlink" Id="rId74" Target="https://doi.org/10.1016/j.scitotenv.2021.149927" TargetMode="External" /><Relationship Type="http://schemas.openxmlformats.org/officeDocument/2006/relationships/hyperlink" Id="rId94" Target="https://doi.org/10.1029/wr018i001p00107" TargetMode="External" /><Relationship Type="http://schemas.openxmlformats.org/officeDocument/2006/relationships/hyperlink" Id="rId92" Target="https://doi.org/10.1073/pnas.2220678120" TargetMode="External" /><Relationship Type="http://schemas.openxmlformats.org/officeDocument/2006/relationships/hyperlink" Id="rId96" Target="https://doi.org/10.1101/sqb.1957.022.01.039" TargetMode="External" /><Relationship Type="http://schemas.openxmlformats.org/officeDocument/2006/relationships/hyperlink" Id="rId134" Target="https://doi.org/10.1146/annurev.es.03.110172.000543" TargetMode="External" /><Relationship Type="http://schemas.openxmlformats.org/officeDocument/2006/relationships/hyperlink" Id="rId124" Target="https://doi.org/10.1353/sgo.2017.0026" TargetMode="External" /><Relationship Type="http://schemas.openxmlformats.org/officeDocument/2006/relationships/hyperlink" Id="rId76" Target="https://doi.org/10.21105/joss.03485" TargetMode="External" /><Relationship Type="http://schemas.openxmlformats.org/officeDocument/2006/relationships/hyperlink" Id="rId109" Target="https://doi.org/10.2307/1932688" TargetMode="External" /><Relationship Type="http://schemas.openxmlformats.org/officeDocument/2006/relationships/hyperlink" Id="rId118" Target="https://doi.org/10.3354/meps322099" TargetMode="External" /><Relationship Type="http://schemas.openxmlformats.org/officeDocument/2006/relationships/hyperlink" Id="rId70" Target="https://doi.org/10.3389/fevo.2023.1070266" TargetMode="External" /><Relationship Type="http://schemas.openxmlformats.org/officeDocument/2006/relationships/hyperlink" Id="rId107" Target="https://doi.org/10.3389/fmars.2021.769877" TargetMode="External" /><Relationship Type="http://schemas.openxmlformats.org/officeDocument/2006/relationships/hyperlink" Id="rId84" Target="https://doi.org/10.3389/fpls.2021.612947" TargetMode="External" /><Relationship Type="http://schemas.openxmlformats.org/officeDocument/2006/relationships/hyperlink" Id="rId111" Target="https://drive.google.com/file/d/1-1Jq9vly5EvVwEp698brlBucXjSMDbNn/view?usp=sharing" TargetMode="External" /><Relationship Type="http://schemas.openxmlformats.org/officeDocument/2006/relationships/hyperlink" Id="rId126" Target="https://drive.google.com/file/d/1BCviGfLykVX-p1tA3b0306deP3pKMagr/view?usp=drivesdk" TargetMode="External" /><Relationship Type="http://schemas.openxmlformats.org/officeDocument/2006/relationships/hyperlink" Id="rId120" Target="https://drive.google.com/file/d/1Hp0l_qtbxp1JxKJoGatdyuANSzQrpL0I/view?usp=drivesdk" TargetMode="External" /><Relationship Type="http://schemas.openxmlformats.org/officeDocument/2006/relationships/hyperlink" Id="rId98" Target="https://drive.google.com/file/d/1KARuSC5fGx05MuT1wiOQFWNXysBokkQl/view?usp=share_link" TargetMode="External" /><Relationship Type="http://schemas.openxmlformats.org/officeDocument/2006/relationships/hyperlink" Id="rId102" Target="https://drive.google.com/file/d/1sNp3FpjdeOjATZ9nDRRAiXEOqQen9W_p/view?usp=sharing" TargetMode="External" /><Relationship Type="http://schemas.openxmlformats.org/officeDocument/2006/relationships/hyperlink" Id="rId25" Target="https://tampabay.wateratlas.usf.edu/seagrass-monitoring/" TargetMode="External" /><Relationship Type="http://schemas.openxmlformats.org/officeDocument/2006/relationships/hyperlink" Id="rId113"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8" Target="https://CRAN.R-project.org/package=SPEI" TargetMode="External" /><Relationship Type="http://schemas.openxmlformats.org/officeDocument/2006/relationships/hyperlink" Id="rId82" Target="https://CRAN.R-project.org/package=rnoaa" TargetMode="External" /><Relationship Type="http://schemas.openxmlformats.org/officeDocument/2006/relationships/hyperlink" Id="rId128" Target="https://data-swfwmd.opendata.arcgis.com/datasets/seagrass-in-2022" TargetMode="External" /><Relationship Type="http://schemas.openxmlformats.org/officeDocument/2006/relationships/hyperlink" Id="rId80" Target="https://doi.org/10.1002/joc.3887" TargetMode="External" /><Relationship Type="http://schemas.openxmlformats.org/officeDocument/2006/relationships/hyperlink" Id="rId132" Target="https://doi.org/10.1002/lol2.10098" TargetMode="External" /><Relationship Type="http://schemas.openxmlformats.org/officeDocument/2006/relationships/hyperlink" Id="rId130" Target="https://doi.org/10.1002/nt.2620020503" TargetMode="External" /><Relationship Type="http://schemas.openxmlformats.org/officeDocument/2006/relationships/hyperlink" Id="rId104" Target="https://doi.org/10.1007/bf02691700" TargetMode="External" /><Relationship Type="http://schemas.openxmlformats.org/officeDocument/2006/relationships/hyperlink" Id="rId90" Target="https://doi.org/10.1007/s00267-005-0079-4" TargetMode="External" /><Relationship Type="http://schemas.openxmlformats.org/officeDocument/2006/relationships/hyperlink" Id="rId72" Target="https://doi.org/10.1007/s12237-019-00619-w" TargetMode="External" /><Relationship Type="http://schemas.openxmlformats.org/officeDocument/2006/relationships/hyperlink" Id="rId138" Target="https://doi.org/10.1016/0304-3770(75)90016-9" TargetMode="External" /><Relationship Type="http://schemas.openxmlformats.org/officeDocument/2006/relationships/hyperlink" Id="rId115" Target="https://doi.org/10.1016/j.dsr2.2023.105321" TargetMode="External" /><Relationship Type="http://schemas.openxmlformats.org/officeDocument/2006/relationships/hyperlink" Id="rId122" Target="https://doi.org/10.1016/j.ecolind.2020.107310" TargetMode="External" /><Relationship Type="http://schemas.openxmlformats.org/officeDocument/2006/relationships/hyperlink" Id="rId88" Target="https://doi.org/10.1016/j.ecss.2014.10.003" TargetMode="External" /><Relationship Type="http://schemas.openxmlformats.org/officeDocument/2006/relationships/hyperlink" Id="rId86" Target="https://doi.org/10.1016/j.marpolbul.2010.11.017" TargetMode="External" /><Relationship Type="http://schemas.openxmlformats.org/officeDocument/2006/relationships/hyperlink" Id="rId68" Target="https://doi.org/10.1016/j.marpolbul.2022.113598" TargetMode="External" /><Relationship Type="http://schemas.openxmlformats.org/officeDocument/2006/relationships/hyperlink" Id="rId136" Target="https://doi.org/10.1016/j.marpolbul.2023.115043" TargetMode="External" /><Relationship Type="http://schemas.openxmlformats.org/officeDocument/2006/relationships/hyperlink" Id="rId74" Target="https://doi.org/10.1016/j.scitotenv.2021.149927" TargetMode="External" /><Relationship Type="http://schemas.openxmlformats.org/officeDocument/2006/relationships/hyperlink" Id="rId94" Target="https://doi.org/10.1029/wr018i001p00107" TargetMode="External" /><Relationship Type="http://schemas.openxmlformats.org/officeDocument/2006/relationships/hyperlink" Id="rId92" Target="https://doi.org/10.1073/pnas.2220678120" TargetMode="External" /><Relationship Type="http://schemas.openxmlformats.org/officeDocument/2006/relationships/hyperlink" Id="rId96" Target="https://doi.org/10.1101/sqb.1957.022.01.039" TargetMode="External" /><Relationship Type="http://schemas.openxmlformats.org/officeDocument/2006/relationships/hyperlink" Id="rId134" Target="https://doi.org/10.1146/annurev.es.03.110172.000543" TargetMode="External" /><Relationship Type="http://schemas.openxmlformats.org/officeDocument/2006/relationships/hyperlink" Id="rId124" Target="https://doi.org/10.1353/sgo.2017.0026" TargetMode="External" /><Relationship Type="http://schemas.openxmlformats.org/officeDocument/2006/relationships/hyperlink" Id="rId76" Target="https://doi.org/10.21105/joss.03485" TargetMode="External" /><Relationship Type="http://schemas.openxmlformats.org/officeDocument/2006/relationships/hyperlink" Id="rId109" Target="https://doi.org/10.2307/1932688" TargetMode="External" /><Relationship Type="http://schemas.openxmlformats.org/officeDocument/2006/relationships/hyperlink" Id="rId118" Target="https://doi.org/10.3354/meps322099" TargetMode="External" /><Relationship Type="http://schemas.openxmlformats.org/officeDocument/2006/relationships/hyperlink" Id="rId70" Target="https://doi.org/10.3389/fevo.2023.1070266" TargetMode="External" /><Relationship Type="http://schemas.openxmlformats.org/officeDocument/2006/relationships/hyperlink" Id="rId107" Target="https://doi.org/10.3389/fmars.2021.769877" TargetMode="External" /><Relationship Type="http://schemas.openxmlformats.org/officeDocument/2006/relationships/hyperlink" Id="rId84" Target="https://doi.org/10.3389/fpls.2021.612947" TargetMode="External" /><Relationship Type="http://schemas.openxmlformats.org/officeDocument/2006/relationships/hyperlink" Id="rId111" Target="https://drive.google.com/file/d/1-1Jq9vly5EvVwEp698brlBucXjSMDbNn/view?usp=sharing" TargetMode="External" /><Relationship Type="http://schemas.openxmlformats.org/officeDocument/2006/relationships/hyperlink" Id="rId126" Target="https://drive.google.com/file/d/1BCviGfLykVX-p1tA3b0306deP3pKMagr/view?usp=drivesdk" TargetMode="External" /><Relationship Type="http://schemas.openxmlformats.org/officeDocument/2006/relationships/hyperlink" Id="rId120" Target="https://drive.google.com/file/d/1Hp0l_qtbxp1JxKJoGatdyuANSzQrpL0I/view?usp=drivesdk" TargetMode="External" /><Relationship Type="http://schemas.openxmlformats.org/officeDocument/2006/relationships/hyperlink" Id="rId98" Target="https://drive.google.com/file/d/1KARuSC5fGx05MuT1wiOQFWNXysBokkQl/view?usp=share_link" TargetMode="External" /><Relationship Type="http://schemas.openxmlformats.org/officeDocument/2006/relationships/hyperlink" Id="rId102" Target="https://drive.google.com/file/d/1sNp3FpjdeOjATZ9nDRRAiXEOqQen9W_p/view?usp=sharing" TargetMode="External" /><Relationship Type="http://schemas.openxmlformats.org/officeDocument/2006/relationships/hyperlink" Id="rId25" Target="https://tampabay.wateratlas.usf.edu/seagrass-monitoring/" TargetMode="External" /><Relationship Type="http://schemas.openxmlformats.org/officeDocument/2006/relationships/hyperlink" Id="rId113"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2023-10-26T18:50:04Z</dcterms:created>
  <dcterms:modified xsi:type="dcterms:W3CDTF">2023-10-26T18:50:04Z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