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61.png" ContentType="image/png"/>
  <Override PartName="/word/media/rId45.png" ContentType="image/png"/>
  <Override PartName="/word/media/rId57.png" ContentType="image/png"/>
  <Override PartName="/word/media/rId65.png" ContentType="image/png"/>
  <Override PartName="/word/media/rId49.png" ContentType="image/png"/>
  <Override PartName="/word/media/rId69.png" ContentType="image/png"/>
  <Override PartName="/word/media/rId7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water</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Tampa Bay has become hotter and fresher with water temperature increasing by 0.03 - 0.04</w:t>
      </w:r>
      <w:r>
        <w:t xml:space="preserve"> </w:t>
      </w:r>
      <m:oMath>
        <m:sSup>
          <m:e>
            <m:r>
              <m:t>​</m:t>
            </m:r>
          </m:e>
          <m:sup>
            <m:r>
              <m:rPr>
                <m:sty m:val="p"/>
              </m:rPr>
              <m:t>∘</m:t>
            </m:r>
          </m:sup>
        </m:sSup>
      </m:oMath>
      <w:r>
        <w:t xml:space="preserve">C per year and salinity decreasing by 0.04 - 0.06 ppt per year, translating to an increase of 1.3 to 1.7</w:t>
      </w:r>
      <w:r>
        <w:t xml:space="preserve"> </w:t>
      </w:r>
      <m:oMath>
        <m:sSup>
          <m:e>
            <m:r>
              <m:t>​</m:t>
            </m:r>
          </m:e>
          <m:sup>
            <m:r>
              <m:rPr>
                <m:sty m:val="p"/>
              </m:rPr>
              <m:t>∘</m:t>
            </m:r>
          </m:sup>
        </m:sSup>
      </m:oMath>
      <w:r>
        <w:t xml:space="preserve">C and a decrease of 1.6 to 2.6 ppt over the last fifty years. Additionally, the number of days when temperature was above 30</w:t>
      </w:r>
      <w:r>
        <w:t xml:space="preserve"> </w:t>
      </w:r>
      <m:oMath>
        <m:sSup>
          <m:e>
            <m:r>
              <m:t>​</m:t>
            </m:r>
          </m:e>
          <m:sup>
            <m:r>
              <m:rPr>
                <m:sty m:val="p"/>
              </m:rPr>
              <m:t>∘</m:t>
            </m:r>
          </m:sup>
        </m:sSup>
      </m:oMath>
      <w:r>
        <w:t xml:space="preserve">C or salinity was below 25 ppt has increased on average across all bay segments by 48 and 37 days, respectively, since 1975. These changes varied spatially and seasonally, with the most dramatic changes observed in the upper bay. Generalized Additive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climate change drivers and warrant additional, complementary interventions and continuous monitoring data to support ecosystem health into the future.</w:t>
      </w:r>
    </w:p>
    <w:p>
      <w:pPr>
        <w:pStyle w:val="BodyText"/>
      </w:pPr>
      <w:r>
        <w:rPr>
          <w:iCs/>
          <w:i/>
        </w:rPr>
        <w:t xml:space="preserve">Key words</w:t>
      </w:r>
      <w:r>
        <w:t xml:space="preserve">: climate change; seagrass; salinity; temperature; Tampa Bay</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on a global scale. Seagrasses are fundamental indicators of coastal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w:t>
      </w:r>
      <w:r>
        <w:t xml:space="preserve"> </w:t>
      </w:r>
      <w:r>
        <w:t xml:space="preserve">(Madeira et al. 2012; Lefcheck et al. 2017; Hammer et al. 2018;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environmental stress on seagrasses from acute warming related to climate change was compounded by stress from poor light environments in shallow waters, demonstrating a concerning synergy of stressors most likely to affect Tampa Bay.</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In Chesapeake Bay, the abundance of widgeongrass (</w:t>
      </w:r>
      <w:r>
        <w:rPr>
          <w:iCs/>
          <w:i/>
        </w:rPr>
        <w:t xml:space="preserve">Ruppia maritima</w:t>
      </w:r>
      <w:r>
        <w:t xml:space="preserve">) has responded positively to nutrient reduction and is replacing the formerly dominant but now heat-stressed</w:t>
      </w:r>
      <w:r>
        <w:t xml:space="preserve"> </w:t>
      </w:r>
      <w:r>
        <w:t xml:space="preserve">(</w:t>
      </w:r>
      <w:r>
        <w:rPr>
          <w:iCs/>
          <w:i/>
        </w:rPr>
        <w:t xml:space="preserve">Z. marina</w:t>
      </w:r>
      <w:r>
        <w:t xml:space="preserve">, Hensel et al. 2023)</w:t>
      </w:r>
      <w:r>
        <w:t xml:space="preserve">. Changing frequency and severity of precipitation patterns may further alter salinity regimes and with it the distribution and abundance of seagrasses throughout the estuary</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w:t>
      </w:r>
      <w:r>
        <w:t xml:space="preserve"> </w:t>
      </w:r>
      <w:r>
        <w:t xml:space="preserve">(Margaret O. Hall et al. 2016; Lefcheck et al. 2017; Zhang et al. 2023)</w:t>
      </w:r>
      <w:r>
        <w:t xml:space="preserve">, suggesting place-based empirical assessments will be needed to properly inform management decisions.</w:t>
      </w:r>
    </w:p>
    <w:p>
      <w:pPr>
        <w:pStyle w:val="BodyText"/>
      </w:pPr>
      <w:r>
        <w:t xml:space="preserve">In Tampa Bay, Florida, seagrasses are a primary indicator of bay health and have been the focus of management efforts for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(A. J. Janicki and Wade 1996; Beck 2020a)</w:t>
      </w:r>
      <w:r>
        <w:t xml:space="preserve">. Factors that have influenced this recent decline are unknown and the effects of climate change drivers on physical water quality conditions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that are more shallow and receive a majority of hydrologic inflow. This hypothesis was generated from preliminary assessments of datasets used herein and discussions with the regional scientific and management community. While other studies have suggested negative effects from climate change in the form of increased salinity</w:t>
      </w:r>
      <w:r>
        <w:t xml:space="preserve"> </w:t>
      </w:r>
      <w:r>
        <w:t xml:space="preserve">(e.g., Costa et al. 2023)</w:t>
      </w:r>
      <w:r>
        <w:t xml:space="preserve">, lower salinity may be a stressor for seagrass in Tampa Bay. The analysis was supported by 30-year seagrass datasets including aerial surveys of total seagrass distribution, annual transect monitoring describing species-specific percent cover, and synoptic seagrass data collected with routine biotic and water quality surveys.</w:t>
      </w:r>
    </w:p>
    <w:bookmarkEnd w:id="22"/>
    <w:bookmarkStart w:id="37"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The climate of Tampa Bay is subtropical with warm humid summers and cool less humid winters</w:t>
      </w:r>
      <w:r>
        <w:t xml:space="preserve"> </w:t>
      </w:r>
      <w:r>
        <w:t xml:space="preserve">(Garcia et al. 2023)</w:t>
      </w:r>
      <w:r>
        <w:t xml:space="preserve">. Unique to Tampa Bay and the entire central Florida peninsula is that this region is within a transition zone from more temperate weather to the north, similar to the rest of the southeastern United States, and more tropical weather to the south</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 causing relatively longer residence times and accumulation of legacy pollutant loads compared to the other bay segments</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(Figure</w:t>
      </w:r>
      <w:r>
        <w:t xml:space="preserve"> </w:t>
      </w:r>
      <w:hyperlink w:anchor="fig-seagrasschg">
        <w:r>
          <w:rPr>
            <w:rStyle w:val="Hyperlink"/>
          </w:rPr>
          <w:t xml:space="preserve">2</w:t>
        </w:r>
      </w:hyperlink>
      <w:r>
        <w:t xml:space="preserve">c), although seagrasses were historically limited by high phytoplankton production that affected light environments</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since the 1980s is a nationally 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Though Tampa Bay was far from pristine in the 1950s, aerial imagery was sufficient to estimate a relatively unimpacted condition for seagrass coverage. Since that time, the greatest areal coverage expansions were observed in the upper bay segments (OTB, HB, and MTB; Figure</w:t>
      </w:r>
      <w:r>
        <w:t xml:space="preserve"> </w:t>
      </w:r>
      <w:hyperlink w:anchor="fig-seagrasschg">
        <w:r>
          <w:rPr>
            <w:rStyle w:val="Hyperlink"/>
          </w:rPr>
          <w:t xml:space="preserve">2</w:t>
        </w:r>
      </w:hyperlink>
      <w:r>
        <w:t xml:space="preserve">a). Light environments have improved (Figure</w:t>
      </w:r>
      <w:r>
        <w:t xml:space="preserve"> </w:t>
      </w:r>
      <w:hyperlink w:anchor="fig-seagrasschg">
        <w:r>
          <w:rPr>
            <w:rStyle w:val="Hyperlink"/>
          </w:rPr>
          <w:t xml:space="preserve">2</w:t>
        </w:r>
      </w:hyperlink>
      <w:r>
        <w:t xml:space="preserve">c) through reduction of external nitrogen loadings by about 2/3 by the 1980s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seagrass loss has been observed in Tampa Bay, despite light environments remaining supportive of growth (Figure</w:t>
      </w:r>
      <w:r>
        <w:t xml:space="preserve"> </w:t>
      </w:r>
      <w:hyperlink w:anchor="fig-seagrasschg">
        <w:r>
          <w:rPr>
            <w:rStyle w:val="Hyperlink"/>
          </w:rPr>
          <w:t xml:space="preserve">2</w:t>
        </w:r>
      </w:hyperlink>
      <w:r>
        <w:t xml:space="preserve">c). Total cover in Tampa Bay has decreased by 28% (11,518 acres/4,661 ha) from the 2016 peak to a total baywide coverage of 30,137 acres (12,196 ha) in 2022.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which is close to the mapping error. As such, trajectories of recovery and decline have varied by bay segment in magnitude and timing of the change, although a consistent decline baywide has been observed since 2016. Change by species has been most notable for</w:t>
      </w:r>
      <w:r>
        <w:t xml:space="preserve"> </w:t>
      </w:r>
      <w:r>
        <w:rPr>
          <w:iCs/>
          <w:i/>
        </w:rPr>
        <w:t xml:space="preserve">Halodule wrightii</w:t>
      </w:r>
      <w:r>
        <w:t xml:space="preserve"> </w:t>
      </w:r>
      <w:r>
        <w:t xml:space="preserve">(shoal grass) in OTB and HB, whereas some losses have been observed for</w:t>
      </w:r>
      <w:r>
        <w:t xml:space="preserve"> </w:t>
      </w:r>
      <w:r>
        <w:rPr>
          <w:iCs/>
          <w:i/>
        </w:rPr>
        <w:t xml:space="preserve">Thalassia testudinum</w:t>
      </w:r>
      <w:r>
        <w:t xml:space="preserve"> </w:t>
      </w:r>
      <w:r>
        <w:t xml:space="preserve">(turtle grass) in LTB, likely related to dominance of each species across the salinity gradient and proximity to hydrologic inputs</w:t>
      </w:r>
      <w:r>
        <w:t xml:space="preserve"> </w:t>
      </w:r>
      <w:r>
        <w:t xml:space="preserve">(Lewis III et al. 1985)</w:t>
      </w:r>
      <w:r>
        <w:t xml:space="preserve">.</w:t>
      </w:r>
    </w:p>
    <w:bookmarkEnd w:id="24"/>
    <w:bookmarkStart w:id="27" w:name="seagrass-data"/>
    <w:p>
      <w:pPr>
        <w:pStyle w:val="Heading3"/>
      </w:pPr>
      <w:r>
        <w:t xml:space="preserve">2.3 Seagrass data</w:t>
      </w:r>
    </w:p>
    <w:p>
      <w:pPr>
        <w:pStyle w:val="FirstParagraph"/>
      </w:pPr>
      <w:r>
        <w:t xml:space="preserve">Two primary sources of data have been used to track seagrass change in Tampa Bay (</w:t>
      </w:r>
      <w:hyperlink w:anchor="tbl-dattab">
        <w:r>
          <w:rPr>
            <w:rStyle w:val="Hyperlink"/>
          </w:rPr>
          <w:t xml:space="preserve">Table 1</w:t>
        </w:r>
      </w:hyperlink>
      <w:r>
        <w:t xml:space="preserve">).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from aerial images collected specifically to map seagrass and are acquired during a flight window from December and February. The maps are created by photointerpretation of image signatures coupled with a robust field verification and accuracy assessment. The maps provide a spatial estimate of seagrass cover at the landscape scale and is irrespective of species. Complementary to the SWFWMD seagrass mapping program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w:t>
      </w:r>
      <w:r>
        <w:t xml:space="preserve"> </w:t>
      </w:r>
      <w:r>
        <w:t xml:space="preserve">(number of sample points with seagrass divided by total points on a transect, as in Sherwood et al. 2017)</w:t>
      </w:r>
      <w:r>
        <w:t xml:space="preserve">, and condition, collected at fixed meter marks along a transect extending from the shoreline to the deepwater edge of the seagrass bed. Although the areal maps provide the standard for assessment of restoration goals, the maps are produced every other year. The transect data are collected each year, allowing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w:t>
      </w:r>
      <w:hyperlink w:anchor="tbl-dattab">
        <w:r>
          <w:rPr>
            <w:rStyle w:val="Hyperlink"/>
          </w:rPr>
          <w:t xml:space="preserve">Table 1</w:t>
        </w:r>
      </w:hyperlink>
      <w:r>
        <w:t xml:space="preserve">).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w:t>
      </w:r>
      <w:r>
        <w:t xml:space="preserve"> </w:t>
      </w:r>
      <w:hyperlink w:anchor="fig-map">
        <w:r>
          <w:rPr>
            <w:rStyle w:val="Hyperlink"/>
          </w:rPr>
          <w:t xml:space="preserve">1</w:t>
        </w:r>
      </w:hyperlink>
      <w:r>
        <w:t xml:space="preserve">b). The 45 stations with the longest and most complete temporal record from 1975 to present were used herein.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although 1975 bottom salinity used middle water column sampling since the former was not available until the following year.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 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water quality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w:t>
      </w:r>
      <w:r>
        <w:t xml:space="preserve"> </w:t>
      </w:r>
      <w:hyperlink w:anchor="tbl-dattab">
        <w:r>
          <w:rPr>
            <w:rStyle w:val="Hyperlink"/>
          </w:rPr>
          <w:t xml:space="preserve">Table 1</w:t>
        </w:r>
      </w:hyperlink>
      <w:r>
        <w:t xml:space="preserve">). The rnoaa R package</w:t>
      </w:r>
      <w:r>
        <w:t xml:space="preserve"> </w:t>
      </w:r>
      <w:r>
        <w:t xml:space="preserve">(Chamberlain and Hocking 2023)</w:t>
      </w:r>
      <w:r>
        <w:t xml:space="preserve"> </w:t>
      </w:r>
      <w:r>
        <w:t xml:space="preserve">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be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fundamental niche space can be defined in multiple dimensions for many parameters, we focus on water temperature and salinity given that other dominant forcing factors, i.e., light availability, have been sufficient for growth in recent years (Figure</w:t>
      </w:r>
      <w:r>
        <w:t xml:space="preserve"> </w:t>
      </w:r>
      <w:hyperlink w:anchor="fig-seagrasschg">
        <w:r>
          <w:rPr>
            <w:rStyle w:val="Hyperlink"/>
          </w:rPr>
          <w:t xml:space="preserve">2</w:t>
        </w:r>
      </w:hyperlink>
      <w:r>
        <w:t xml:space="preserve">c).</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 R. Phillips and Meñez 1988)</w:t>
      </w:r>
      <w:r>
        <w:t xml:space="preserve">. Other less common species include</w:t>
      </w:r>
      <w:r>
        <w:t xml:space="preserve"> </w:t>
      </w:r>
      <w:r>
        <w:rPr>
          <w:iCs/>
          <w:i/>
        </w:rPr>
        <w:t xml:space="preserve">Ruppia maritima</w:t>
      </w:r>
      <w:r>
        <w:t xml:space="preserve"> (widgeon grass) and</w:t>
      </w:r>
      <w:r>
        <w:t xml:space="preserve"> </w:t>
      </w:r>
      <w:r>
        <w:rPr>
          <w:iCs/>
          <w:i/>
        </w:rPr>
        <w:t xml:space="preserve">Halophila engelmanii</w:t>
      </w:r>
      <w:r>
        <w:t xml:space="preserve"> </w:t>
      </w:r>
      <w:r>
        <w:t xml:space="preserve">(star grass), where the former is often mapped during wet years in the upper bay segments from the aerial surveys.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w:t>
      </w:r>
      <w:r>
        <w:t xml:space="preserve">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(R. C. 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competing species</w:t>
      </w:r>
      <w:r>
        <w:t xml:space="preserve"> </w:t>
      </w:r>
      <w:r>
        <w:t xml:space="preserve">(Araújo and Guisan 2006)</w:t>
      </w:r>
      <w:r>
        <w:t xml:space="preserve">.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(S. N. 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0.66 to 0.95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w:r>
        <w:t xml:space="preserve"> </w:t>
      </w:r>
      <m:oMath>
        <m:sSup>
          <m:e>
            <m:r>
              <m:t>​</m:t>
            </m:r>
          </m:e>
          <m:sup>
            <m:r>
              <m:rPr>
                <m:sty m:val="p"/>
              </m:rPr>
              <m:t>∘</m:t>
            </m:r>
          </m:sup>
        </m:sSup>
      </m:oMath>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1"/>
    <w:bookmarkStart w:id="36"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Preliminary analyses evaluated different lagged associations between the stressor metrics and seagrass change, although initial results suggested no additional insight could be gained using lagged assessments compared to the transect year summaries. As such, the stressor metrics were compared to frequency occurrence (all species) each year by bay segment. GAMs were used to evaluate frequency occurrence in response to the independent variables, where the latter were the stressor metrics for temperature, salinity, or both. Additional predictors included year and light attenuation as estimated from Secchi depth</w:t>
      </w:r>
      <w:r>
        <w:t xml:space="preserve"> </w:t>
      </w:r>
      <w:r>
        <w:t xml:space="preserve">(A. J. Janicki and Wade 1996)</w:t>
      </w:r>
      <w:r>
        <w:t xml:space="preserve">. For 1998 to 2022, 17% of the Secchi observations were recorded on the bottom. A single smooth term was used for each predictor using a thin plate regression spline, including a tensor product interaction term with a cubic regression spline that evaluated the potential interacting effects of each predictor with year. Two models were evaluated, one with the temperature and salinity metrics together (</w:t>
      </w:r>
      <w:hyperlink w:anchor="eq-epcmod1">
        <w:r>
          <w:rPr>
            <w:rStyle w:val="Hyperlink"/>
          </w:rPr>
          <w:t xml:space="preserve">Equation 1</w:t>
        </w:r>
      </w:hyperlink>
      <w:r>
        <w:t xml:space="preserve">) and another with the both metric (</w:t>
      </w:r>
      <w:hyperlink w:anchor="eq-epcmod2">
        <w:r>
          <w:rPr>
            <w:rStyle w:val="Hyperlink"/>
          </w:rPr>
          <w:t xml:space="preserve">Equation 2</w:t>
        </w:r>
      </w:hyperlink>
      <w:r>
        <w:t xml:space="preserve">). All models excluded Lower Tampa Bay because of minimal seagrass change over time. Additionally, total seagrass frequency occurrence was used as a response variable as an aggregate measure of community change to potential stressors given the likelihood that species-specific changes may be more difficult to model and that the majority of seagrass loss in recent years was dominated by</w:t>
      </w:r>
      <w:r>
        <w:t xml:space="preserve"> </w:t>
      </w:r>
      <w:r>
        <w:rPr>
          <w:iCs/>
          <w:i/>
        </w:rPr>
        <w:t xml:space="preserve">H. wrightii</w:t>
      </w:r>
      <w:r>
        <w:t xml:space="preserve"> </w:t>
      </w:r>
      <w:r>
        <w:t xml:space="preserve">in the upper bay segments (Figure</w:t>
      </w:r>
      <w:r>
        <w:t xml:space="preserve"> </w:t>
      </w:r>
      <w:hyperlink w:anchor="fig-seagrasschg">
        <w:r>
          <w:rPr>
            <w:rStyle w:val="Hyperlink"/>
          </w:rPr>
          <w:t xml:space="preserve">2</w:t>
        </w:r>
      </w:hyperlink>
      <w:r>
        <w:t xml:space="preserve">b). The GAM equations in mgcv R package notation</w:t>
      </w:r>
      <w:r>
        <w:t xml:space="preserve"> </w:t>
      </w:r>
      <w:r>
        <w:t xml:space="preserve">(S. N. Wood 2017)</w:t>
      </w:r>
      <w:r>
        <w:t xml:space="preserve"> </w:t>
      </w:r>
      <w:r>
        <w:t xml:space="preserve">are below, where</w:t>
      </w:r>
      <w:r>
        <w:t xml:space="preserve"> </w:t>
      </w:r>
      <m:oMath>
        <m:r>
          <m:t>s</m:t>
        </m:r>
      </m:oMath>
      <w:r>
        <w:t xml:space="preserve"> </w:t>
      </w:r>
      <w:r>
        <w:t xml:space="preserve">is a smoother function for a single predictor and</w:t>
      </w:r>
      <w:r>
        <w:t xml:space="preserve"> </w:t>
      </w:r>
      <m:oMath>
        <m:r>
          <m:t>t</m:t>
        </m:r>
        <m:r>
          <m:t>i</m:t>
        </m:r>
      </m:oMath>
      <w:r>
        <w:t xml:space="preserve"> </w:t>
      </w:r>
      <w:r>
        <w:t xml:space="preserve">is the tensor product interaction between predictors. All GAMs were fit using restricted maximum likelihood evaluation</w:t>
      </w:r>
      <w:r>
        <w:t xml:space="preserve"> </w:t>
      </w:r>
      <w:r>
        <w:t xml:space="preserve">(S. N. Wood 2011)</w:t>
      </w:r>
      <w:r>
        <w:t xml:space="preserve">.</w:t>
      </w:r>
    </w:p>
    <w:p>
      <w:pPr>
        <w:pStyle w:val="BodyText"/>
      </w:pPr>
      <w:bookmarkStart w:id="32" w:name="eq-epcmod1"/>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l</m:t>
                    </m:r>
                    <m:r>
                      <m:t>i</m:t>
                    </m:r>
                    <m:r>
                      <m:t>g</m:t>
                    </m:r>
                    <m:r>
                      <m:t>h</m:t>
                    </m:r>
                    <m:r>
                      <m:t>t</m:t>
                    </m:r>
                    <m:r>
                      <m:t> </m:t>
                    </m:r>
                    <m:r>
                      <m:t>a</m:t>
                    </m:r>
                    <m:r>
                      <m:t>t</m:t>
                    </m:r>
                    <m:r>
                      <m:t>t</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t</m:t>
                    </m:r>
                    <m:r>
                      <m:t>e</m:t>
                    </m:r>
                    <m:r>
                      <m:t>m</m:t>
                    </m:r>
                    <m:r>
                      <m:t>p</m:t>
                    </m:r>
                    <m:r>
                      <m:t>e</m:t>
                    </m:r>
                    <m:r>
                      <m:t>r</m:t>
                    </m:r>
                    <m:r>
                      <m:t>a</m:t>
                    </m:r>
                    <m:r>
                      <m:t>t</m:t>
                    </m:r>
                    <m:r>
                      <m:t>u</m:t>
                    </m:r>
                    <m:r>
                      <m:t>r</m:t>
                    </m:r>
                    <m:r>
                      <m:t>e</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s</m:t>
                    </m:r>
                    <m:r>
                      <m:t>a</m:t>
                    </m:r>
                    <m:r>
                      <m:t>l</m:t>
                    </m:r>
                    <m:r>
                      <m:t>i</m:t>
                    </m:r>
                    <m:r>
                      <m:t>n</m:t>
                    </m:r>
                    <m:r>
                      <m:t>i</m:t>
                    </m:r>
                    <m:r>
                      <m:t>t</m:t>
                    </m:r>
                    <m:r>
                      <m:t>y</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l</m:t>
                    </m:r>
                    <m:r>
                      <m:t>i</m:t>
                    </m:r>
                    <m:r>
                      <m:t>g</m:t>
                    </m:r>
                    <m:r>
                      <m:t>h</m:t>
                    </m:r>
                    <m:r>
                      <m:t>t</m:t>
                    </m:r>
                    <m:r>
                      <m:t> </m:t>
                    </m:r>
                    <m:r>
                      <m:t>a</m:t>
                    </m:r>
                    <m:r>
                      <m:t>t</m:t>
                    </m:r>
                    <m:r>
                      <m:t>t</m:t>
                    </m:r>
                    <m:r>
                      <m:rPr>
                        <m:sty m:val="p"/>
                      </m:rPr>
                      <m:t>,</m:t>
                    </m:r>
                    <m:r>
                      <m:t> </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s</m:t>
                    </m:r>
                    <m:r>
                      <m:t>a</m:t>
                    </m:r>
                    <m:r>
                      <m:t>l</m:t>
                    </m:r>
                    <m:r>
                      <m:t>i</m:t>
                    </m:r>
                    <m:r>
                      <m:t>n</m:t>
                    </m:r>
                    <m:r>
                      <m:t>i</m:t>
                    </m:r>
                    <m:r>
                      <m:t>t</m:t>
                    </m:r>
                    <m:r>
                      <m:t>y</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1</m:t>
              </m:r>
            </m:e>
          </m:d>
        </m:oMath>
      </m:oMathPara>
      <w:bookmarkEnd w:id="32"/>
    </w:p>
    <w:p>
      <w:pPr>
        <w:pStyle w:val="FirstParagraph"/>
      </w:pPr>
      <w:bookmarkStart w:id="33" w:name="eq-epcmod2"/>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l</m:t>
                    </m:r>
                    <m:r>
                      <m:t>i</m:t>
                    </m:r>
                    <m:r>
                      <m:t>g</m:t>
                    </m:r>
                    <m:r>
                      <m:t>h</m:t>
                    </m:r>
                    <m:r>
                      <m:t>t</m:t>
                    </m:r>
                    <m:r>
                      <m:t> </m:t>
                    </m:r>
                    <m:r>
                      <m:t>a</m:t>
                    </m:r>
                    <m:r>
                      <m:t>t</m:t>
                    </m:r>
                    <m:r>
                      <m:t>t</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b</m:t>
                    </m:r>
                    <m:r>
                      <m:t>o</m:t>
                    </m:r>
                    <m:r>
                      <m:t>t</m:t>
                    </m:r>
                    <m:r>
                      <m:t>h</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l</m:t>
                    </m:r>
                    <m:r>
                      <m:t>i</m:t>
                    </m:r>
                    <m:r>
                      <m:t>g</m:t>
                    </m:r>
                    <m:r>
                      <m:t>h</m:t>
                    </m:r>
                    <m:r>
                      <m:t>t</m:t>
                    </m:r>
                    <m:r>
                      <m:t> </m:t>
                    </m:r>
                    <m:r>
                      <m:t>a</m:t>
                    </m:r>
                    <m:r>
                      <m:t>t</m:t>
                    </m:r>
                    <m:r>
                      <m:t>t</m:t>
                    </m:r>
                    <m:r>
                      <m:rPr>
                        <m:sty m:val="p"/>
                      </m:rPr>
                      <m:t>,</m:t>
                    </m:r>
                    <m:r>
                      <m:t> </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b</m:t>
                    </m:r>
                    <m:r>
                      <m:t>o</m:t>
                    </m:r>
                    <m:r>
                      <m:t>t</m:t>
                    </m:r>
                    <m:r>
                      <m:t>h</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2</m:t>
              </m:r>
            </m:e>
          </m:d>
        </m:oMath>
      </m:oMathPara>
      <w:bookmarkEnd w:id="33"/>
    </w:p>
    <w:p>
      <w:pPr>
        <w:pStyle w:val="FirstParagraph"/>
      </w:pPr>
      <w:r>
        <w:t xml:space="preserve">models were constructed to provide an additional weight-of-evidence for the FIM and PDEM temperature and salinity datasets relative to seagrass change. These models used direct measurements of salinity and temperature as independent variables because the stressor metrics could not be calculated using the sampling designs from these monitoring programs (i.e., each sample was a distinct location). GAMs were used for the FIM data to evaluate annual average seagrass percent cover using year, temperature, and salinity as independent variables. Separate smoothed terms for each predictor and interactions with year for each predictor for each bay segment were included as above. GAMs for the PDEM data were constructed similarly, except only Old Tampa Bay was evaluated due to spatial limitations of the data. Neither the FIM nor PDEM models used light attenuation as a predictor variable given that a large percentage of Secchi observations were measured on the bottom (92% and 45%, respectively), providing further support that light environments have not been limiting for seagrasses. Model input data were further subset to include only months from July to October to describe seagrasses during the growing season and to reduce potential seasonal effects. Lastly, all data were averaged annually for the monthly subsets for comparability of sample size (i.e., power) with the EPC models. For the PDEM models, presence/absence was converted to frequency occurrence as the number of sites with seagrass in a year divided by the total number of sites and all data were subset to less than 2 meters to better characterize locations where seagrass occurs. The GAM equations for the FIM (</w:t>
      </w:r>
      <w:hyperlink w:anchor="eq-fimmod">
        <w:r>
          <w:rPr>
            <w:rStyle w:val="Hyperlink"/>
          </w:rPr>
          <w:t xml:space="preserve">Equation 3</w:t>
        </w:r>
      </w:hyperlink>
      <w:r>
        <w:t xml:space="preserve">) and PDEM (</w:t>
      </w:r>
      <w:hyperlink w:anchor="eq-pincomod">
        <w:r>
          <w:rPr>
            <w:rStyle w:val="Hyperlink"/>
          </w:rPr>
          <w:t xml:space="preserve">Equation 4</w:t>
        </w:r>
      </w:hyperlink>
      <w:r>
        <w:t xml:space="preserve">) datasets, respectively, were as follows.</w:t>
      </w:r>
    </w:p>
    <w:p>
      <w:pPr>
        <w:pStyle w:val="BodyText"/>
      </w:pPr>
      <w:bookmarkStart w:id="34" w:name="eq-fimmod"/>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t</m:t>
                    </m:r>
                    <m:r>
                      <m:t>e</m:t>
                    </m:r>
                    <m:r>
                      <m:t>m</m:t>
                    </m:r>
                    <m:r>
                      <m:t>p</m:t>
                    </m:r>
                    <m:r>
                      <m:t>e</m:t>
                    </m:r>
                    <m:r>
                      <m:t>r</m:t>
                    </m:r>
                    <m:r>
                      <m:t>a</m:t>
                    </m:r>
                    <m:r>
                      <m:t>t</m:t>
                    </m:r>
                    <m:r>
                      <m:t>u</m:t>
                    </m:r>
                    <m:r>
                      <m:t>r</m:t>
                    </m:r>
                    <m:r>
                      <m:t>e</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s</m:t>
                    </m:r>
                    <m:r>
                      <m:t>a</m:t>
                    </m:r>
                    <m:r>
                      <m:t>l</m:t>
                    </m:r>
                    <m:r>
                      <m:t>i</m:t>
                    </m:r>
                    <m:r>
                      <m:t>n</m:t>
                    </m:r>
                    <m:r>
                      <m:t>i</m:t>
                    </m:r>
                    <m:r>
                      <m:t>t</m:t>
                    </m:r>
                    <m:r>
                      <m:t>y</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s</m:t>
                    </m:r>
                    <m:r>
                      <m:t>a</m:t>
                    </m:r>
                    <m:r>
                      <m:t>l</m:t>
                    </m:r>
                    <m:r>
                      <m:t>i</m:t>
                    </m:r>
                    <m:r>
                      <m:t>n</m:t>
                    </m:r>
                    <m:r>
                      <m:t>i</m:t>
                    </m:r>
                    <m:r>
                      <m:t>t</m:t>
                    </m:r>
                    <m:r>
                      <m:t>y</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3</m:t>
              </m:r>
            </m:e>
          </m:d>
        </m:oMath>
      </m:oMathPara>
      <w:bookmarkEnd w:id="34"/>
    </w:p>
    <w:p>
      <w:pPr>
        <w:pStyle w:val="FirstParagraph"/>
      </w:pPr>
      <w:bookmarkStart w:id="35" w:name="eq-pincomod"/>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e>
                </m:d>
                <m:r>
                  <m:rPr>
                    <m:sty m:val="p"/>
                  </m:rPr>
                  <m:t>+</m:t>
                </m:r>
                <m:r>
                  <m:t>s</m:t>
                </m:r>
                <m:d>
                  <m:dPr>
                    <m:begChr m:val="("/>
                    <m:endChr m:val=")"/>
                    <m:sepChr m:val=""/>
                    <m:grow/>
                  </m:dPr>
                  <m:e>
                    <m:r>
                      <m:t>t</m:t>
                    </m:r>
                    <m:r>
                      <m:t>e</m:t>
                    </m:r>
                    <m:r>
                      <m:t>m</m:t>
                    </m:r>
                    <m:r>
                      <m:t>p</m:t>
                    </m:r>
                    <m:r>
                      <m:t>e</m:t>
                    </m:r>
                    <m:r>
                      <m:t>r</m:t>
                    </m:r>
                    <m:r>
                      <m:t>a</m:t>
                    </m:r>
                    <m:r>
                      <m:t>t</m:t>
                    </m:r>
                    <m:r>
                      <m:t>u</m:t>
                    </m:r>
                    <m:r>
                      <m:t>r</m:t>
                    </m:r>
                    <m:r>
                      <m:t>e</m:t>
                    </m:r>
                  </m:e>
                </m:d>
                <m:r>
                  <m:rPr>
                    <m:sty m:val="p"/>
                  </m:rPr>
                  <m:t>+</m:t>
                </m:r>
                <m:r>
                  <m:t>s</m:t>
                </m:r>
                <m:d>
                  <m:dPr>
                    <m:begChr m:val="("/>
                    <m:endChr m:val=")"/>
                    <m:sepChr m:val=""/>
                    <m:grow/>
                  </m:dPr>
                  <m:e>
                    <m:r>
                      <m:t>s</m:t>
                    </m:r>
                    <m:r>
                      <m:t>a</m:t>
                    </m:r>
                    <m:r>
                      <m:t>l</m:t>
                    </m:r>
                    <m:r>
                      <m:t>i</m:t>
                    </m:r>
                    <m:r>
                      <m:t>n</m:t>
                    </m:r>
                    <m:r>
                      <m:t>i</m:t>
                    </m:r>
                    <m:r>
                      <m:t>t</m:t>
                    </m:r>
                    <m:r>
                      <m:t>y</m:t>
                    </m:r>
                  </m:e>
                </m:d>
                <m:r>
                  <m:rPr>
                    <m:sty m:val="p"/>
                  </m:rPr>
                  <m:t>+</m:t>
                </m:r>
              </m:e>
            </m:mr>
            <m:mr>
              <m:e>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e>
                </m:d>
                <m:r>
                  <m:rPr>
                    <m:sty m:val="p"/>
                  </m:rPr>
                  <m:t>+</m:t>
                </m:r>
                <m:r>
                  <m:t>t</m:t>
                </m:r>
                <m:r>
                  <m:t>i</m:t>
                </m:r>
                <m:d>
                  <m:dPr>
                    <m:begChr m:val="("/>
                    <m:endChr m:val=")"/>
                    <m:sepChr m:val=""/>
                    <m:grow/>
                  </m:dPr>
                  <m:e>
                    <m:r>
                      <m:t>s</m:t>
                    </m:r>
                    <m:r>
                      <m:t>a</m:t>
                    </m:r>
                    <m:r>
                      <m:t>l</m:t>
                    </m:r>
                    <m:r>
                      <m:t>i</m:t>
                    </m:r>
                    <m:r>
                      <m:t>n</m:t>
                    </m:r>
                    <m:r>
                      <m:t>i</m:t>
                    </m:r>
                    <m:r>
                      <m:t>t</m:t>
                    </m:r>
                    <m:r>
                      <m:t>y</m:t>
                    </m:r>
                    <m:r>
                      <m:rPr>
                        <m:sty m:val="p"/>
                      </m:rPr>
                      <m:t>,</m:t>
                    </m:r>
                    <m:r>
                      <m:t>y</m:t>
                    </m:r>
                    <m:r>
                      <m:t>e</m:t>
                    </m:r>
                    <m:r>
                      <m:t>a</m:t>
                    </m:r>
                    <m:r>
                      <m:t>r</m:t>
                    </m:r>
                  </m:e>
                </m:d>
              </m:e>
            </m:mr>
          </m:m>
          <m:r>
            <m:t>  </m:t>
          </m:r>
          <m:d>
            <m:dPr>
              <m:begChr m:val="("/>
              <m:endChr m:val=")"/>
              <m:sepChr m:val=""/>
              <m:grow/>
            </m:dPr>
            <m:e>
              <m:r>
                <m:t>4</m:t>
              </m:r>
            </m:e>
          </m:d>
        </m:oMath>
      </m:oMathPara>
      <w:bookmarkEnd w:id="35"/>
    </w:p>
    <w:bookmarkEnd w:id="36"/>
    <w:bookmarkEnd w:id="37"/>
    <w:bookmarkStart w:id="41" w:name="results"/>
    <w:p>
      <w:pPr>
        <w:pStyle w:val="Heading2"/>
      </w:pPr>
      <w:r>
        <w:t xml:space="preserve">3 Results</w:t>
      </w:r>
    </w:p>
    <w:bookmarkStart w:id="38"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(n = 48, p &lt; 0.001,</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2.21 mm per year, although the trend was weak (n = 47, p = 0.104,</w:t>
      </w:r>
      <w:r>
        <w:t xml:space="preserve"> </w:t>
      </w:r>
      <m:oMath>
        <m:sSup>
          <m:e>
            <m:r>
              <m:t>R</m:t>
            </m:r>
          </m:e>
          <m:sup>
            <m:r>
              <m:t>2</m:t>
            </m:r>
          </m:sup>
        </m:sSup>
      </m:oMath>
      <w:r>
        <w:t xml:space="preserve"> </w:t>
      </w:r>
      <w:r>
        <w:t xml:space="preserve">= 0.04). Removing September from the rainy season showed a slightly larger trend of 2.4 mm per year and slightly more powerful trend model (n = 48, p = 0.039,</w:t>
      </w:r>
      <w:r>
        <w:t xml:space="preserve"> </w:t>
      </w:r>
      <m:oMath>
        <m:sSup>
          <m:e>
            <m:r>
              <m:t>R</m:t>
            </m:r>
          </m:e>
          <m:sup>
            <m:r>
              <m:t>2</m:t>
            </m:r>
          </m:sup>
        </m:sSup>
      </m:oMath>
      <w:r>
        <w:t xml:space="preserve"> </w:t>
      </w:r>
      <w:r>
        <w:t xml:space="preserve">= 0.07), suggesting precipitation increases were driven by the earlier months (June - August). Using this model, mean precipitation for June to August in 1975 was 559.1 (+/-30.72 st. err.) mm, whereas current mean precipitation for June to August in 2022 was 669.3 (+/-29.76 st. err.) mm, showing an overall increase in the period of record of 110.3 mm. Notably, rainfall during the dry season (October through May) has decreased slightly over time at 1.97 mm per year, although the trend model was weak (n = 48, p = 0.261,</w:t>
      </w:r>
      <w:r>
        <w:t xml:space="preserve"> </w:t>
      </w:r>
      <m:oMath>
        <m:sSup>
          <m:e>
            <m:r>
              <m:t>R</m:t>
            </m:r>
          </m:e>
          <m:sup>
            <m:r>
              <m:t>2</m:t>
            </m:r>
          </m:sup>
        </m:sSup>
      </m:oMath>
      <w:r>
        <w:t xml:space="preserve"> </w:t>
      </w:r>
      <w:r>
        <w:t xml:space="preserve">= 0.01)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2</w:t>
        </w:r>
      </w:hyperlink>
      <w:r>
        <w:t xml:space="preserve">,</w:t>
      </w:r>
      <w:r>
        <w:t xml:space="preserve"> </w:t>
      </w:r>
      <w:hyperlink w:anchor="tbl-saltrndtab">
        <w:r>
          <w:rPr>
            <w:rStyle w:val="Hyperlink"/>
          </w:rPr>
          <w:t xml:space="preserve">3</w:t>
        </w:r>
      </w:hyperlink>
      <w:r>
        <w:t xml:space="preserve">, Figures S1, S2, S3). Note that for tables</w:t>
      </w:r>
      <w:r>
        <w:t xml:space="preserve"> </w:t>
      </w:r>
      <w:hyperlink w:anchor="tbl-temptrndtab">
        <w:r>
          <w:rPr>
            <w:rStyle w:val="Hyperlink"/>
          </w:rPr>
          <w:t xml:space="preserve">2</w:t>
        </w:r>
      </w:hyperlink>
      <w:r>
        <w:t xml:space="preserve"> </w:t>
      </w:r>
      <w:r>
        <w:t xml:space="preserve">and</w:t>
      </w:r>
      <w:r>
        <w:t xml:space="preserve"> </w:t>
      </w:r>
      <w:hyperlink w:anchor="tbl-saltrndtab">
        <w:r>
          <w:rPr>
            <w:rStyle w:val="Hyperlink"/>
          </w:rPr>
          <w:t xml:space="preserve">3</w:t>
        </w:r>
      </w:hyperlink>
      <w:r>
        <w:t xml:space="preserve">, comparable time periods were evaluated between the datasets when possible given the different sample sizes, and therefore power, to detect trends (starting year 1975: n = 48, 1996: n = 27, 2004: n = 19). The strongest trends were observed for the EPC dataset based on the standard errors for the slope estimates.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large increases for all four bay segments varying from 0.03 to 0.04</w:t>
      </w:r>
      <w:r>
        <w:t xml:space="preserve"> </w:t>
      </w:r>
      <m:oMath>
        <m:sSup>
          <m:e>
            <m:r>
              <m:t>​</m:t>
            </m:r>
          </m:e>
          <m:sup>
            <m:r>
              <m:rPr>
                <m:sty m:val="p"/>
              </m:rPr>
              <m:t>∘</m:t>
            </m:r>
          </m:sup>
        </m:sSup>
      </m:oMath>
      <w:r>
        <w:t xml:space="preserve">C per year, with a total change from 1.3 (OTB) to 1.7 (HB)</w:t>
      </w:r>
      <w:r>
        <w:t xml:space="preserve"> </w:t>
      </w:r>
      <m:oMath>
        <m:sSup>
          <m:e>
            <m:r>
              <m:t>​</m:t>
            </m:r>
          </m:e>
          <m:sup>
            <m:r>
              <m:rPr>
                <m:sty m:val="p"/>
              </m:rPr>
              <m:t>∘</m:t>
            </m:r>
          </m:sup>
        </m:sSup>
      </m:oMath>
      <w:r>
        <w:t xml:space="preserve">C across the period of record from 1975 to 2022 (</w:t>
      </w:r>
      <w:hyperlink w:anchor="tbl-temptrndtab">
        <w:r>
          <w:rPr>
            <w:rStyle w:val="Hyperlink"/>
          </w:rPr>
          <w:t xml:space="preserve">Table 2</w:t>
        </w:r>
      </w:hyperlink>
      <w:r>
        <w:t xml:space="preserve">). Salinity trends were also similar between bay segments, although overall salinity was predictably higher for bay segments closer to the Gulf of Mexico. Only Old Tampa Bay and Lower Tampa Bay had notable decreasing trends, with decreases of 0.06 (OTB) and 0.04 (LTB) ppt per year, with a total decrease of 2.6 (OTB) and 1.6 (LTB) ppt from 1975 to present. Increasing temperature trends and decreasing salinity trends were also observed for the FIM and PDEM dataset, although confidence in the slope estimates (larger standard errors) generally decreased for shorter time periods of assessment.</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increasing temperature and decreasing salinity from 1975 to present, although several stations in HB did not have weak salinity trends (Figure</w:t>
      </w:r>
      <w:r>
        <w:t xml:space="preserve"> </w:t>
      </w:r>
      <w:hyperlink w:anchor="fig-kendall">
        <w:r>
          <w:rPr>
            <w:rStyle w:val="Hyperlink"/>
          </w:rPr>
          <w:t xml:space="preserve">5</w:t>
        </w:r>
      </w:hyperlink>
      <w:r>
        <w:t xml:space="preserve">a). Seasonally, most bay segments had more stronger trends in the early fall/winter periods for both temperature and salinity (Figure</w:t>
      </w:r>
      <w:r>
        <w:t xml:space="preserve"> </w:t>
      </w:r>
      <w:hyperlink w:anchor="fig-kendall">
        <w:r>
          <w:rPr>
            <w:rStyle w:val="Hyperlink"/>
          </w:rPr>
          <w:t xml:space="preserve">5</w:t>
        </w:r>
      </w:hyperlink>
      <w:r>
        <w:t xml:space="preserve">b), although some variation was observed throughout the bay. Temperature trends were generally stronger in the fall for OTB, whereas the remaining bay segments showed the strongest trends in the winter (February). Seasonal trends in salinity showed the largest decreases in the fall following the rainy season, with trends being especially strong in OTB. Small increases in salinity were observed in the spring for all but LTB.</w:t>
      </w:r>
    </w:p>
    <w:bookmarkEnd w:id="38"/>
    <w:bookmarkStart w:id="39"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the temperature models for each of the three thresholds (29, 30, 31</w:t>
      </w:r>
      <w:r>
        <w:t xml:space="preserve"> </w:t>
      </w:r>
      <m:oMath>
        <m:sSup>
          <m:e>
            <m:r>
              <m:t>​</m:t>
            </m:r>
          </m:e>
          <m:sup>
            <m:r>
              <m:rPr>
                <m:sty m:val="p"/>
              </m:rPr>
              <m:t>∘</m:t>
            </m:r>
          </m:sup>
        </m:sSup>
      </m:oMath>
      <w:r>
        <w:t xml:space="preserve">C) showed increasing trends for each bay segment, with the largest slope of 1.5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less than 1 day per year in LTB to 1.1 days per year in MTB. Likewise, the mean number of days when temperature was above 30</w:t>
      </w:r>
      <w:r>
        <w:t xml:space="preserve"> </w:t>
      </w:r>
      <m:oMath>
        <m:sSup>
          <m:e>
            <m:r>
              <m:t>​</m:t>
            </m:r>
          </m:e>
          <m:sup>
            <m:r>
              <m:rPr>
                <m:sty m:val="p"/>
              </m:rPr>
              <m:t>∘</m:t>
            </m:r>
          </m:sup>
        </m:sSup>
      </m:oMath>
      <w:r>
        <w:t xml:space="preserve">C at the beginning and end of the period of record were similar between bay segments, with an average increase of 48 days across the bay segments for the period of record (</w:t>
      </w:r>
      <w:hyperlink w:anchor="tbl-mixdaytab">
        <w:r>
          <w:rPr>
            <w:rStyle w:val="Hyperlink"/>
          </w:rPr>
          <w:t xml:space="preserve">Table 4</w:t>
        </w:r>
      </w:hyperlink>
      <w:r>
        <w:t xml:space="preserve">, Table S5, see Table S6 for 1998 to 2022). The increase in the number of days each year when temperatures were above 29 or 31</w:t>
      </w:r>
      <w:r>
        <w:t xml:space="preserve"> </w:t>
      </w:r>
      <m:oMath>
        <m:sSup>
          <m:e>
            <m:r>
              <m:t>​</m:t>
            </m:r>
          </m:e>
          <m:sup>
            <m:r>
              <m:rPr>
                <m:sty m:val="p"/>
              </m:rPr>
              <m:t>∘</m:t>
            </m:r>
          </m:sup>
        </m:sSup>
      </m:oMath>
      <w:r>
        <w:t xml:space="preserve">C was similar.</w:t>
      </w:r>
    </w:p>
    <w:p>
      <w:pPr>
        <w:pStyle w:val="BodyText"/>
      </w:pPr>
      <w:r>
        <w:t xml:space="preserve">The salinity models were less similar between bay segments compared to the temperature models, primarily because of the natural salinity gradient along the bay’s longitudinal axis (Tables S3, S4). None of the bay segments had strong trends in the number of days per year when salinity was below 15 ppt. Both OTB and HB had models showing an increasing number of days when salinity was below 20 or 25 ppt, whereas MTB only showed an increase in the number of days when salinity was below 25 ppt. LTB had no notable salinity models. Some salinity models had decreasing trends, although the total number of days at the beginning and end of the period of record were neglible (Table S5). Overall, OTB showed the largest increase in the number of days each year when salinity was below a threshold, particularly for 25 ppt, where the change was 86 days per year from 1975 to 2022 (130 days to 216 days per year,</w:t>
      </w:r>
      <w:r>
        <w:t xml:space="preserve"> </w:t>
      </w:r>
      <w:hyperlink w:anchor="tbl-mixdaytab">
        <w:r>
          <w:rPr>
            <w:rStyle w:val="Hyperlink"/>
          </w:rPr>
          <w:t xml:space="preserve">Table 4</w:t>
        </w:r>
      </w:hyperlink>
      <w:r>
        <w:t xml:space="preserve">, Table S5, see Table S6 for 1998 to 2022). Across all bay segments, the average increase in the number of days salinity was below 25 ppt from 1975 to 2022 was 36 days, although a distinct gradient towards the mouth of the bay was observed.</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1.1,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showed the greatest increase for OTB of 68 days (4 days to 72 days per year from 1975 to 2022).</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 xml:space="preserve">Table 4</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9"/>
    <w:bookmarkStart w:id="40" w:name="seagrass-response"/>
    <w:p>
      <w:pPr>
        <w:pStyle w:val="Heading3"/>
      </w:pPr>
      <w:r>
        <w:t xml:space="preserve">3.3 Seagrass response</w:t>
      </w:r>
    </w:p>
    <w:p>
      <w:pPr>
        <w:pStyle w:val="FirstParagraph"/>
      </w:pPr>
      <w:r>
        <w:t xml:space="preserve">GAMs to assess the potential effects of year, light attenuation, temperature and salinity on seagrass change provided some evidence that seagrass change was influenced by climate stressors, particularly for the FIM and PDEM datasets. The model for the EPC data (n = 75, Adj. R</w:t>
      </w:r>
      <m:oMath>
        <m:sSup>
          <m:e>
            <m:r>
              <m:t>​</m:t>
            </m:r>
          </m:e>
          <m:sup>
            <m:r>
              <m:t>2</m:t>
            </m:r>
          </m:sup>
        </m:sSup>
      </m:oMath>
      <w:r>
        <w:t xml:space="preserve"> </w:t>
      </w:r>
      <w:r>
        <w:t xml:space="preserve">= 0.93, Deviance explained = 97%) had notable associations with year for the OTB and MTB bay segments and for light attenuation for the HB bay segment (</w:t>
      </w:r>
      <w:hyperlink w:anchor="fig-sgmod1">
        <w:r>
          <w:rPr>
            <w:rStyle w:val="Hyperlink"/>
          </w:rPr>
          <w:t xml:space="preserve">Figure 7</w:t>
        </w:r>
      </w:hyperlink>
      <w:r>
        <w:t xml:space="preserve">, Table S7). Associations of seagrass change with the temperature and salinity metrics were weak and somewhat contrary to expectation (i.e., an increasing partial effect on seagrass as the stressor metrics increased). The EPC model using the</w:t>
      </w:r>
      <w:r>
        <w:t xml:space="preserve"> </w:t>
      </w:r>
      <w:r>
        <w:t xml:space="preserve">“</w:t>
      </w:r>
      <w:r>
        <w:t xml:space="preserve">both</w:t>
      </w:r>
      <w:r>
        <w:t xml:space="preserve">”</w:t>
      </w:r>
      <w:r>
        <w:t xml:space="preserve"> </w:t>
      </w:r>
      <w:r>
        <w:t xml:space="preserve">stressor metric was similar (n = 75, Adj. R</w:t>
      </w:r>
      <m:oMath>
        <m:sSup>
          <m:e>
            <m:r>
              <m:t>​</m:t>
            </m:r>
          </m:e>
          <m:sup>
            <m:r>
              <m:t>2</m:t>
            </m:r>
          </m:sup>
        </m:sSup>
      </m:oMath>
      <w:r>
        <w:t xml:space="preserve"> </w:t>
      </w:r>
      <w:r>
        <w:t xml:space="preserve">= 0.97, Deviance explained = 99%, Figure S7, Table S8), suggesting no added benefit of evaluating times when both temperature was above and salinity was below the threshold.</w:t>
      </w:r>
    </w:p>
    <w:p>
      <w:pPr>
        <w:pStyle w:val="BodyText"/>
      </w:pPr>
      <w:r>
        <w:t xml:space="preserve">The GAMs for the FIM and PDEM datasets had notable associations with temperature and salinity stress, where an increase in temperature and a decrease in salinity was often associated with a decline in seagrass depending on bay segment. The FIM model (n = 81, Adj. R</w:t>
      </w:r>
      <m:oMath>
        <m:sSup>
          <m:e>
            <m:r>
              <m:t>​</m:t>
            </m:r>
          </m:e>
          <m:sup>
            <m:r>
              <m:t>2</m:t>
            </m:r>
          </m:sup>
        </m:sSup>
      </m:oMath>
      <w:r>
        <w:t xml:space="preserve"> </w:t>
      </w:r>
      <w:r>
        <w:t xml:space="preserve">= 0.81, Deviance explained = 89%), Figure</w:t>
      </w:r>
      <w:r>
        <w:t xml:space="preserve"> </w:t>
      </w:r>
      <w:hyperlink w:anchor="fig-sgmod2">
        <w:r>
          <w:rPr>
            <w:rStyle w:val="Hyperlink"/>
          </w:rPr>
          <w:t xml:space="preserve">8</w:t>
        </w:r>
      </w:hyperlink>
      <w:r>
        <w:t xml:space="preserve">a, Table S9) showed a slight decrease in seagrass with increasing temperature for HB and MTB, with a similar change as salinity decreased. The PDEM model (n = 19, Adj. R</w:t>
      </w:r>
      <m:oMath>
        <m:sSup>
          <m:e>
            <m:r>
              <m:t>​</m:t>
            </m:r>
          </m:e>
          <m:sup>
            <m:r>
              <m:t>2</m:t>
            </m:r>
          </m:sup>
        </m:sSup>
      </m:oMath>
      <w:r>
        <w:t xml:space="preserve"> </w:t>
      </w:r>
      <w:r>
        <w:t xml:space="preserve">= 0.69, Deviance explained = 81%, Figure</w:t>
      </w:r>
      <w:r>
        <w:t xml:space="preserve"> </w:t>
      </w:r>
      <w:hyperlink w:anchor="fig-sgmod2">
        <w:r>
          <w:rPr>
            <w:rStyle w:val="Hyperlink"/>
          </w:rPr>
          <w:t xml:space="preserve">8</w:t>
        </w:r>
      </w:hyperlink>
      <w:r>
        <w:t xml:space="preserve">b, Table S10) that evaluated only OTB showed a distinct decrease with seagrass as temperature increased, but no association with salinity. Some of the interaction terms of the predictors with year suggested the relationships with seagrass may have changed over time, but the results were not consistent between bay segments or models (Tables S7 to S10).</w:t>
      </w:r>
    </w:p>
    <w:bookmarkEnd w:id="40"/>
    <w:bookmarkEnd w:id="41"/>
    <w:bookmarkStart w:id="44" w:name="discussion"/>
    <w:p>
      <w:pPr>
        <w:pStyle w:val="Heading2"/>
      </w:pPr>
      <w:r>
        <w:t xml:space="preserve">4 Discussion</w:t>
      </w:r>
    </w:p>
    <w:p>
      <w:pPr>
        <w:pStyle w:val="FirstParagraph"/>
      </w:pPr>
      <w:r>
        <w:t xml:space="preserve">Global increases in temperature and altered precipitation patterns related to climate change have had measurable effects on the structure and functioning of a wide range of natural environments</w:t>
      </w:r>
      <w:r>
        <w:t xml:space="preserve"> </w:t>
      </w:r>
      <w:r>
        <w:t xml:space="preserve">(Osland et al. 2015; Oliver et al. 2018)</w:t>
      </w:r>
      <w:r>
        <w:t xml:space="preserve">. For Tampa Bay, these changes have been demonstrated using long-term trends in water temperature and salinity, which mirrored long-term changes in air temperature and precipitation. Tampa Bay has gotten hotter and fresher; water temperature has increased by 0.03 - 0.04</w:t>
      </w:r>
      <w:r>
        <w:t xml:space="preserve"> </w:t>
      </w:r>
      <m:oMath>
        <m:sSup>
          <m:e>
            <m:r>
              <m:t>​</m:t>
            </m:r>
          </m:e>
          <m:sup>
            <m:r>
              <m:rPr>
                <m:sty m:val="p"/>
              </m:rPr>
              <m:t>∘</m:t>
            </m:r>
          </m:sup>
        </m:sSup>
      </m:oMath>
      <w:r>
        <w:t xml:space="preserve">C per year and salinity has decreased by 0.04 - 0.06 ppt per year, translating to an increase of 1.3 to 1.7</w:t>
      </w:r>
      <w:r>
        <w:t xml:space="preserve"> </w:t>
      </w:r>
      <m:oMath>
        <m:sSup>
          <m:e>
            <m:r>
              <m:t>​</m:t>
            </m:r>
          </m:e>
          <m:sup>
            <m:r>
              <m:rPr>
                <m:sty m:val="p"/>
              </m:rPr>
              <m:t>∘</m:t>
            </m:r>
          </m:sup>
        </m:sSup>
      </m:oMath>
      <w:r>
        <w:t xml:space="preserve">C and a decrease of 1.6 to 2.6 ppt over the past fifty years. The number of days each year when temperature was above 30</w:t>
      </w:r>
      <w:r>
        <w:t xml:space="preserve"> </w:t>
      </w:r>
      <m:oMath>
        <m:sSup>
          <m:e>
            <m:r>
              <m:t>​</m:t>
            </m:r>
          </m:e>
          <m:sup>
            <m:r>
              <m:rPr>
                <m:sty m:val="p"/>
              </m:rPr>
              <m:t>∘</m:t>
            </m:r>
          </m:sup>
        </m:sSup>
      </m:oMath>
      <w:r>
        <w:t xml:space="preserve">C or salinity was below 25 ppt has also increased consistently, with an average increase baywide of 48 and 37 days, respectively, since 1975. These changes were demonstrated in three long-term datasets with different sampling methods and periods of record. Understandably, the trends were most clearly observed in the dataset with the longest period of record (EPC), covering nearly fifty years of monthly observations. These long-term changes manifested into consistent trends in known seagrass stressors; the continuous number of days increased each year when temperature, salinity, or both crossed thresholds.</w:t>
      </w:r>
    </w:p>
    <w:p>
      <w:pPr>
        <w:pStyle w:val="BodyText"/>
      </w:pPr>
      <w:r>
        <w:t xml:space="preserve">Similar regional, long-term changes in coastal waters and estuaries have been observed by others</w:t>
      </w:r>
      <w:r>
        <w:t xml:space="preserve"> </w:t>
      </w:r>
      <w:r>
        <w:t xml:space="preserve">(Carlson et al. 2018; 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although they rightfully acknowledge the sensitivity of their results to conditions at the start and end of the time series. Our assessment evaluated non-parametric trends (i.e., Kendall tests, less sensitive to outliers)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in the fall, winter period provided a finer-scale comparison, where trends were most notable for OTB and northern stations of HB (</w:t>
      </w:r>
      <w:hyperlink w:anchor="fig-kendall">
        <w:r>
          <w:rPr>
            <w:rStyle w:val="Hyperlink"/>
          </w:rPr>
          <w:t xml:space="preserve">Figure 5</w:t>
        </w:r>
      </w:hyperlink>
      <w:r>
        <w:t xml:space="preserv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The significant reduction in salinity for LTB is also of note, perhaps related to gravitational circulation patterns that export lower salinity water from upstream in the main shipping channels</w:t>
      </w:r>
      <w:r>
        <w:t xml:space="preserve"> </w:t>
      </w:r>
      <w:r>
        <w:t xml:space="preserve">(Weisberg and Zheng 2006)</w:t>
      </w:r>
      <w:r>
        <w:t xml:space="preserve">.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 Notably,</w:t>
      </w:r>
      <w:r>
        <w:t xml:space="preserve"> </w:t>
      </w:r>
      <w:r>
        <w:t xml:space="preserve">Carlson et al. (2018)</w:t>
      </w:r>
      <w:r>
        <w:t xml:space="preserve"> </w:t>
      </w:r>
      <w:r>
        <w:t xml:space="preserve">suggest a link between historical seagrass losses in Florida Bay and rapid warming in shallow areas with low surface reflectance.</w:t>
      </w:r>
    </w:p>
    <w:p>
      <w:pPr>
        <w:pStyle w:val="BodyText"/>
      </w:pPr>
      <w:r>
        <w:t xml:space="preserve">Our relatively simple modeling approach provided some evidence that climate-related stressors impart some effect on recent seagrass losses in Tampa Bay. The models did not provide a consistent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FIM and PDEM datasets both suggested that increasing temperature and decreasing salinity were associated with potential seagrass loss in recent years (</w:t>
      </w:r>
      <w:hyperlink w:anchor="fig-sgmod2">
        <w:r>
          <w:rPr>
            <w:rStyle w:val="Hyperlink"/>
          </w:rPr>
          <w:t xml:space="preserve">Figure 8</w:t>
        </w:r>
      </w:hyperlink>
      <w:r>
        <w:t xml:space="preserve">). For the EPC model, none of the stressor metrics were associated with seagrass change. An important distinction between the EPC and other models is that the former evaluated the number of days above/below thresholds each year to quantify annual temperature or salinity stress, whereas the latter evaluated observed temperature and salinity values at the time of seagrass sampling. Additionally, the EPC models evaluated water quality changes from data collected at relatively deeper locations than where seagrass typically grows (Figure</w:t>
      </w:r>
      <w:r>
        <w:t xml:space="preserve"> </w:t>
      </w:r>
      <w:hyperlink w:anchor="fig-map">
        <w:r>
          <w:rPr>
            <w:rStyle w:val="Hyperlink"/>
          </w:rPr>
          <w:t xml:space="preserve">1</w:t>
        </w:r>
      </w:hyperlink>
      <w:r>
        <w:t xml:space="preserve">b), suggesting a potential disconnect in relating the two.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 reported threshold values in tropical and sub-tropical environments suggest that the limits of the ecological niche for seagrasses are higher for temperature and lower for salinity</w:t>
      </w:r>
      <w:r>
        <w:t xml:space="preserve"> </w:t>
      </w:r>
      <w:r>
        <w:t xml:space="preserve">(R. C. 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generally within the ecological niche for seagrasses. This is especially true for</w:t>
      </w:r>
      <w:r>
        <w:t xml:space="preserve"> </w:t>
      </w:r>
      <w:r>
        <w:rPr>
          <w:iCs/>
          <w:i/>
        </w:rPr>
        <w:t xml:space="preserve">H. wrightii</w:t>
      </w:r>
      <w:r>
        <w:t xml:space="preserve"> that had the greatest changes over the period of record and is tolerant of a wide range of salinity. However, this does not suggest that these factors are unimportant, both currently and in the future. Extreme temperature or precipitation events acting individually or in combination are likely captured by the trends in stressor metrics using these lower thresholds, i.e., an increase in a bay segment median number of days also suggests extremes are increasing given the variation around these summary metrics (</w:t>
      </w:r>
      <w:hyperlink w:anchor="fig-mixeff">
        <w:r>
          <w:rPr>
            <w:rStyle w:val="Hyperlink"/>
          </w:rPr>
          <w:t xml:space="preserve">Figure 6</w:t>
        </w:r>
      </w:hyperlink>
      <w:r>
        <w:t xml:space="preserve">). Our thresholds may also be indicative of the potential for chronic sublethal effects of stress on seagrasses, reducing their resilience to other stressors. Regardless, our models suggested that temperature and salinity are at least associated with seagrass loss and, if so, long-term trends in both are set to amplify their effect.</w:t>
      </w:r>
    </w:p>
    <w:p>
      <w:pPr>
        <w:pStyle w:val="BodyText"/>
      </w:pPr>
      <w:r>
        <w:t xml:space="preserve">Additional limitations of our models may relate to an incomplete description of factors influencing seagrass growth, such as the inclusion of additional drivers and an incomplete or overly simplified causal network.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Our inclusion of light attenuation in the EPC models was meant to account for how the light environment may be influencing seagrass growth, in addition to climate-related stressors. However, light attenuation has improved over the period of record and within the limits estimated to be supportive of seagrass growth in Tampa Bay</w:t>
      </w:r>
      <w:r>
        <w:t xml:space="preserve"> </w:t>
      </w:r>
      <w:r>
        <w:t xml:space="preserve">(A. Janicki et al. 2000)</w:t>
      </w:r>
      <w:r>
        <w:t xml:space="preserve">, particularly in OTB where the most loss occurred (Figure -</w:t>
      </w:r>
      <w:hyperlink w:anchor="fig-seagrasschg">
        <w:r>
          <w:rPr>
            <w:rStyle w:val="Hyperlink"/>
          </w:rPr>
          <w:t xml:space="preserve">Figure 2</w:t>
        </w:r>
      </w:hyperlink>
      <w:r>
        <w:t xml:space="preserve">c). Additional water quality parameters could be included in the models to provide further evidence that light-limitation is not the present driver for seagrass change (e.g., nitrogen loading, chlorophyll-a, color), although nutrient management for the benefit of seagrass growth will likely continue to be a dominant management paradigm for Tampa Bay.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w:t>
      </w:r>
      <w:r>
        <w:t xml:space="preserve"> </w:t>
      </w:r>
      <w:r>
        <w:t xml:space="preserve">(Carlson et al. 2018)</w:t>
      </w:r>
      <w:r>
        <w:t xml:space="preserve">. This explanation cannot be ruled out with the existing datasets, although the trend analyses and models suggest that climate-related stressors are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w:t>
      </w:r>
      <w:r>
        <w:t xml:space="preserve"> </w:t>
      </w:r>
      <w:r>
        <w:t xml:space="preserve">(Tomasko et al. 2020)</w:t>
      </w:r>
      <w:r>
        <w:t xml:space="preserve">. These regional losses suggest that large-scale stressors are driving these changes, supporting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w:t>
      </w:r>
      <w:r>
        <w:t xml:space="preserve"> </w:t>
      </w:r>
      <w:r>
        <w:t xml:space="preserve">(Tomasko et al. 2005)</w:t>
      </w:r>
      <w:r>
        <w:t xml:space="preserve">.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(Koch et al. 2007;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has been a recent concern</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Taplin et al. 2005;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not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contrary to expectations for how sea-level rise will affect coastal systems</w:t>
      </w:r>
      <w:r>
        <w:t xml:space="preserve"> </w:t>
      </w:r>
      <w:r>
        <w:t xml:space="preserve">(Costa et al. 2023; Alarcon et al. 2024)</w:t>
      </w:r>
      <w:r>
        <w:t xml:space="preserve">, as salinity increases with sea-level rise have already caused numerous alterations of subtidal and nearshore habitats</w:t>
      </w:r>
      <w:r>
        <w:t xml:space="preserve"> </w:t>
      </w:r>
      <w:r>
        <w:t xml:space="preserve">(Brinson et al. 1995; White and Kaplan 2017)</w:t>
      </w:r>
      <w:r>
        <w:t xml:space="preserve">. In southwest Florida, the most common ecological example is the upland expansion of mangroves in response to increased porewater salinity and water levels over the past few decades</w:t>
      </w:r>
      <w:r>
        <w:t xml:space="preserve"> </w:t>
      </w:r>
      <w:r>
        <w:t xml:space="preserve">(Borchert et al. 2018)</w:t>
      </w:r>
      <w:r>
        <w:t xml:space="preserve">. Alteration of salinity regimes for surface and groundwater resources have been well documented. In Florida Bay, for example, widespread decline of</w:t>
      </w:r>
      <w:r>
        <w:t xml:space="preserve"> </w:t>
      </w:r>
      <w:r>
        <w:rPr>
          <w:iCs/>
          <w:i/>
        </w:rPr>
        <w:t xml:space="preserve">T. testudinum</w:t>
      </w:r>
      <w:r>
        <w:t xml:space="preserve"> </w:t>
      </w:r>
      <w:r>
        <w:t xml:space="preserve">has been attributed to altered hydrology and drought-induced hypersaline conditions, and sea level rise is expected to further modify salinity dynamics in the region</w:t>
      </w:r>
      <w:r>
        <w:t xml:space="preserve"> </w:t>
      </w:r>
      <w:r>
        <w:t xml:space="preserve">(Margaret O. Hall et al. 2016)</w:t>
      </w:r>
      <w:r>
        <w:t xml:space="preserve">. However, elevated summertime temperatures were also implicated in the decline.</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loading has had a greater influence on salinity regimes than the effects of sea-level rise. This hypothesis is supported by our assessment of precipitation patterns over time, where the long-term increase is inversely associated with the decrease in salinity.</w:t>
      </w:r>
    </w:p>
    <w:bookmarkStart w:id="43"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GAMs provided partially-supporting evidence that these changes can be linked to recent seagrass losses. Future analyses may show stronger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 Ongoing work in OTB using continuous data loggers in shallow areas will provide insights into short-term diurnal changes as potential acute temperature stress on seagrass (see</w:t>
      </w:r>
      <w:r>
        <w:t xml:space="preserve"> </w:t>
      </w:r>
      <w:hyperlink r:id="rId42">
        <w:r>
          <w:rPr>
            <w:rStyle w:val="Hyperlink"/>
          </w:rPr>
          <w:t xml:space="preserve">https://tbep-tech.github.io/otb-temp/tempeval</w:t>
        </w:r>
      </w:hyperlink>
      <w:r>
        <w:t xml:space="preserve">). Morpohological or physiological measurements at the individual level could also provide early indications of heat and osmotic stress.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not be able to maintain ecosystem resilience to climatic change. For example, nitrogen load reductions have been effective at restoring seagrass in Tampa Bay</w:t>
      </w:r>
      <w:r>
        <w:t xml:space="preserve"> </w:t>
      </w:r>
      <w:r>
        <w:t xml:space="preserve">(Greening and Janicki 2006; Greening et al. 2014)</w:t>
      </w:r>
      <w:r>
        <w:t xml:space="preserve">. As Tampa Bay becomes hotter and fresher, current nutrient loads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appear most pronounced. Reversal of recent trends may be more likely to occur if aggressive actions and controls are pursued sooner rather than later, given the challenges of restoring these long-lived foundation species once lost, ongoing development in the watershed, and the current climate trajectory.</w:t>
      </w:r>
    </w:p>
    <w:p>
      <w:r>
        <w:br w:type="page"/>
      </w:r>
    </w:p>
    <w:bookmarkEnd w:id="43"/>
    <w:bookmarkEnd w:id="44"/>
    <w:bookmarkStart w:id="77"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8" w:name="fig-map"/>
          <w:p>
            <w:pPr>
              <w:pStyle w:val="Compact"/>
              <w:jc w:val="center"/>
            </w:pPr>
            <w:r>
              <w:drawing>
                <wp:inline>
                  <wp:extent cx="3669832" cy="5963478"/>
                  <wp:effectExtent b="0" l="0" r="0" t="0"/>
                  <wp:docPr descr="" title="" id="46" name="Picture"/>
                  <a:graphic>
                    <a:graphicData uri="http://schemas.openxmlformats.org/drawingml/2006/picture">
                      <pic:pic>
                        <pic:nvPicPr>
                          <pic:cNvPr descr="figs/map.png" id="47" name="Picture"/>
                          <pic:cNvPicPr>
                            <a:picLocks noChangeArrowheads="1" noChangeAspect="1"/>
                          </pic:cNvPicPr>
                        </pic:nvPicPr>
                        <pic:blipFill>
                          <a:blip r:embed="rId45"/>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fig-seagrasschg"/>
          <w:p>
            <w:pPr>
              <w:pStyle w:val="Compact"/>
              <w:jc w:val="center"/>
            </w:pPr>
            <w:r>
              <w:drawing>
                <wp:inline>
                  <wp:extent cx="5943600" cy="5943600"/>
                  <wp:effectExtent b="0" l="0" r="0" t="0"/>
                  <wp:docPr descr="" title="" id="50" name="Picture"/>
                  <a:graphic>
                    <a:graphicData uri="http://schemas.openxmlformats.org/drawingml/2006/picture">
                      <pic:pic>
                        <pic:nvPicPr>
                          <pic:cNvPr descr="figs/seagrasschg.png" id="51"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 2: Seagrass changes over time in Tampa Bay for (a) areal coverage 1988 - 2022 from mapping, (b) frequency occurrence of major species 1998 - 2022 from annual transect monitoring, and (c) mean annual light attenuation from 1970 to 2022. Changes are shown for major bay segments. Red lines in (a) show approximate capacity of seagrass coverage based on the baywide target of 40,000 acres and red lines in (c) show the approximate linear trend for the period of record covered by the transect data in (b). The dashed line in (c) shows the light attenuation threshold to support seagrass growth in each bay segment. OTB: Old Tampa Bay, HB: Hillsborough Bay, MTB: Middle Tampa Bay, LTB: Lower Tampa Bay.</w:t>
            </w:r>
          </w:p>
          <w:bookmarkEnd w:id="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6" w:name="fig-concept"/>
          <w:p>
            <w:pPr>
              <w:pStyle w:val="Compact"/>
              <w:jc w:val="center"/>
            </w:pPr>
            <w:r>
              <w:drawing>
                <wp:inline>
                  <wp:extent cx="4905519" cy="5002796"/>
                  <wp:effectExtent b="0" l="0" r="0" t="0"/>
                  <wp:docPr descr="" title="" id="54" name="Picture"/>
                  <a:graphic>
                    <a:graphicData uri="http://schemas.openxmlformats.org/drawingml/2006/picture">
                      <pic:pic>
                        <pic:nvPicPr>
                          <pic:cNvPr descr="figs/concept.png" id="55" name="Picture"/>
                          <pic:cNvPicPr>
                            <a:picLocks noChangeArrowheads="1" noChangeAspect="1"/>
                          </pic:cNvPicPr>
                        </pic:nvPicPr>
                        <pic:blipFill>
                          <a:blip r:embed="rId53"/>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 3: Conceptual stressor diagram demonstrating a two-dimensional niche space for temperature and salinity. Tampa Bay is trending towards the bottom right.</w:t>
            </w:r>
          </w:p>
          <w:bookmarkEnd w:id="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0" w:name="fig-meteowqraw"/>
          <w:p>
            <w:pPr>
              <w:pStyle w:val="Compact"/>
              <w:jc w:val="center"/>
            </w:pPr>
            <w:r>
              <w:drawing>
                <wp:inline>
                  <wp:extent cx="5943600" cy="6368142"/>
                  <wp:effectExtent b="0" l="0" r="0" t="0"/>
                  <wp:docPr descr="" title="" id="58" name="Picture"/>
                  <a:graphic>
                    <a:graphicData uri="http://schemas.openxmlformats.org/drawingml/2006/picture">
                      <pic:pic>
                        <pic:nvPicPr>
                          <pic:cNvPr descr="figs/meteowqraw.png" id="59" name="Picture"/>
                          <pic:cNvPicPr>
                            <a:picLocks noChangeArrowheads="1" noChangeAspect="1"/>
                          </pic:cNvPicPr>
                        </pic:nvPicPr>
                        <pic:blipFill>
                          <a:blip r:embed="rId57"/>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4" w:name="fig-kendall"/>
          <w:p>
            <w:pPr>
              <w:pStyle w:val="Compact"/>
              <w:jc w:val="center"/>
            </w:pPr>
            <w:r>
              <w:drawing>
                <wp:inline>
                  <wp:extent cx="5943600" cy="2815389"/>
                  <wp:effectExtent b="0" l="0" r="0" t="0"/>
                  <wp:docPr descr="" title="" id="62" name="Picture"/>
                  <a:graphic>
                    <a:graphicData uri="http://schemas.openxmlformats.org/drawingml/2006/picture">
                      <pic:pic>
                        <pic:nvPicPr>
                          <pic:cNvPr descr="figs/kendall.png" id="63" name="Picture"/>
                          <pic:cNvPicPr>
                            <a:picLocks noChangeArrowheads="1" noChangeAspect="1"/>
                          </pic:cNvPicPr>
                        </pic:nvPicPr>
                        <pic:blipFill>
                          <a:blip r:embed="rId61"/>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average magnitude of change (slope) per month for stations in each bay segment for temperature and salinity. Bay segment outlines are shown in (a); OTB: Old Tampa Bay, HB: Hillsborough Bay, MTB: Middle Tampa Bay, LTB: Lower Tampa Bay.</w:t>
            </w:r>
          </w:p>
          <w:bookmarkEnd w:id="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8" w:name="fig-mixeff"/>
          <w:p>
            <w:pPr>
              <w:pStyle w:val="Compact"/>
              <w:jc w:val="center"/>
            </w:pPr>
            <w:r>
              <w:drawing>
                <wp:inline>
                  <wp:extent cx="5943600" cy="5094514"/>
                  <wp:effectExtent b="0" l="0" r="0" t="0"/>
                  <wp:docPr descr="" title="" id="66" name="Picture"/>
                  <a:graphic>
                    <a:graphicData uri="http://schemas.openxmlformats.org/drawingml/2006/picture">
                      <pic:pic>
                        <pic:nvPicPr>
                          <pic:cNvPr descr="figs/mixeff.png" id="67" name="Picture"/>
                          <pic:cNvPicPr>
                            <a:picLocks noChangeArrowheads="1" noChangeAspect="1"/>
                          </pic:cNvPicPr>
                        </pic:nvPicPr>
                        <pic:blipFill>
                          <a:blip r:embed="rId6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for each station, and thicker lines indicating the overall model fit. Slopes are shown in the bottom left of each facet. OTB: Old Tampa Bay, HB: Hillsborough Bay, MTB: Middle Tampa Bay, LTB: Lower Tampa Bay.</w:t>
            </w:r>
          </w:p>
          <w:bookmarkEnd w:id="6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fig-sgmod1"/>
          <w:p>
            <w:pPr>
              <w:pStyle w:val="Compact"/>
              <w:jc w:val="center"/>
            </w:pPr>
            <w:r>
              <w:drawing>
                <wp:inline>
                  <wp:extent cx="5943600" cy="5200649"/>
                  <wp:effectExtent b="0" l="0" r="0" t="0"/>
                  <wp:docPr descr="" title="" id="70" name="Picture"/>
                  <a:graphic>
                    <a:graphicData uri="http://schemas.openxmlformats.org/drawingml/2006/picture">
                      <pic:pic>
                        <pic:nvPicPr>
                          <pic:cNvPr descr="figs/sgmod1.png" id="71" name="Picture"/>
                          <pic:cNvPicPr>
                            <a:picLocks noChangeArrowheads="1" noChangeAspect="1"/>
                          </pic:cNvPicPr>
                        </pic:nvPicPr>
                        <pic:blipFill>
                          <a:blip r:embed="rId69"/>
                          <a:stretch>
                            <a:fillRect/>
                          </a:stretch>
                        </pic:blipFill>
                        <pic:spPr bwMode="auto">
                          <a:xfrm>
                            <a:off x="0" y="0"/>
                            <a:ext cx="5943600" cy="5200649"/>
                          </a:xfrm>
                          <a:prstGeom prst="rect">
                            <a:avLst/>
                          </a:prstGeom>
                          <a:noFill/>
                          <a:ln w="9525">
                            <a:noFill/>
                            <a:headEnd/>
                            <a:tailEnd/>
                          </a:ln>
                        </pic:spPr>
                      </pic:pic>
                    </a:graphicData>
                  </a:graphic>
                </wp:inline>
              </w:drawing>
            </w:r>
          </w:p>
          <w:p>
            <w:pPr>
              <w:jc w:val="center"/>
            </w:pPr>
            <w:pPr>
              <w:jc w:val="start"/>
              <w:spacing w:before="200"/>
              <w:pStyle w:val="ImageCaption"/>
            </w:pPr>
            <w:r>
              <w:t xml:space="preserve">Fig. 7: Partial effects of smoothers (rows) by bay segment (columns) from a Generalized Additive Model used to describe seagrass change relative to year, light attenuation, the number of days each year when temperature was above 30</w:t>
            </w:r>
            <w:r>
              <w:t xml:space="preserve"> </w:t>
            </w:r>
            <m:oMath>
              <m:sSup>
                <m:e>
                  <m:r>
                    <m:t>​</m:t>
                  </m:r>
                </m:e>
                <m:sup>
                  <m:r>
                    <m:rPr>
                      <m:sty m:val="p"/>
                    </m:rPr>
                    <m:t>∘</m:t>
                  </m:r>
                </m:sup>
              </m:sSup>
            </m:oMath>
            <w:r>
              <w:t xml:space="preserve">C, and the number of days each year when salinity was below 25 ppt. The EPC data were used for the independent variables in the model. Partial effects describe the modeled association between each predictor and seagrass frequency occurrence after accounting for the effects of the other predictors. The model also included smoothed interaction terms with year (not shown). See Table S7 for additional model fit statistics. OTB: Old Tampa Bay, HB: Hillsborough Bay, MTB: Middle Tampa Bay. n = 75, Adj. R</w:t>
            </w:r>
            <m:oMath>
              <m:sSup>
                <m:e>
                  <m:r>
                    <m:t>​</m:t>
                  </m:r>
                </m:e>
                <m:sup>
                  <m:r>
                    <m:t>2</m:t>
                  </m:r>
                </m:sup>
              </m:sSup>
            </m:oMath>
            <w:r>
              <w:t xml:space="preserve"> </w:t>
            </w:r>
            <w:r>
              <w:t xml:space="preserve">= 0.93, Deviance explained = 97%</w:t>
            </w:r>
          </w:p>
          <w:bookmarkEnd w:id="7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6" w:name="fig-sgmod2"/>
          <w:p>
            <w:pPr>
              <w:pStyle w:val="Compact"/>
              <w:jc w:val="center"/>
            </w:pPr>
            <w:r>
              <w:drawing>
                <wp:inline>
                  <wp:extent cx="5943600" cy="4457699"/>
                  <wp:effectExtent b="0" l="0" r="0" t="0"/>
                  <wp:docPr descr="" title="" id="74" name="Picture"/>
                  <a:graphic>
                    <a:graphicData uri="http://schemas.openxmlformats.org/drawingml/2006/picture">
                      <pic:pic>
                        <pic:nvPicPr>
                          <pic:cNvPr descr="figs/sgmod2.png" id="75" name="Picture"/>
                          <pic:cNvPicPr>
                            <a:picLocks noChangeArrowheads="1" noChangeAspect="1"/>
                          </pic:cNvPicPr>
                        </pic:nvPicPr>
                        <pic:blipFill>
                          <a:blip r:embed="rId73"/>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 8: Partial effects of smoothers (rows) by bay segment (columns) from Generalized Additive Models evaluating seagrass changes versus year, temperature, and salinity for the (a) FIM (first three columns evaluating mean annual percent cover from 0-100, n = 81, Adj. R</w:t>
            </w:r>
            <m:oMath>
              <m:sSup>
                <m:e>
                  <m:r>
                    <m:t>​</m:t>
                  </m:r>
                </m:e>
                <m:sup>
                  <m:r>
                    <m:t>2</m:t>
                  </m:r>
                </m:sup>
              </m:sSup>
            </m:oMath>
            <w:r>
              <w:t xml:space="preserve"> </w:t>
            </w:r>
            <w:r>
              <w:t xml:space="preserve">= 0.81, Deviance explained = 89%) and (b) PDEM (right column evaluating annual frequency occurrence from 0-1 in OTB only, n = 19, Adj. R</w:t>
            </w:r>
            <m:oMath>
              <m:sSup>
                <m:e>
                  <m:r>
                    <m:t>​</m:t>
                  </m:r>
                </m:e>
                <m:sup>
                  <m:r>
                    <m:t>2</m:t>
                  </m:r>
                </m:sup>
              </m:sSup>
            </m:oMath>
            <w:r>
              <w:t xml:space="preserve"> </w:t>
            </w:r>
            <w:r>
              <w:t xml:space="preserve">= 0.69, Deviance explained = 81%) datasets. Partial effects describe the modeled association between each predictor and seagrass change after accounting for the effects of the other predictors. The models also included smoothed interaction terms with year (not shown). See Tables S9 and S10 for additional model fit statistics. OTB: Old Tampa Bay, HB: Hillsborough Bay, MTB: Middle Tampa Bay.</w:t>
            </w:r>
          </w:p>
          <w:bookmarkEnd w:id="76"/>
        </w:tc>
      </w:tr>
    </w:tbl>
    <w:p>
      <w:r>
        <w:br w:type="page"/>
      </w:r>
    </w:p>
    <w:bookmarkEnd w:id="77"/>
    <w:bookmarkStart w:id="82"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8" w:name="tbl-dattab"/>
          <w:p>
            <w:pPr>
              <w:jc w:val="center"/>
            </w:pPr>
            <w:pPr>
              <w:jc w:val="start"/>
              <w:spacing w:before="200"/>
              <w:pStyle w:val="ImageCaption"/>
            </w:pPr>
            <w:r>
              <w:t xml:space="preserve">Table 1: Summary of datasets used for trend analyses and comparisons with seagrass datasets. Temporal and spatial scales are those used for analysis. SWFWMD: Southwest Florida Water Management District, EPC: Environmental Protection Commission of Hillsborough County, FIM: Florida Fish and Wildlife Comission, Fisheries Independent Monitoring, PDEM: Pinellas County Department of Environmental Management.</w:t>
            </w:r>
          </w:p>
          <w:tbl>
            <w:tblPr>
              <w:tblStyle w:val="Table"/>
              <w:tblW w:type="pct" w:w="5000"/>
              <w:tblLook w:firstRow="1" w:lastRow="0" w:firstColumn="0" w:lastColumn="0" w:noHBand="0" w:noVBand="0" w:val="0020"/>
              <w:jc w:val="start"/>
              <w:tblLayout w:type="fixed"/>
            </w:tblPr>
            <w:tblGrid>
              <w:gridCol w:w="650"/>
              <w:gridCol w:w="2136"/>
              <w:gridCol w:w="510"/>
              <w:gridCol w:w="998"/>
              <w:gridCol w:w="3623"/>
            </w:tblGrid>
            <w:tr>
              <w:trPr>
                <w:tblHeader w:val="true"/>
              </w:trPr>
              <w:tc>
                <w:tcPr/>
                <w:p>
                  <w:pPr>
                    <w:pStyle w:val="Compact"/>
                    <w:jc w:val="left"/>
                    <w:jc w:val="center"/>
                  </w:pPr>
                  <w:r>
                    <w:t xml:space="preserve">Dataset</w:t>
                  </w:r>
                </w:p>
              </w:tc>
              <w:tc>
                <w:tcPr/>
                <w:p>
                  <w:pPr>
                    <w:pStyle w:val="Compact"/>
                    <w:jc w:val="left"/>
                    <w:jc w:val="center"/>
                  </w:pPr>
                  <w:r>
                    <w:t xml:space="preserve">Description</w:t>
                  </w:r>
                </w:p>
              </w:tc>
              <w:tc>
                <w:tcPr/>
                <w:p>
                  <w:pPr>
                    <w:pStyle w:val="Compact"/>
                    <w:jc w:val="left"/>
                    <w:jc w:val="center"/>
                  </w:pPr>
                  <w:r>
                    <w:t xml:space="preserve">Temporal</w:t>
                  </w:r>
                </w:p>
              </w:tc>
              <w:tc>
                <w:tcPr/>
                <w:p>
                  <w:pPr>
                    <w:pStyle w:val="Compact"/>
                    <w:jc w:val="left"/>
                    <w:jc w:val="center"/>
                  </w:pPr>
                  <w:r>
                    <w:t xml:space="preserve">Spatial</w:t>
                  </w:r>
                </w:p>
              </w:tc>
              <w:tc>
                <w:tcPr/>
                <w:p>
                  <w:pPr>
                    <w:pStyle w:val="Compact"/>
                    <w:jc w:val="left"/>
                    <w:jc w:val="center"/>
                  </w:pPr>
                  <w:r>
                    <w:t xml:space="preserve">Analysis</w:t>
                  </w:r>
                </w:p>
              </w:tc>
            </w:tr>
            <w:tr>
              <w:tc>
                <w:tcPr/>
                <w:p>
                  <w:pPr>
                    <w:pStyle w:val="Compact"/>
                    <w:jc w:val="left"/>
                    <w:jc w:val="center"/>
                  </w:pPr>
                  <w:r>
                    <w:t xml:space="preserve">SWFWMD aerial maps</w:t>
                  </w:r>
                </w:p>
              </w:tc>
              <w:tc>
                <w:tcPr/>
                <w:p>
                  <w:pPr>
                    <w:pStyle w:val="Compact"/>
                    <w:jc w:val="left"/>
                    <w:jc w:val="center"/>
                  </w:pPr>
                  <w:r>
                    <w:t xml:space="preserve">Seagrass coverage in acres</w:t>
                  </w:r>
                </w:p>
              </w:tc>
              <w:tc>
                <w:tcPr/>
                <w:p>
                  <w:pPr>
                    <w:pStyle w:val="Compact"/>
                    <w:jc w:val="left"/>
                    <w:jc w:val="center"/>
                  </w:pPr>
                  <w:r>
                    <w:t xml:space="preserve">1988 - 2022, biennial</w:t>
                  </w:r>
                </w:p>
              </w:tc>
              <w:tc>
                <w:tcPr/>
                <w:p>
                  <w:pPr>
                    <w:pStyle w:val="Compact"/>
                    <w:jc w:val="left"/>
                    <w:jc w:val="center"/>
                  </w:pPr>
                  <w:r>
                    <w:t xml:space="preserve">Whole bay</w:t>
                  </w:r>
                </w:p>
              </w:tc>
              <w:tc>
                <w:tcPr/>
                <w:p>
                  <w:pPr>
                    <w:pStyle w:val="Compact"/>
                    <w:jc w:val="left"/>
                    <w:jc w:val="center"/>
                  </w:pPr>
                  <w:r>
                    <w:t xml:space="preserve">Biennial trends by bay segment, visual only</w:t>
                  </w:r>
                </w:p>
              </w:tc>
            </w:tr>
            <w:tr>
              <w:tc>
                <w:tcPr/>
                <w:p>
                  <w:pPr>
                    <w:pStyle w:val="Compact"/>
                    <w:jc w:val="left"/>
                    <w:jc w:val="center"/>
                  </w:pPr>
                  <w:r>
                    <w:t xml:space="preserve">Transect data</w:t>
                  </w:r>
                </w:p>
              </w:tc>
              <w:tc>
                <w:tcPr/>
                <w:p>
                  <w:pPr>
                    <w:pStyle w:val="Compact"/>
                    <w:jc w:val="left"/>
                    <w:jc w:val="center"/>
                  </w:pPr>
                  <w:r>
                    <w:t xml:space="preserve">Seagrass frequency occurrence by species</w:t>
                  </w:r>
                </w:p>
              </w:tc>
              <w:tc>
                <w:tcPr/>
                <w:p>
                  <w:pPr>
                    <w:pStyle w:val="Compact"/>
                    <w:jc w:val="left"/>
                    <w:jc w:val="center"/>
                  </w:pPr>
                  <w:r>
                    <w:t xml:space="preserve">1999 - 2022, annual</w:t>
                  </w:r>
                </w:p>
              </w:tc>
              <w:tc>
                <w:tcPr/>
                <w:p>
                  <w:pPr>
                    <w:pStyle w:val="Compact"/>
                    <w:jc w:val="left"/>
                    <w:jc w:val="center"/>
                  </w:pPr>
                  <w:r>
                    <w:t xml:space="preserve">Whole bay, 62 transects</w:t>
                  </w:r>
                </w:p>
              </w:tc>
              <w:tc>
                <w:tcPr/>
                <w:p>
                  <w:pPr>
                    <w:pStyle w:val="Compact"/>
                    <w:jc w:val="left"/>
                    <w:jc w:val="center"/>
                  </w:pPr>
                  <w:r>
                    <w:t xml:space="preserve">Annual trends by bay segment and species, comparison with temperature, salinity, and light attenuation as stressor metrics or observed data at annual scale</w:t>
                  </w:r>
                </w:p>
              </w:tc>
            </w:tr>
            <w:tr>
              <w:tc>
                <w:tcPr/>
                <w:p>
                  <w:pPr>
                    <w:pStyle w:val="Compact"/>
                    <w:jc w:val="left"/>
                    <w:jc w:val="center"/>
                  </w:pPr>
                  <w:r>
                    <w:t xml:space="preserve">EPC</w:t>
                  </w:r>
                </w:p>
              </w:tc>
              <w:tc>
                <w:tcPr/>
                <w:p>
                  <w:pPr>
                    <w:pStyle w:val="Compact"/>
                    <w:jc w:val="left"/>
                    <w:jc w:val="center"/>
                  </w:pPr>
                  <w:r>
                    <w:t xml:space="preserve">Water quality monitoring samples</w:t>
                  </w:r>
                </w:p>
              </w:tc>
              <w:tc>
                <w:tcPr/>
                <w:p>
                  <w:pPr>
                    <w:pStyle w:val="Compact"/>
                    <w:jc w:val="left"/>
                    <w:jc w:val="center"/>
                  </w:pPr>
                  <w:r>
                    <w:t xml:space="preserve">1975 - 2022, monthly</w:t>
                  </w:r>
                </w:p>
              </w:tc>
              <w:tc>
                <w:tcPr/>
                <w:p>
                  <w:pPr>
                    <w:pStyle w:val="Compact"/>
                    <w:jc w:val="left"/>
                    <w:jc w:val="center"/>
                  </w:pPr>
                  <w:r>
                    <w:t xml:space="preserve">Whole bay, fixed sites</w:t>
                  </w:r>
                </w:p>
              </w:tc>
              <w:tc>
                <w:tcPr/>
                <w:p>
                  <w:pPr>
                    <w:pStyle w:val="Compact"/>
                    <w:jc w:val="left"/>
                    <w:jc w:val="center"/>
                  </w:pPr>
                  <w:r>
                    <w:t xml:space="preserve">Trends in annual change and seasonal Kendall tests, estimate of stressor metrics as number of days above/below threshold</w:t>
                  </w:r>
                </w:p>
              </w:tc>
            </w:tr>
            <w:tr>
              <w:tc>
                <w:tcPr/>
                <w:p>
                  <w:pPr>
                    <w:pStyle w:val="Compact"/>
                    <w:jc w:val="left"/>
                    <w:jc w:val="center"/>
                  </w:pPr>
                  <w:r>
                    <w:t xml:space="preserve">FIM</w:t>
                  </w:r>
                </w:p>
              </w:tc>
              <w:tc>
                <w:tcPr/>
                <w:p>
                  <w:pPr>
                    <w:pStyle w:val="Compact"/>
                    <w:jc w:val="left"/>
                    <w:jc w:val="center"/>
                  </w:pPr>
                  <w:r>
                    <w:t xml:space="preserve">Nearshore temperature and salinity, seagrass species and cover</w:t>
                  </w:r>
                </w:p>
              </w:tc>
              <w:tc>
                <w:tcPr/>
                <w:p>
                  <w:pPr>
                    <w:pStyle w:val="Compact"/>
                    <w:jc w:val="left"/>
                    <w:jc w:val="center"/>
                  </w:pPr>
                  <w:r>
                    <w:t xml:space="preserve">1996 to 2022, monthly</w:t>
                  </w:r>
                </w:p>
              </w:tc>
              <w:tc>
                <w:tcPr/>
                <w:p>
                  <w:pPr>
                    <w:pStyle w:val="Compact"/>
                    <w:jc w:val="left"/>
                    <w:jc w:val="center"/>
                  </w:pPr>
                  <w:r>
                    <w:t xml:space="preserve">Whole bay shallow, stratified random sites</w:t>
                  </w:r>
                </w:p>
              </w:tc>
              <w:tc>
                <w:tcPr/>
                <w:p>
                  <w:pPr>
                    <w:pStyle w:val="Compact"/>
                    <w:jc w:val="left"/>
                    <w:jc w:val="center"/>
                  </w:pPr>
                  <w:r>
                    <w:t xml:space="preserve">Trends in annual observed temperature, salinity, comparison to annual seagrass % cover</w:t>
                  </w:r>
                </w:p>
              </w:tc>
            </w:tr>
            <w:tr>
              <w:tc>
                <w:tcPr/>
                <w:p>
                  <w:pPr>
                    <w:pStyle w:val="Compact"/>
                    <w:jc w:val="left"/>
                    <w:jc w:val="center"/>
                  </w:pPr>
                  <w:r>
                    <w:t xml:space="preserve">PDEM</w:t>
                  </w:r>
                </w:p>
              </w:tc>
              <w:tc>
                <w:tcPr/>
                <w:p>
                  <w:pPr>
                    <w:pStyle w:val="Compact"/>
                    <w:jc w:val="left"/>
                    <w:jc w:val="center"/>
                  </w:pPr>
                  <w:r>
                    <w:t xml:space="preserve">Water quality and seagrass presence/absence</w:t>
                  </w:r>
                </w:p>
              </w:tc>
              <w:tc>
                <w:tcPr/>
                <w:p>
                  <w:pPr>
                    <w:pStyle w:val="Compact"/>
                    <w:jc w:val="left"/>
                    <w:jc w:val="center"/>
                  </w:pPr>
                  <w:r>
                    <w:t xml:space="preserve">2003 - 2022, monthly</w:t>
                  </w:r>
                </w:p>
              </w:tc>
              <w:tc>
                <w:tcPr/>
                <w:p>
                  <w:pPr>
                    <w:pStyle w:val="Compact"/>
                    <w:jc w:val="left"/>
                    <w:jc w:val="center"/>
                  </w:pPr>
                  <w:r>
                    <w:t xml:space="preserve">Old Tampa Bay, stratified random sites</w:t>
                  </w:r>
                </w:p>
              </w:tc>
              <w:tc>
                <w:tcPr/>
                <w:p>
                  <w:pPr>
                    <w:pStyle w:val="Compact"/>
                    <w:jc w:val="left"/>
                    <w:jc w:val="center"/>
                  </w:pPr>
                  <w:r>
                    <w:t xml:space="preserve">Trends in annual observed temperature, salinity, comparison to annual seagrass frequency occurrence</w:t>
                  </w:r>
                </w:p>
              </w:tc>
            </w:tr>
            <w:tr>
              <w:tc>
                <w:tcPr/>
                <w:p>
                  <w:pPr>
                    <w:pStyle w:val="Compact"/>
                    <w:jc w:val="left"/>
                    <w:jc w:val="center"/>
                  </w:pPr>
                  <w:r>
                    <w:t xml:space="preserve">Tampa International Airport</w:t>
                  </w:r>
                </w:p>
              </w:tc>
              <w:tc>
                <w:tcPr/>
                <w:p>
                  <w:pPr>
                    <w:pStyle w:val="Compact"/>
                    <w:jc w:val="left"/>
                    <w:jc w:val="center"/>
                  </w:pPr>
                  <w:r>
                    <w:t xml:space="preserve">Air temperature</w:t>
                  </w:r>
                </w:p>
              </w:tc>
              <w:tc>
                <w:tcPr/>
                <w:p>
                  <w:pPr>
                    <w:pStyle w:val="Compact"/>
                    <w:jc w:val="left"/>
                    <w:jc w:val="center"/>
                  </w:pPr>
                  <w:r>
                    <w:t xml:space="preserve">1975 - 2022, annual</w:t>
                  </w:r>
                </w:p>
              </w:tc>
              <w:tc>
                <w:tcPr/>
                <w:p>
                  <w:pPr>
                    <w:pStyle w:val="Compact"/>
                    <w:jc w:val="left"/>
                    <w:jc w:val="center"/>
                  </w:pPr>
                  <w:r>
                    <w:t xml:space="preserve">27.979</w:t>
                  </w:r>
                  <m:oMath>
                    <m:sSup>
                      <m:e>
                        <m:r>
                          <m:t>​</m:t>
                        </m:r>
                      </m:e>
                      <m:sup>
                        <m:r>
                          <m:rPr>
                            <m:sty m:val="p"/>
                          </m:rPr>
                          <m:t>∘</m:t>
                        </m:r>
                      </m:sup>
                    </m:sSup>
                  </m:oMath>
                  <w:r>
                    <w:t xml:space="preserve">N, 82.535</w:t>
                  </w:r>
                  <m:oMath>
                    <m:sSup>
                      <m:e>
                        <m:r>
                          <m:t>​</m:t>
                        </m:r>
                      </m:e>
                      <m:sup>
                        <m:r>
                          <m:rPr>
                            <m:sty m:val="p"/>
                          </m:rPr>
                          <m:t>∘</m:t>
                        </m:r>
                      </m:sup>
                    </m:sSup>
                  </m:oMath>
                  <w:r>
                    <w:t xml:space="preserve">W</w:t>
                  </w:r>
                </w:p>
              </w:tc>
              <w:tc>
                <w:tcPr/>
                <w:p>
                  <w:pPr>
                    <w:pStyle w:val="Compact"/>
                    <w:jc w:val="left"/>
                    <w:jc w:val="center"/>
                  </w:pPr>
                  <w:r>
                    <w:t xml:space="preserve">Annual trend</w:t>
                  </w:r>
                </w:p>
              </w:tc>
            </w:tr>
            <w:tr>
              <w:tc>
                <w:tcPr/>
                <w:p>
                  <w:pPr>
                    <w:pStyle w:val="Compact"/>
                    <w:jc w:val="left"/>
                    <w:jc w:val="center"/>
                  </w:pPr>
                  <w:r>
                    <w:t xml:space="preserve">SWFWMD precipitation</w:t>
                  </w:r>
                </w:p>
              </w:tc>
              <w:tc>
                <w:tcPr/>
                <w:p>
                  <w:pPr>
                    <w:pStyle w:val="Compact"/>
                    <w:jc w:val="left"/>
                    <w:jc w:val="center"/>
                  </w:pPr>
                  <w:r>
                    <w:t xml:space="preserve">Area-weighted precipitation for the wet season (June-September) for the Tampa Bay watershed</w:t>
                  </w:r>
                </w:p>
              </w:tc>
              <w:tc>
                <w:tcPr/>
                <w:p>
                  <w:pPr>
                    <w:pStyle w:val="Compact"/>
                    <w:jc w:val="left"/>
                    <w:jc w:val="center"/>
                  </w:pPr>
                  <w:r>
                    <w:t xml:space="preserve">1975-2022, annual</w:t>
                  </w:r>
                </w:p>
              </w:tc>
              <w:tc>
                <w:tcPr/>
                <w:p>
                  <w:pPr>
                    <w:pStyle w:val="Compact"/>
                    <w:jc w:val="left"/>
                    <w:jc w:val="center"/>
                  </w:pPr>
                  <w:r>
                    <w:t xml:space="preserve">Whole watershed</w:t>
                  </w:r>
                </w:p>
              </w:tc>
              <w:tc>
                <w:tcPr/>
                <w:p>
                  <w:pPr>
                    <w:pStyle w:val="Compact"/>
                    <w:jc w:val="left"/>
                    <w:jc w:val="center"/>
                  </w:pPr>
                  <w:r>
                    <w:t xml:space="preserve">Annual trend</w:t>
                  </w:r>
                </w:p>
              </w:tc>
            </w:tr>
          </w:tbl>
          <w:bookmarkEnd w:id="78"/>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9" w:name="tbl-temptrndtab"/>
          <w:p>
            <w:pPr>
              <w:jc w:val="center"/>
            </w:pPr>
            <w:pPr>
              <w:jc w:val="start"/>
              <w:spacing w:before="200"/>
              <w:pStyle w:val="ImageCaption"/>
            </w:pPr>
            <w:r>
              <w:t xml:space="preserve">Table 2: Bottom temperature trends (</w:t>
            </w:r>
            <m:oMath>
              <m:sSup>
                <m:e>
                  <m:r>
                    <m:t>​</m:t>
                  </m:r>
                </m:e>
                <m:sup>
                  <m:r>
                    <m:rPr>
                      <m:sty m:val="p"/>
                    </m:rPr>
                    <m:t>∘</m:t>
                  </m:r>
                </m:sup>
              </m:sSup>
            </m:oMath>
            <w:r>
              <w:t xml:space="preserve">C) by bay segments and datasets. Change per year is the model slope with standard error in parentheses. Start year describes the range of the trend test to 2022 (1975: n = 48, 1996: n = 27, 2004: n = 19). The starting value is the estimated temperature at the start year and the end value is the estimated temperature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23.4</w:t>
                  </w:r>
                </w:p>
              </w:tc>
              <w:tc>
                <w:tcPr/>
                <w:p>
                  <w:pPr>
                    <w:pStyle w:val="Compact"/>
                    <w:jc w:val="right"/>
                    <w:jc w:val="center"/>
                  </w:pPr>
                  <w:r>
                    <w:t xml:space="preserve">24.7</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 (0.01)</w:t>
                  </w:r>
                </w:p>
              </w:tc>
              <w:tc>
                <w:tcPr/>
                <w:p>
                  <w:pPr>
                    <w:pStyle w:val="Compact"/>
                    <w:jc w:val="right"/>
                    <w:jc w:val="center"/>
                  </w:pPr>
                  <w:r>
                    <w:t xml:space="preserve">23.4</w:t>
                  </w:r>
                </w:p>
              </w:tc>
              <w:tc>
                <w:tcPr/>
                <w:p>
                  <w:pPr>
                    <w:pStyle w:val="Compact"/>
                    <w:jc w:val="right"/>
                    <w:jc w:val="center"/>
                  </w:pPr>
                  <w:r>
                    <w:t xml:space="preserve">25.1</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 (0.02)</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(0.02)</w:t>
                  </w:r>
                </w:p>
              </w:tc>
              <w:tc>
                <w:tcPr/>
                <w:p>
                  <w:pPr>
                    <w:pStyle w:val="Compact"/>
                    <w:jc w:val="right"/>
                    <w:jc w:val="center"/>
                  </w:pPr>
                  <w:r>
                    <w:t xml:space="preserve">23.5</w:t>
                  </w:r>
                </w:p>
              </w:tc>
              <w:tc>
                <w:tcPr/>
                <w:p>
                  <w:pPr>
                    <w:pStyle w:val="Compact"/>
                    <w:jc w:val="right"/>
                    <w:jc w:val="center"/>
                  </w:pPr>
                  <w:r>
                    <w:t xml:space="preserve">24.8</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 (0.01)</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(0.02)</w:t>
                  </w:r>
                </w:p>
              </w:tc>
              <w:tc>
                <w:tcPr/>
                <w:p>
                  <w:pPr>
                    <w:pStyle w:val="Compact"/>
                    <w:jc w:val="right"/>
                    <w:jc w:val="center"/>
                  </w:pPr>
                  <w:r>
                    <w:t xml:space="preserve">24.0</w:t>
                  </w:r>
                </w:p>
              </w:tc>
              <w:tc>
                <w:tcPr/>
                <w:p>
                  <w:pPr>
                    <w:pStyle w:val="Compact"/>
                    <w:jc w:val="right"/>
                    <w:jc w:val="center"/>
                  </w:pPr>
                  <w:r>
                    <w:t xml:space="preserve">25.3</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 (0.01)</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 (0.02)</w:t>
                  </w:r>
                </w:p>
              </w:tc>
              <w:tc>
                <w:tcPr/>
                <w:p>
                  <w:pPr>
                    <w:pStyle w:val="Compact"/>
                    <w:jc w:val="right"/>
                    <w:jc w:val="center"/>
                  </w:pPr>
                  <w:r>
                    <w:t xml:space="preserve">24.0</w:t>
                  </w:r>
                </w:p>
              </w:tc>
              <w:tc>
                <w:tcPr/>
                <w:p>
                  <w:pPr>
                    <w:pStyle w:val="Compact"/>
                    <w:jc w:val="right"/>
                    <w:jc w:val="center"/>
                  </w:pPr>
                  <w:r>
                    <w:t xml:space="preserve">24.8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 (0.02)</w:t>
                  </w:r>
                </w:p>
              </w:tc>
              <w:tc>
                <w:tcPr/>
                <w:p>
                  <w:pPr>
                    <w:pStyle w:val="Compact"/>
                    <w:jc w:val="right"/>
                    <w:jc w:val="center"/>
                  </w:pPr>
                  <w:r>
                    <w:t xml:space="preserve">24.1</w:t>
                  </w:r>
                </w:p>
              </w:tc>
              <w:tc>
                <w:tcPr/>
                <w:p>
                  <w:pPr>
                    <w:pStyle w:val="Compact"/>
                    <w:jc w:val="right"/>
                    <w:jc w:val="center"/>
                  </w:pPr>
                  <w:r>
                    <w:t xml:space="preserve">24.6</w:t>
                  </w:r>
                </w:p>
              </w:tc>
              <w:tc>
                <w:tcPr/>
                <w:p>
                  <w:pPr>
                    <w:pStyle w:val="Compact"/>
                    <w:jc w:val="right"/>
                    <w:jc w:val="center"/>
                  </w:pPr>
                  <w:r>
                    <w:t xml:space="preserve">0.5</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 (0.02)</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 (0.03)</w:t>
                  </w:r>
                </w:p>
              </w:tc>
              <w:tc>
                <w:tcPr/>
                <w:p>
                  <w:pPr>
                    <w:pStyle w:val="Compact"/>
                    <w:jc w:val="right"/>
                    <w:jc w:val="center"/>
                  </w:pPr>
                  <w:r>
                    <w:t xml:space="preserve">23.8</w:t>
                  </w:r>
                </w:p>
              </w:tc>
              <w:tc>
                <w:tcPr/>
                <w:p>
                  <w:pPr>
                    <w:pStyle w:val="Compact"/>
                    <w:jc w:val="right"/>
                    <w:jc w:val="center"/>
                  </w:pPr>
                  <w:r>
                    <w:t xml:space="preserve">24.9</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0.04 (0.03)</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 (0.02)</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 (0.04)</w:t>
                  </w:r>
                </w:p>
              </w:tc>
              <w:tc>
                <w:tcPr/>
                <w:p>
                  <w:pPr>
                    <w:pStyle w:val="Compact"/>
                    <w:jc w:val="right"/>
                    <w:jc w:val="center"/>
                  </w:pPr>
                  <w:r>
                    <w:t xml:space="preserve">23.9</w:t>
                  </w:r>
                </w:p>
              </w:tc>
              <w:tc>
                <w:tcPr/>
                <w:p>
                  <w:pPr>
                    <w:pStyle w:val="Compact"/>
                    <w:jc w:val="right"/>
                    <w:jc w:val="center"/>
                  </w:pPr>
                  <w:r>
                    <w:t xml:space="preserve">25.7</w:t>
                  </w:r>
                </w:p>
              </w:tc>
              <w:tc>
                <w:tcPr/>
                <w:p>
                  <w:pPr>
                    <w:pStyle w:val="Compact"/>
                    <w:jc w:val="right"/>
                    <w:jc w:val="center"/>
                  </w:pPr>
                  <w:r>
                    <w:t xml:space="preserve">1.8</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 (0.02)</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 (0.04)</w:t>
                  </w:r>
                </w:p>
              </w:tc>
              <w:tc>
                <w:tcPr/>
                <w:p>
                  <w:pPr>
                    <w:pStyle w:val="Compact"/>
                    <w:jc w:val="right"/>
                    <w:jc w:val="center"/>
                  </w:pPr>
                  <w:r>
                    <w:t xml:space="preserve">23.8</w:t>
                  </w:r>
                </w:p>
              </w:tc>
              <w:tc>
                <w:tcPr/>
                <w:p>
                  <w:pPr>
                    <w:pStyle w:val="Compact"/>
                    <w:jc w:val="right"/>
                    <w:jc w:val="center"/>
                  </w:pPr>
                  <w:r>
                    <w:t xml:space="preserve">25.1</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 (0.02)</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9"/>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80" w:name="tbl-saltrndtab"/>
          <w:p>
            <w:pPr>
              <w:jc w:val="center"/>
            </w:pPr>
            <w:pPr>
              <w:jc w:val="start"/>
              <w:spacing w:before="200"/>
              <w:pStyle w:val="ImageCaption"/>
            </w:pPr>
            <w:r>
              <w:t xml:space="preserve">Table 3: Bottom salinity trends (ppt) by bay segments and datasets. Change per year is the model slope with standard error in parentheses. Start year describes the range of the trend test to 2022 (1975: n = 48, 1996: n = 27, 2004: n = 19). The starting value is the estimated salinity at the start year and the end value is the estimated salinity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 (0.03)</w:t>
                  </w:r>
                </w:p>
              </w:tc>
              <w:tc>
                <w:tcPr/>
                <w:p>
                  <w:pPr>
                    <w:pStyle w:val="Compact"/>
                    <w:jc w:val="right"/>
                    <w:jc w:val="center"/>
                  </w:pPr>
                  <w:r>
                    <w:t xml:space="preserve">25.7</w:t>
                  </w:r>
                </w:p>
              </w:tc>
              <w:tc>
                <w:tcPr/>
                <w:p>
                  <w:pPr>
                    <w:pStyle w:val="Compact"/>
                    <w:jc w:val="right"/>
                    <w:jc w:val="center"/>
                  </w:pPr>
                  <w:r>
                    <w:t xml:space="preserve">23.1</w:t>
                  </w:r>
                </w:p>
              </w:tc>
              <w:tc>
                <w:tcPr/>
                <w:p>
                  <w:pPr>
                    <w:pStyle w:val="Compact"/>
                    <w:jc w:val="right"/>
                    <w:jc w:val="center"/>
                  </w:pPr>
                  <w:r>
                    <w:t xml:space="preserve">-2.6</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-0.01 (0.02)</w:t>
                  </w:r>
                </w:p>
              </w:tc>
              <w:tc>
                <w:tcPr/>
                <w:p>
                  <w:pPr>
                    <w:pStyle w:val="Compact"/>
                    <w:jc w:val="right"/>
                    <w:jc w:val="center"/>
                  </w:pPr>
                  <w:r>
                    <w:t xml:space="preserve">25.4</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 (0.02)</w:t>
                  </w:r>
                </w:p>
              </w:tc>
              <w:tc>
                <w:tcPr/>
                <w:p>
                  <w:pPr>
                    <w:pStyle w:val="Compact"/>
                    <w:jc w:val="right"/>
                    <w:jc w:val="center"/>
                  </w:pPr>
                  <w:r>
                    <w:t xml:space="preserve">28.0</w:t>
                  </w:r>
                </w:p>
              </w:tc>
              <w:tc>
                <w:tcPr/>
                <w:p>
                  <w:pPr>
                    <w:pStyle w:val="Compact"/>
                    <w:jc w:val="right"/>
                    <w:jc w:val="center"/>
                  </w:pPr>
                  <w:r>
                    <w:t xml:space="preserve">26.7</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 (0.01)</w:t>
                  </w:r>
                </w:p>
              </w:tc>
              <w:tc>
                <w:tcPr/>
                <w:p>
                  <w:pPr>
                    <w:pStyle w:val="Compact"/>
                    <w:jc w:val="right"/>
                    <w:jc w:val="center"/>
                  </w:pPr>
                  <w:r>
                    <w:t xml:space="preserve">33.1</w:t>
                  </w:r>
                </w:p>
              </w:tc>
              <w:tc>
                <w:tcPr/>
                <w:p>
                  <w:pPr>
                    <w:pStyle w:val="Compact"/>
                    <w:jc w:val="right"/>
                    <w:jc w:val="center"/>
                  </w:pPr>
                  <w:r>
                    <w:t xml:space="preserve">31.5</w:t>
                  </w:r>
                </w:p>
              </w:tc>
              <w:tc>
                <w:tcPr/>
                <w:p>
                  <w:pPr>
                    <w:pStyle w:val="Compact"/>
                    <w:jc w:val="right"/>
                    <w:jc w:val="center"/>
                  </w:pPr>
                  <w:r>
                    <w:t xml:space="preserve">-1.6</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 (0.07)</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(0.08)</w:t>
                  </w:r>
                </w:p>
              </w:tc>
              <w:tc>
                <w:tcPr/>
                <w:p>
                  <w:pPr>
                    <w:pStyle w:val="Compact"/>
                    <w:jc w:val="right"/>
                    <w:jc w:val="center"/>
                  </w:pPr>
                  <w:r>
                    <w:t xml:space="preserve">24.1</w:t>
                  </w:r>
                </w:p>
              </w:tc>
              <w:tc>
                <w:tcPr/>
                <w:p>
                  <w:pPr>
                    <w:pStyle w:val="Compact"/>
                    <w:jc w:val="right"/>
                    <w:jc w:val="center"/>
                  </w:pPr>
                  <w:r>
                    <w:t xml:space="preserve">22.7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 (0.07)</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 (0.08)</w:t>
                  </w:r>
                </w:p>
              </w:tc>
              <w:tc>
                <w:tcPr/>
                <w:p>
                  <w:pPr>
                    <w:pStyle w:val="Compact"/>
                    <w:jc w:val="right"/>
                    <w:jc w:val="center"/>
                  </w:pPr>
                  <w:r>
                    <w:t xml:space="preserve">24.0</w:t>
                  </w:r>
                </w:p>
              </w:tc>
              <w:tc>
                <w:tcPr/>
                <w:p>
                  <w:pPr>
                    <w:pStyle w:val="Compact"/>
                    <w:jc w:val="right"/>
                    <w:jc w:val="center"/>
                  </w:pPr>
                  <w:r>
                    <w:t xml:space="preserve">23.9</w:t>
                  </w:r>
                </w:p>
              </w:tc>
              <w:tc>
                <w:tcPr/>
                <w:p>
                  <w:pPr>
                    <w:pStyle w:val="Compact"/>
                    <w:jc w:val="right"/>
                    <w:jc w:val="center"/>
                  </w:pPr>
                  <w:r>
                    <w:t xml:space="preserve">-0.1</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 (0.05)</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 (0.06)</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 (0.03)</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 (0.04)</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 (0.09)</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 (0.09)</w:t>
                  </w:r>
                </w:p>
              </w:tc>
              <w:tc>
                <w:tcPr/>
                <w:p>
                  <w:pPr>
                    <w:pStyle w:val="Compact"/>
                    <w:jc w:val="right"/>
                    <w:jc w:val="center"/>
                  </w:pPr>
                  <w:r>
                    <w:t xml:space="preserve">24.6</w:t>
                  </w:r>
                </w:p>
              </w:tc>
              <w:tc>
                <w:tcPr/>
                <w:p>
                  <w:pPr>
                    <w:pStyle w:val="Compact"/>
                    <w:jc w:val="right"/>
                    <w:jc w:val="center"/>
                  </w:pPr>
                  <w:r>
                    <w:t xml:space="preserve">22.0</w:t>
                  </w:r>
                </w:p>
              </w:tc>
              <w:tc>
                <w:tcPr/>
                <w:p>
                  <w:pPr>
                    <w:pStyle w:val="Compact"/>
                    <w:jc w:val="right"/>
                    <w:jc w:val="center"/>
                  </w:pPr>
                  <w:r>
                    <w:t xml:space="preserve">-2.6</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 (0.1)</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 (0.08)</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 (0.1)</w:t>
                  </w:r>
                </w:p>
              </w:tc>
              <w:tc>
                <w:tcPr/>
                <w:p>
                  <w:pPr>
                    <w:pStyle w:val="Compact"/>
                    <w:jc w:val="right"/>
                    <w:jc w:val="center"/>
                  </w:pPr>
                  <w:r>
                    <w:t xml:space="preserve">24.7</w:t>
                  </w:r>
                </w:p>
              </w:tc>
              <w:tc>
                <w:tcPr/>
                <w:p>
                  <w:pPr>
                    <w:pStyle w:val="Compact"/>
                    <w:jc w:val="right"/>
                    <w:jc w:val="center"/>
                  </w:pPr>
                  <w:r>
                    <w:t xml:space="preserve">23.4</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 (0.07)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 (0.08)</w:t>
                  </w:r>
                </w:p>
              </w:tc>
              <w:tc>
                <w:tcPr/>
                <w:p>
                  <w:pPr>
                    <w:pStyle w:val="Compact"/>
                    <w:jc w:val="right"/>
                    <w:jc w:val="center"/>
                  </w:pPr>
                  <w:r>
                    <w:t xml:space="preserve">27.2</w:t>
                  </w:r>
                </w:p>
              </w:tc>
              <w:tc>
                <w:tcPr/>
                <w:p>
                  <w:pPr>
                    <w:pStyle w:val="Compact"/>
                    <w:jc w:val="right"/>
                    <w:jc w:val="center"/>
                  </w:pPr>
                  <w:r>
                    <w:t xml:space="preserve">25.3</w:t>
                  </w:r>
                </w:p>
              </w:tc>
              <w:tc>
                <w:tcPr/>
                <w:p>
                  <w:pPr>
                    <w:pStyle w:val="Compact"/>
                    <w:jc w:val="right"/>
                    <w:jc w:val="center"/>
                  </w:pPr>
                  <w:r>
                    <w:t xml:space="preserve">-1.9</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 (0.04)</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8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81" w:name="tbl-mixdaytab"/>
          <w:p>
            <w:pPr>
              <w:jc w:val="center"/>
            </w:pPr>
            <w:pPr>
              <w:jc w:val="start"/>
              <w:spacing w:before="200"/>
              <w:pStyle w:val="ImageCaption"/>
            </w:pPr>
            <w:r>
              <w:t xml:space="preserve">Table 4: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(mean, standard error) in 1975 and 2022 when temperature or salinity were above or below the thresholds.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1.05</w:t>
                  </w:r>
                </w:p>
              </w:tc>
              <w:tc>
                <w:tcPr/>
                <w:p>
                  <w:pPr>
                    <w:pStyle w:val="Compact"/>
                    <w:jc w:val="left"/>
                    <w:jc w:val="center"/>
                  </w:pPr>
                  <w:r>
                    <w:t xml:space="preserve">7 (3.3)</w:t>
                  </w:r>
                </w:p>
              </w:tc>
              <w:tc>
                <w:tcPr/>
                <w:p>
                  <w:pPr>
                    <w:pStyle w:val="Compact"/>
                    <w:jc w:val="left"/>
                    <w:jc w:val="center"/>
                  </w:pPr>
                  <w:r>
                    <w:t xml:space="preserve">57 (3.2)</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1.83</w:t>
                  </w:r>
                </w:p>
              </w:tc>
              <w:tc>
                <w:tcPr/>
                <w:p>
                  <w:pPr>
                    <w:pStyle w:val="Compact"/>
                    <w:jc w:val="left"/>
                    <w:jc w:val="center"/>
                  </w:pPr>
                  <w:r>
                    <w:t xml:space="preserve">130 (13)</w:t>
                  </w:r>
                </w:p>
              </w:tc>
              <w:tc>
                <w:tcPr/>
                <w:p>
                  <w:pPr>
                    <w:pStyle w:val="Compact"/>
                    <w:jc w:val="left"/>
                    <w:jc w:val="center"/>
                  </w:pPr>
                  <w:r>
                    <w:t xml:space="preserve">216 (13)</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-1 (2.7)</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0.99</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w:t>
                  </w:r>
                </w:p>
              </w:tc>
              <w:tc>
                <w:tcPr/>
                <w:p>
                  <w:pPr>
                    <w:pStyle w:val="Compact"/>
                    <w:jc w:val="left"/>
                    <w:jc w:val="center"/>
                  </w:pPr>
                  <w:r>
                    <w:t xml:space="preserve">134 (12.2)</w:t>
                  </w:r>
                </w:p>
              </w:tc>
              <w:tc>
                <w:tcPr/>
                <w:p>
                  <w:pPr>
                    <w:pStyle w:val="Compact"/>
                    <w:jc w:val="left"/>
                    <w:jc w:val="center"/>
                  </w:pPr>
                  <w:r>
                    <w:t xml:space="preserve">171 (11.5)</w:t>
                  </w:r>
                </w:p>
              </w:tc>
            </w:tr>
            <w:tr>
              <w:tc>
                <w:tcPr/>
                <w:p>
                  <w:pPr>
                    <w:pStyle w:val="Compact"/>
                  </w:pPr>
                </w:p>
              </w:tc>
              <w:tc>
                <w:tcPr/>
                <w:p>
                  <w:pPr>
                    <w:pStyle w:val="Compact"/>
                    <w:jc w:val="left"/>
                    <w:jc w:val="center"/>
                  </w:pPr>
                  <w:r>
                    <w:t xml:space="preserve">Both</w:t>
                  </w:r>
                </w:p>
              </w:tc>
              <w:tc>
                <w:tcPr/>
                <w:p>
                  <w:pPr>
                    <w:pStyle w:val="Compact"/>
                    <w:jc w:val="left"/>
                    <w:jc w:val="center"/>
                  </w:pPr>
                  <w:r>
                    <w:t xml:space="preserve">0.76</w:t>
                  </w:r>
                </w:p>
              </w:tc>
              <w:tc>
                <w:tcPr/>
                <w:p>
                  <w:pPr>
                    <w:pStyle w:val="Compact"/>
                    <w:jc w:val="left"/>
                    <w:jc w:val="center"/>
                  </w:pPr>
                  <w:r>
                    <w:t xml:space="preserve">-1 (2.9)</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8 (3.1)</w:t>
                  </w:r>
                </w:p>
              </w:tc>
              <w:tc>
                <w:tcPr/>
                <w:p>
                  <w:pPr>
                    <w:pStyle w:val="Compact"/>
                    <w:jc w:val="left"/>
                    <w:jc w:val="center"/>
                  </w:pPr>
                  <w:r>
                    <w:t xml:space="preserve">58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0.53</w:t>
                  </w:r>
                </w:p>
              </w:tc>
              <w:tc>
                <w:tcPr/>
                <w:p>
                  <w:pPr>
                    <w:pStyle w:val="Compact"/>
                    <w:jc w:val="left"/>
                    <w:jc w:val="center"/>
                  </w:pPr>
                  <w:r>
                    <w:t xml:space="preserve">56 (11.8)</w:t>
                  </w:r>
                </w:p>
              </w:tc>
              <w:tc>
                <w:tcPr/>
                <w:p>
                  <w:pPr>
                    <w:pStyle w:val="Compact"/>
                    <w:jc w:val="left"/>
                    <w:jc w:val="center"/>
                  </w:pPr>
                  <w:r>
                    <w:t xml:space="preserve">81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0.97</w:t>
                  </w:r>
                </w:p>
              </w:tc>
              <w:tc>
                <w:tcPr/>
                <w:p>
                  <w:pPr>
                    <w:pStyle w:val="Compact"/>
                    <w:jc w:val="left"/>
                    <w:jc w:val="center"/>
                  </w:pPr>
                  <w:r>
                    <w:t xml:space="preserve">19 (3.4)</w:t>
                  </w:r>
                </w:p>
              </w:tc>
              <w:tc>
                <w:tcPr/>
                <w:p>
                  <w:pPr>
                    <w:pStyle w:val="Compact"/>
                    <w:jc w:val="left"/>
                    <w:jc w:val="center"/>
                  </w:pPr>
                  <w:r>
                    <w:t xml:space="preserve">64 (3.4)</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-0.09</w:t>
                  </w:r>
                </w:p>
              </w:tc>
              <w:tc>
                <w:tcPr/>
                <w:p>
                  <w:pPr>
                    <w:pStyle w:val="Compact"/>
                    <w:jc w:val="left"/>
                    <w:jc w:val="center"/>
                  </w:pPr>
                  <w:r>
                    <w:t xml:space="preserve">4 (1.2)</w:t>
                  </w:r>
                </w:p>
              </w:tc>
              <w:tc>
                <w:tcPr/>
                <w:p>
                  <w:pPr>
                    <w:pStyle w:val="Compact"/>
                    <w:jc w:val="left"/>
                    <w:jc w:val="center"/>
                  </w:pPr>
                  <w:r>
                    <w:t xml:space="preserve">0 (1.2)</w:t>
                  </w:r>
                </w:p>
              </w:tc>
            </w:tr>
            <w:tr>
              <w:tc>
                <w:tcPr/>
                <w:p>
                  <w:pPr>
                    <w:pStyle w:val="Compact"/>
                  </w:pPr>
                </w:p>
              </w:tc>
              <w:tc>
                <w:tcPr/>
                <w:p>
                  <w:pPr>
                    <w:pStyle w:val="Compact"/>
                    <w:jc w:val="left"/>
                    <w:jc w:val="center"/>
                  </w:pPr>
                  <w:r>
                    <w:t xml:space="preserve">Both</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bl>
          <w:bookmarkEnd w:id="81"/>
          <w:p/>
        </w:tc>
      </w:tr>
    </w:tbl>
    <w:p>
      <w:r>
        <w:br w:type="page"/>
      </w:r>
    </w:p>
    <w:bookmarkEnd w:id="82"/>
    <w:bookmarkStart w:id="85" w:name="data-availability"/>
    <w:p>
      <w:pPr>
        <w:pStyle w:val="Heading2"/>
      </w:pPr>
      <w:r>
        <w:t xml:space="preserve">Data Availability</w:t>
      </w:r>
    </w:p>
    <w:p>
      <w:pPr>
        <w:pStyle w:val="FirstParagraph"/>
      </w:pPr>
      <w:r>
        <w:t xml:space="preserve">All data and analysis code for this manuscript is available on GitHub at</w:t>
      </w:r>
      <w:r>
        <w:t xml:space="preserve"> </w:t>
      </w:r>
      <w:hyperlink r:id="rId83">
        <w:r>
          <w:rPr>
            <w:rStyle w:val="Hyperlink"/>
          </w:rPr>
          <w:t xml:space="preserve">https://github.com/tbep-tech/temp-manu</w:t>
        </w:r>
      </w:hyperlink>
      <w:r>
        <w:t xml:space="preserve">. A preprint of an earlier version of this manuscript is available at</w:t>
      </w:r>
      <w:r>
        <w:t xml:space="preserve"> </w:t>
      </w:r>
      <w:hyperlink r:id="rId84">
        <w:r>
          <w:rPr>
            <w:rStyle w:val="Hyperlink"/>
          </w:rPr>
          <w:t xml:space="preserve">https://doi.org/10.21203/rs.3.rs-3946855/v1</w:t>
        </w:r>
      </w:hyperlink>
      <w:r>
        <w:t xml:space="preserve">.</w:t>
      </w:r>
    </w:p>
    <w:bookmarkEnd w:id="85"/>
    <w:bookmarkStart w:id="86" w:name="acknowledgments"/>
    <w:p>
      <w:pPr>
        <w:pStyle w:val="Heading2"/>
      </w:pPr>
      <w:r>
        <w:t xml:space="preserve">Acknowledgments</w:t>
      </w:r>
    </w:p>
    <w:p>
      <w:pPr>
        <w:pStyle w:val="FirstParagraph"/>
      </w:pPr>
      <w:r>
        <w:t xml:space="preserve">This work benefited from constructive discussions with the Technical Advisory Committee of the Tampa Bay Estuary Program (TBEP), in particular Mike Wessel, Ray Pribble, and Dave Tomasko. We are thankful for constructive comments provided by the associate editor and two anonymous reviewers. We are indebted to the community of field and technical staff that have routinely collected and maintained the valuable long-term monitoring data used in this study.</w:t>
      </w:r>
    </w:p>
    <w:bookmarkEnd w:id="86"/>
    <w:bookmarkStart w:id="90" w:name="statements-and-declarations"/>
    <w:p>
      <w:pPr>
        <w:pStyle w:val="Heading2"/>
      </w:pPr>
      <w:r>
        <w:t xml:space="preserve">Statements and Declarations</w:t>
      </w:r>
    </w:p>
    <w:bookmarkStart w:id="87" w:name="author-contributions"/>
    <w:p>
      <w:pPr>
        <w:pStyle w:val="Heading3"/>
      </w:pPr>
      <w:r>
        <w:t xml:space="preserve">Author Contributions</w:t>
      </w:r>
    </w:p>
    <w:p>
      <w:pPr>
        <w:pStyle w:val="FirstParagraph"/>
      </w:pPr>
      <w:r>
        <w:t xml:space="preserve">Conceptualization: Marcus W Beck, Kerry Flaherty-Walia, Sheila Scolaro, Maya C Burke, Edward T Sherwood; Data Curation: Bradley T Furman, David J Karlen, Christopher J Anastasiou, Christopher Pratt; Methodology: Marcus W Beck, Kerry Flaherty-Walia, Sheila Scolaro, Maya C Burke, Edward T Sherwood; Formal analysis and investigation: Marcus W Beck; Writing - original draft preparation: all authors; Writing - review and editing: all authors; Funding acquisition: Edward T Sherwood.</w:t>
      </w:r>
    </w:p>
    <w:bookmarkEnd w:id="87"/>
    <w:bookmarkStart w:id="88" w:name="ethics-declaration"/>
    <w:p>
      <w:pPr>
        <w:pStyle w:val="Heading3"/>
      </w:pPr>
      <w:r>
        <w:t xml:space="preserve">Ethics Declaration</w:t>
      </w:r>
    </w:p>
    <w:p>
      <w:pPr>
        <w:pStyle w:val="FirstParagraph"/>
      </w:pPr>
      <w:r>
        <w:t xml:space="preserve">The authors have no competing interests to declare that are relevant to the content of this article.</w:t>
      </w:r>
    </w:p>
    <w:bookmarkEnd w:id="88"/>
    <w:bookmarkStart w:id="89" w:name="funding"/>
    <w:p>
      <w:pPr>
        <w:pStyle w:val="Heading3"/>
      </w:pPr>
      <w:r>
        <w:t xml:space="preserve">Funding</w:t>
      </w:r>
    </w:p>
    <w:p>
      <w:pPr>
        <w:pStyle w:val="FirstParagraph"/>
      </w:pPr>
      <w:r>
        <w:t xml:space="preserve">This study was funded by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w:t>
      </w:r>
    </w:p>
    <w:bookmarkEnd w:id="89"/>
    <w:bookmarkEnd w:id="90"/>
    <w:bookmarkStart w:id="288" w:name="references"/>
    <w:p>
      <w:pPr>
        <w:pStyle w:val="Heading2"/>
      </w:pPr>
      <w:r>
        <w:t xml:space="preserve">References</w:t>
      </w:r>
    </w:p>
    <w:bookmarkStart w:id="287" w:name="refs"/>
    <w:bookmarkStart w:id="92"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91">
        <w:r>
          <w:rPr>
            <w:rStyle w:val="Hyperlink"/>
          </w:rPr>
          <w:t xml:space="preserve">https://doi.org/10.1016/j.ocecoaman.2023.106929</w:t>
        </w:r>
      </w:hyperlink>
      <w:r>
        <w:t xml:space="preserve">.</w:t>
      </w:r>
    </w:p>
    <w:bookmarkEnd w:id="92"/>
    <w:bookmarkStart w:id="94" w:name="ref-araújo2006"/>
    <w:p>
      <w:pPr>
        <w:pStyle w:val="Bibliography"/>
      </w:pPr>
      <w:r>
        <w:t xml:space="preserve">Araújo, M. B., and A. Guisan. 2006. Five (or so) challenges for species distribution modelling.</w:t>
      </w:r>
      <w:r>
        <w:t xml:space="preserve"> </w:t>
      </w:r>
      <w:r>
        <w:rPr>
          <w:iCs/>
          <w:i/>
        </w:rPr>
        <w:t xml:space="preserve">Journal of Biogeography</w:t>
      </w:r>
      <w:r>
        <w:t xml:space="preserve"> </w:t>
      </w:r>
      <w:r>
        <w:t xml:space="preserve">33: 1677–1688.</w:t>
      </w:r>
      <w:r>
        <w:t xml:space="preserve"> </w:t>
      </w:r>
      <w:hyperlink r:id="rId93">
        <w:r>
          <w:rPr>
            <w:rStyle w:val="Hyperlink"/>
          </w:rPr>
          <w:t xml:space="preserve">https://doi.org/10.1111/j.1365-2699.2006.01584.x</w:t>
        </w:r>
      </w:hyperlink>
      <w:r>
        <w:t xml:space="preserve">.</w:t>
      </w:r>
    </w:p>
    <w:bookmarkEnd w:id="94"/>
    <w:bookmarkStart w:id="96"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95">
        <w:r>
          <w:rPr>
            <w:rStyle w:val="Hyperlink"/>
          </w:rPr>
          <w:t xml:space="preserve">https://doi.org/10.18637/jss.v067.i01</w:t>
        </w:r>
      </w:hyperlink>
      <w:r>
        <w:t xml:space="preserve">.</w:t>
      </w:r>
    </w:p>
    <w:bookmarkEnd w:id="96"/>
    <w:bookmarkStart w:id="98" w:name="ref-Beck20a"/>
    <w:p>
      <w:pPr>
        <w:pStyle w:val="Bibliography"/>
      </w:pPr>
      <w:r>
        <w:t xml:space="preserve">Beck, M. W. 2020a.</w:t>
      </w:r>
      <w:r>
        <w:t xml:space="preserve"> </w:t>
      </w:r>
      <w:r>
        <w:t xml:space="preserve">t</w:t>
      </w:r>
      <w:r>
        <w:t xml:space="preserve">bep-tech/wq-dash: v1.0 (version v1.0). Zenodo.</w:t>
      </w:r>
      <w:r>
        <w:t xml:space="preserve"> </w:t>
      </w:r>
      <w:hyperlink r:id="rId97">
        <w:r>
          <w:rPr>
            <w:rStyle w:val="Hyperlink"/>
          </w:rPr>
          <w:t xml:space="preserve">https://doi.org/10.5281/zenodo.3648664</w:t>
        </w:r>
      </w:hyperlink>
      <w:r>
        <w:t xml:space="preserve">.</w:t>
      </w:r>
    </w:p>
    <w:bookmarkEnd w:id="98"/>
    <w:bookmarkStart w:id="100" w:name="ref-Beck20b"/>
    <w:p>
      <w:pPr>
        <w:pStyle w:val="Bibliography"/>
      </w:pPr>
      <w:r>
        <w:t xml:space="preserve">Beck, M. W. 2020b.</w:t>
      </w:r>
      <w:r>
        <w:t xml:space="preserve"> </w:t>
      </w:r>
      <w:r>
        <w:t xml:space="preserve">t</w:t>
      </w:r>
      <w:r>
        <w:t xml:space="preserve">bep-tech/seagrasstransect-dash: v1.0 (version v1.0). Zenodo.</w:t>
      </w:r>
      <w:r>
        <w:t xml:space="preserve"> </w:t>
      </w:r>
      <w:hyperlink r:id="rId99">
        <w:r>
          <w:rPr>
            <w:rStyle w:val="Hyperlink"/>
          </w:rPr>
          <w:t xml:space="preserve">https://doi.org/10.5281/zenodo.4319936</w:t>
        </w:r>
      </w:hyperlink>
      <w:r>
        <w:t xml:space="preserve">.</w:t>
      </w:r>
    </w:p>
    <w:bookmarkEnd w:id="100"/>
    <w:bookmarkStart w:id="102"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101">
        <w:r>
          <w:rPr>
            <w:rStyle w:val="Hyperlink"/>
          </w:rPr>
          <w:t xml:space="preserve">https://doi.org/10.1016/j.marpolbul.2022.113598</w:t>
        </w:r>
      </w:hyperlink>
      <w:r>
        <w:t xml:space="preserve">.</w:t>
      </w:r>
    </w:p>
    <w:bookmarkEnd w:id="102"/>
    <w:bookmarkStart w:id="104"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103">
        <w:r>
          <w:rPr>
            <w:rStyle w:val="Hyperlink"/>
          </w:rPr>
          <w:t xml:space="preserve">https://doi.org/10.3389/fevo.2023.1070266</w:t>
        </w:r>
      </w:hyperlink>
      <w:r>
        <w:t xml:space="preserve">.</w:t>
      </w:r>
    </w:p>
    <w:bookmarkEnd w:id="104"/>
    <w:bookmarkStart w:id="106"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105">
        <w:r>
          <w:rPr>
            <w:rStyle w:val="Hyperlink"/>
          </w:rPr>
          <w:t xml:space="preserve">https://doi.org/10.21105/joss.03485</w:t>
        </w:r>
      </w:hyperlink>
      <w:r>
        <w:t xml:space="preserve">.</w:t>
      </w:r>
    </w:p>
    <w:bookmarkEnd w:id="106"/>
    <w:bookmarkStart w:id="108"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107">
        <w:r>
          <w:rPr>
            <w:rStyle w:val="Hyperlink"/>
          </w:rPr>
          <w:t xml:space="preserve">https://doi.org/10.1007/s12237-019-00619-w</w:t>
        </w:r>
      </w:hyperlink>
      <w:r>
        <w:t xml:space="preserve">.</w:t>
      </w:r>
    </w:p>
    <w:bookmarkEnd w:id="108"/>
    <w:bookmarkStart w:id="110" w:name="ref-begueria23"/>
    <w:p>
      <w:pPr>
        <w:pStyle w:val="Bibliography"/>
      </w:pPr>
      <w:r>
        <w:t xml:space="preserve">Beguería, S., and S. M. Vicente-Serrano. 2023.</w:t>
      </w:r>
      <w:r>
        <w:t xml:space="preserve"> </w:t>
      </w:r>
      <w:hyperlink r:id="rId109">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110"/>
    <w:bookmarkStart w:id="112"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111">
        <w:r>
          <w:rPr>
            <w:rStyle w:val="Hyperlink"/>
          </w:rPr>
          <w:t xml:space="preserve">https://doi.org/10.1002/joc.3887</w:t>
        </w:r>
      </w:hyperlink>
      <w:r>
        <w:t xml:space="preserve">.</w:t>
      </w:r>
    </w:p>
    <w:bookmarkEnd w:id="112"/>
    <w:bookmarkStart w:id="114"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113">
        <w:r>
          <w:rPr>
            <w:rStyle w:val="Hyperlink"/>
          </w:rPr>
          <w:t xml:space="preserve">https://doi.org/10.3354/meps147277</w:t>
        </w:r>
      </w:hyperlink>
      <w:r>
        <w:t xml:space="preserve">.</w:t>
      </w:r>
    </w:p>
    <w:bookmarkEnd w:id="114"/>
    <w:bookmarkStart w:id="116" w:name="ref-blakesley2001"/>
    <w:p>
      <w:pPr>
        <w:pStyle w:val="Bibliography"/>
      </w:pPr>
      <w:r>
        <w:t xml:space="preserve">Blakesley, B., P. Hall, D. Berns, J. Hyniova, M. Merello, and R. Conroy. 2001.</w:t>
      </w:r>
      <w:r>
        <w:t xml:space="preserve"> </w:t>
      </w:r>
      <w:hyperlink r:id="rId115">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116"/>
    <w:bookmarkStart w:id="118"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17">
        <w:r>
          <w:rPr>
            <w:rStyle w:val="Hyperlink"/>
          </w:rPr>
          <w:t xml:space="preserve">https://doi.org/10.2134/jeq2001.302303x</w:t>
        </w:r>
      </w:hyperlink>
      <w:r>
        <w:t xml:space="preserve">.</w:t>
      </w:r>
    </w:p>
    <w:bookmarkEnd w:id="118"/>
    <w:bookmarkStart w:id="120"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19">
        <w:r>
          <w:rPr>
            <w:rStyle w:val="Hyperlink"/>
          </w:rPr>
          <w:t xml:space="preserve">https://doi.org/10.1111/1365-2664.13169</w:t>
        </w:r>
      </w:hyperlink>
      <w:r>
        <w:t xml:space="preserve">.</w:t>
      </w:r>
    </w:p>
    <w:bookmarkEnd w:id="120"/>
    <w:bookmarkStart w:id="122"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21">
        <w:r>
          <w:rPr>
            <w:rStyle w:val="Hyperlink"/>
          </w:rPr>
          <w:t xml:space="preserve">https://doi.org/10.1016/j.ecolind.2023.111035</w:t>
        </w:r>
      </w:hyperlink>
      <w:r>
        <w:t xml:space="preserve">.</w:t>
      </w:r>
    </w:p>
    <w:bookmarkEnd w:id="122"/>
    <w:bookmarkStart w:id="124"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23">
        <w:r>
          <w:rPr>
            <w:rStyle w:val="Hyperlink"/>
          </w:rPr>
          <w:t xml:space="preserve">https://doi.org/10.2307/1352383</w:t>
        </w:r>
      </w:hyperlink>
      <w:r>
        <w:t xml:space="preserve">.</w:t>
      </w:r>
    </w:p>
    <w:bookmarkEnd w:id="124"/>
    <w:bookmarkStart w:id="126"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25">
        <w:r>
          <w:rPr>
            <w:rStyle w:val="Hyperlink"/>
          </w:rPr>
          <w:t xml:space="preserve">https://doi.org/10.1016/j.jembe.2007.06.024</w:t>
        </w:r>
      </w:hyperlink>
      <w:r>
        <w:t xml:space="preserve">.</w:t>
      </w:r>
    </w:p>
    <w:bookmarkEnd w:id="126"/>
    <w:bookmarkStart w:id="128" w:name="ref-carlson2018"/>
    <w:p>
      <w:pPr>
        <w:pStyle w:val="Bibliography"/>
      </w:pPr>
      <w:r>
        <w:t xml:space="preserve">Carlson, D. F., L. A. Yarbro, S. Scolaro, M. Poniatowski, V. McGee-Absten, and P. R. Carlson. 2018. Sea surface temperatures and seagrass mortality in</w:t>
      </w:r>
      <w:r>
        <w:t xml:space="preserve"> </w:t>
      </w:r>
      <w:r>
        <w:t xml:space="preserve">F</w:t>
      </w:r>
      <w:r>
        <w:t xml:space="preserve">lorida</w:t>
      </w:r>
      <w:r>
        <w:t xml:space="preserve"> </w:t>
      </w:r>
      <w:r>
        <w:t xml:space="preserve">B</w:t>
      </w:r>
      <w:r>
        <w:t xml:space="preserve">ay: Spatial and temporal patterns discerned from</w:t>
      </w:r>
      <w:r>
        <w:t xml:space="preserve"> </w:t>
      </w:r>
      <w:r>
        <w:t xml:space="preserve">MODIS</w:t>
      </w:r>
      <w:r>
        <w:t xml:space="preserve"> </w:t>
      </w:r>
      <w:r>
        <w:t xml:space="preserve">and</w:t>
      </w:r>
      <w:r>
        <w:t xml:space="preserve"> </w:t>
      </w:r>
      <w:r>
        <w:t xml:space="preserve">AVHRR</w:t>
      </w:r>
      <w:r>
        <w:t xml:space="preserve"> </w:t>
      </w:r>
      <w:r>
        <w:t xml:space="preserve">data.</w:t>
      </w:r>
      <w:r>
        <w:t xml:space="preserve"> </w:t>
      </w:r>
      <w:r>
        <w:rPr>
          <w:iCs/>
          <w:i/>
        </w:rPr>
        <w:t xml:space="preserve">Remote Sensing of Environment</w:t>
      </w:r>
      <w:r>
        <w:t xml:space="preserve"> </w:t>
      </w:r>
      <w:r>
        <w:t xml:space="preserve">208: 171–188.</w:t>
      </w:r>
      <w:r>
        <w:t xml:space="preserve"> </w:t>
      </w:r>
      <w:hyperlink r:id="rId127">
        <w:r>
          <w:rPr>
            <w:rStyle w:val="Hyperlink"/>
          </w:rPr>
          <w:t xml:space="preserve">https://doi.org/10.1016/j.rse.2018.02.014</w:t>
        </w:r>
      </w:hyperlink>
      <w:r>
        <w:t xml:space="preserve">.</w:t>
      </w:r>
    </w:p>
    <w:bookmarkEnd w:id="128"/>
    <w:bookmarkStart w:id="130" w:name="ref-chamberlain23"/>
    <w:p>
      <w:pPr>
        <w:pStyle w:val="Bibliography"/>
      </w:pPr>
      <w:r>
        <w:t xml:space="preserve">Chamberlain, S., and D. Hocking. 2023.</w:t>
      </w:r>
      <w:r>
        <w:t xml:space="preserve"> </w:t>
      </w:r>
      <w:hyperlink r:id="rId129">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30"/>
    <w:bookmarkStart w:id="132"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31">
        <w:r>
          <w:rPr>
            <w:rStyle w:val="Hyperlink"/>
          </w:rPr>
          <w:t xml:space="preserve">https://doi.org/10.1016/j.ocecoaman.2023.106490</w:t>
        </w:r>
      </w:hyperlink>
      <w:r>
        <w:t xml:space="preserve">.</w:t>
      </w:r>
    </w:p>
    <w:bookmarkEnd w:id="132"/>
    <w:bookmarkStart w:id="134"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33">
        <w:r>
          <w:rPr>
            <w:rStyle w:val="Hyperlink"/>
          </w:rPr>
          <w:t xml:space="preserve">https://doi.org/10.1016/j.jenvman.2018.01.025</w:t>
        </w:r>
      </w:hyperlink>
      <w:r>
        <w:t xml:space="preserve">.</w:t>
      </w:r>
    </w:p>
    <w:bookmarkEnd w:id="134"/>
    <w:bookmarkStart w:id="136"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35">
        <w:r>
          <w:rPr>
            <w:rStyle w:val="Hyperlink"/>
          </w:rPr>
          <w:t xml:space="preserve">https://doi.org/10.1080/00785236.1995.10422039</w:t>
        </w:r>
      </w:hyperlink>
      <w:r>
        <w:t xml:space="preserve">.</w:t>
      </w:r>
    </w:p>
    <w:bookmarkEnd w:id="136"/>
    <w:bookmarkStart w:id="138"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37">
        <w:r>
          <w:rPr>
            <w:rStyle w:val="Hyperlink"/>
          </w:rPr>
          <w:t xml:space="preserve">https://doi.org/10.1007/s12237-008-9038-7</w:t>
        </w:r>
      </w:hyperlink>
      <w:r>
        <w:t xml:space="preserve">.</w:t>
      </w:r>
    </w:p>
    <w:bookmarkEnd w:id="138"/>
    <w:bookmarkStart w:id="140"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39">
        <w:r>
          <w:rPr>
            <w:rStyle w:val="Hyperlink"/>
          </w:rPr>
          <w:t xml:space="preserve">https://doi.org/10.3389/fpls.2021.612947</w:t>
        </w:r>
      </w:hyperlink>
      <w:r>
        <w:t xml:space="preserve">.</w:t>
      </w:r>
    </w:p>
    <w:bookmarkEnd w:id="140"/>
    <w:bookmarkStart w:id="142"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41">
        <w:r>
          <w:rPr>
            <w:rStyle w:val="Hyperlink"/>
          </w:rPr>
          <w:t xml:space="preserve">https://doi.org/10.1111/gcb.15684</w:t>
        </w:r>
      </w:hyperlink>
      <w:r>
        <w:t xml:space="preserve">.</w:t>
      </w:r>
    </w:p>
    <w:bookmarkEnd w:id="142"/>
    <w:bookmarkStart w:id="144"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43">
        <w:r>
          <w:rPr>
            <w:rStyle w:val="Hyperlink"/>
          </w:rPr>
          <w:t xml:space="preserve">https://doi.org/10.1111/conl.12938</w:t>
        </w:r>
      </w:hyperlink>
      <w:r>
        <w:t xml:space="preserve">.</w:t>
      </w:r>
    </w:p>
    <w:bookmarkEnd w:id="144"/>
    <w:bookmarkStart w:id="146"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45">
        <w:r>
          <w:rPr>
            <w:rStyle w:val="Hyperlink"/>
          </w:rPr>
          <w:t xml:space="preserve">https://doi.org/10.1038/ngeo1477</w:t>
        </w:r>
      </w:hyperlink>
      <w:r>
        <w:t xml:space="preserve">.</w:t>
      </w:r>
    </w:p>
    <w:bookmarkEnd w:id="146"/>
    <w:bookmarkStart w:id="148" w:name="ref-garcia2023"/>
    <w:p>
      <w:pPr>
        <w:pStyle w:val="Bibliography"/>
      </w:pPr>
      <w:r>
        <w:t xml:space="preserve">Garcia, L., C. J. Anastasiou, and D. Robison. 2023.</w:t>
      </w:r>
      <w:r>
        <w:t xml:space="preserve"> </w:t>
      </w:r>
      <w:hyperlink r:id="rId147">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S</w:t>
        </w:r>
        <w:r>
          <w:rPr>
            <w:rStyle w:val="Hyperlink"/>
            <w:iCs/>
            <w:i/>
          </w:rPr>
          <w:t xml:space="preserve">urface</w:t>
        </w:r>
        <w:r>
          <w:rPr>
            <w:rStyle w:val="Hyperlink"/>
            <w:iCs/>
            <w:i/>
          </w:rPr>
          <w:t xml:space="preserve"> </w:t>
        </w:r>
        <w:r>
          <w:rPr>
            <w:rStyle w:val="Hyperlink"/>
            <w:iCs/>
            <w:i/>
          </w:rPr>
          <w:t xml:space="preserve">W</w:t>
        </w:r>
        <w:r>
          <w:rPr>
            <w:rStyle w:val="Hyperlink"/>
            <w:iCs/>
            <w:i/>
          </w:rPr>
          <w:t xml:space="preserve">ater</w:t>
        </w:r>
        <w:r>
          <w:rPr>
            <w:rStyle w:val="Hyperlink"/>
            <w:iCs/>
            <w:i/>
          </w:rPr>
          <w:t xml:space="preserve"> </w:t>
        </w:r>
        <w:r>
          <w:rPr>
            <w:rStyle w:val="Hyperlink"/>
            <w:iCs/>
            <w:i/>
          </w:rPr>
          <w:t xml:space="preserve">I</w:t>
        </w:r>
        <w:r>
          <w:rPr>
            <w:rStyle w:val="Hyperlink"/>
            <w:iCs/>
            <w:i/>
          </w:rPr>
          <w:t xml:space="preserve">mprovement and</w:t>
        </w:r>
        <w:r>
          <w:rPr>
            <w:rStyle w:val="Hyperlink"/>
            <w:iCs/>
            <w:i/>
          </w:rPr>
          <w:t xml:space="preserve"> </w:t>
        </w:r>
        <w:r>
          <w:rPr>
            <w:rStyle w:val="Hyperlink"/>
            <w:iCs/>
            <w:i/>
          </w:rPr>
          <w:t xml:space="preserve">M</w:t>
        </w:r>
        <w:r>
          <w:rPr>
            <w:rStyle w:val="Hyperlink"/>
            <w:iCs/>
            <w:i/>
          </w:rPr>
          <w:t xml:space="preserve">anagement (</w:t>
        </w:r>
        <w:r>
          <w:rPr>
            <w:rStyle w:val="Hyperlink"/>
            <w:iCs/>
            <w:i/>
          </w:rPr>
          <w:t xml:space="preserve">SWIM</w:t>
        </w:r>
        <w:r>
          <w:rPr>
            <w:rStyle w:val="Hyperlink"/>
            <w:iCs/>
            <w:i/>
          </w:rPr>
          <w:t xml:space="preserve">)</w:t>
        </w:r>
        <w:r>
          <w:rPr>
            <w:rStyle w:val="Hyperlink"/>
            <w:iCs/>
            <w:i/>
          </w:rPr>
          <w:t xml:space="preserve"> </w:t>
        </w:r>
        <w:r>
          <w:rPr>
            <w:rStyle w:val="Hyperlink"/>
            <w:iCs/>
            <w:i/>
          </w:rPr>
          <w:t xml:space="preserve">P</w:t>
        </w:r>
        <w:r>
          <w:rPr>
            <w:rStyle w:val="Hyperlink"/>
            <w:iCs/>
            <w:i/>
          </w:rPr>
          <w:t xml:space="preserve">lan</w:t>
        </w:r>
      </w:hyperlink>
      <w:r>
        <w:t xml:space="preserve">. Brooksville, Florida: Southwest Florida Water Management District.</w:t>
      </w:r>
    </w:p>
    <w:bookmarkEnd w:id="148"/>
    <w:bookmarkStart w:id="150"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49">
        <w:r>
          <w:rPr>
            <w:rStyle w:val="Hyperlink"/>
          </w:rPr>
          <w:t xml:space="preserve">https://doi.org/10.1016/j.marpolbul.2010.11.017</w:t>
        </w:r>
      </w:hyperlink>
      <w:r>
        <w:t xml:space="preserve">.</w:t>
      </w:r>
    </w:p>
    <w:bookmarkEnd w:id="150"/>
    <w:bookmarkStart w:id="152"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51">
        <w:r>
          <w:rPr>
            <w:rStyle w:val="Hyperlink"/>
          </w:rPr>
          <w:t xml:space="preserve">https://doi.org/10.1007/s00267-005-0079-4</w:t>
        </w:r>
      </w:hyperlink>
      <w:r>
        <w:t xml:space="preserve">.</w:t>
      </w:r>
    </w:p>
    <w:bookmarkEnd w:id="152"/>
    <w:bookmarkStart w:id="154"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53">
        <w:r>
          <w:rPr>
            <w:rStyle w:val="Hyperlink"/>
          </w:rPr>
          <w:t xml:space="preserve">https://doi.org/10.1016/j.ecss.2014.10.003</w:t>
        </w:r>
      </w:hyperlink>
      <w:r>
        <w:t xml:space="preserve">.</w:t>
      </w:r>
    </w:p>
    <w:bookmarkEnd w:id="154"/>
    <w:bookmarkStart w:id="156"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55">
        <w:r>
          <w:rPr>
            <w:rStyle w:val="Hyperlink"/>
          </w:rPr>
          <w:t xml:space="preserve">https://doi.org/10.3389/fmars.2022.767440</w:t>
        </w:r>
      </w:hyperlink>
      <w:r>
        <w:t xml:space="preserve">.</w:t>
      </w:r>
    </w:p>
    <w:bookmarkEnd w:id="156"/>
    <w:bookmarkStart w:id="158"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57">
        <w:r>
          <w:rPr>
            <w:rStyle w:val="Hyperlink"/>
          </w:rPr>
          <w:t xml:space="preserve">https://doi.org/10.2307/1353210</w:t>
        </w:r>
      </w:hyperlink>
      <w:r>
        <w:t xml:space="preserve">.</w:t>
      </w:r>
    </w:p>
    <w:bookmarkEnd w:id="158"/>
    <w:bookmarkStart w:id="160"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59">
        <w:r>
          <w:rPr>
            <w:rStyle w:val="Hyperlink"/>
          </w:rPr>
          <w:t xml:space="preserve">https://doi.org/10.3354/meps11923</w:t>
        </w:r>
      </w:hyperlink>
      <w:r>
        <w:t xml:space="preserve">.</w:t>
      </w:r>
    </w:p>
    <w:bookmarkEnd w:id="160"/>
    <w:bookmarkStart w:id="162" w:name="ref-hammer2018"/>
    <w:p>
      <w:pPr>
        <w:pStyle w:val="Bibliography"/>
      </w:pPr>
      <w:r>
        <w:t xml:space="preserve">Hammer, K., J. Borum, H. Hasler-Sheetal, E. Shields, K. Sand-Jensen, and K. Moore. 2018. High temperatures cause reduced growth, plant death and metabolic changes in eelgrass</w:t>
      </w:r>
      <w:r>
        <w:t xml:space="preserve"> </w:t>
      </w:r>
      <w:r>
        <w:rPr>
          <w:iCs/>
          <w:i/>
        </w:rPr>
        <w:t xml:space="preserve">Z</w:t>
      </w:r>
      <w:r>
        <w:rPr>
          <w:iCs/>
          <w:i/>
        </w:rPr>
        <w:t xml:space="preserve">ostera</w:t>
      </w:r>
      <w:r>
        <w:rPr>
          <w:iCs/>
          <w:i/>
        </w:rPr>
        <w:t xml:space="preserve"> </w:t>
      </w:r>
      <w:r>
        <w:rPr>
          <w:iCs/>
          <w:i/>
        </w:rPr>
        <w:t xml:space="preserve">m</w:t>
      </w:r>
      <w:r>
        <w:rPr>
          <w:iCs/>
          <w:i/>
        </w:rPr>
        <w:t xml:space="preserve">arina</w:t>
      </w:r>
      <w:r>
        <w:t xml:space="preserve">.</w:t>
      </w:r>
      <w:r>
        <w:t xml:space="preserve"> </w:t>
      </w:r>
      <w:r>
        <w:rPr>
          <w:iCs/>
          <w:i/>
        </w:rPr>
        <w:t xml:space="preserve">Marine Ecology Progress Series</w:t>
      </w:r>
      <w:r>
        <w:t xml:space="preserve"> </w:t>
      </w:r>
      <w:r>
        <w:t xml:space="preserve">604: 121–132.</w:t>
      </w:r>
      <w:r>
        <w:t xml:space="preserve"> </w:t>
      </w:r>
      <w:hyperlink r:id="rId161">
        <w:r>
          <w:rPr>
            <w:rStyle w:val="Hyperlink"/>
          </w:rPr>
          <w:t xml:space="preserve">https://doi.org/10.3354/meps12740</w:t>
        </w:r>
      </w:hyperlink>
      <w:r>
        <w:t xml:space="preserve">.</w:t>
      </w:r>
    </w:p>
    <w:bookmarkEnd w:id="162"/>
    <w:bookmarkStart w:id="164"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63">
        <w:r>
          <w:rPr>
            <w:rStyle w:val="Hyperlink"/>
          </w:rPr>
          <w:t xml:space="preserve">https://doi.org/10.1007/s11802-014-2471-2</w:t>
        </w:r>
      </w:hyperlink>
      <w:r>
        <w:t xml:space="preserve">.</w:t>
      </w:r>
    </w:p>
    <w:bookmarkEnd w:id="164"/>
    <w:bookmarkStart w:id="166"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65">
        <w:r>
          <w:rPr>
            <w:rStyle w:val="Hyperlink"/>
          </w:rPr>
          <w:t xml:space="preserve">https://doi.org/10.1073/pnas.2220678120</w:t>
        </w:r>
      </w:hyperlink>
      <w:r>
        <w:t xml:space="preserve">.</w:t>
      </w:r>
    </w:p>
    <w:bookmarkEnd w:id="166"/>
    <w:bookmarkStart w:id="168"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67">
        <w:r>
          <w:rPr>
            <w:rStyle w:val="Hyperlink"/>
          </w:rPr>
          <w:t xml:space="preserve">https://doi.org/10.1029/wr018i001p00107</w:t>
        </w:r>
      </w:hyperlink>
      <w:r>
        <w:t xml:space="preserve">.</w:t>
      </w:r>
    </w:p>
    <w:bookmarkEnd w:id="168"/>
    <w:bookmarkStart w:id="170"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69">
        <w:r>
          <w:rPr>
            <w:rStyle w:val="Hyperlink"/>
          </w:rPr>
          <w:t xml:space="preserve">https://doi.org/10.1101/sqb.1957.022.01.039</w:t>
        </w:r>
      </w:hyperlink>
      <w:r>
        <w:t xml:space="preserve">.</w:t>
      </w:r>
    </w:p>
    <w:bookmarkEnd w:id="170"/>
    <w:bookmarkStart w:id="171" w:name="ref-tbep0696"/>
    <w:p>
      <w:pPr>
        <w:pStyle w:val="Bibliography"/>
      </w:pPr>
      <w:r>
        <w:t xml:space="preserve">Janicki, A. J., and D. L. Wade. 1996.</w:t>
      </w:r>
      <w:r>
        <w:t xml:space="preserve"> </w:t>
      </w:r>
      <w:hyperlink r:id="rId147">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71"/>
    <w:bookmarkStart w:id="173" w:name="ref-tbep0400"/>
    <w:p>
      <w:pPr>
        <w:pStyle w:val="Bibliography"/>
      </w:pPr>
      <w:r>
        <w:t xml:space="preserve">Janicki, A., D. Wade, and J. R. Pribble. 2000.</w:t>
      </w:r>
      <w:r>
        <w:t xml:space="preserve"> </w:t>
      </w:r>
      <w:hyperlink r:id="rId172">
        <w:r>
          <w:rPr>
            <w:rStyle w:val="Hyperlink"/>
            <w:iCs/>
            <w:i/>
          </w:rPr>
          <w:t xml:space="preserve">Developing and establishing a process to track the status of chlorophyll-a concentrations and light attenuation to support seagrass restoration goals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04-00. St. Petersburg, Florida: Tampa Bay Estuary Program.</w:t>
      </w:r>
    </w:p>
    <w:bookmarkEnd w:id="173"/>
    <w:bookmarkStart w:id="175" w:name="ref-jei2022"/>
    <w:p>
      <w:pPr>
        <w:pStyle w:val="Bibliography"/>
      </w:pPr>
      <w:r>
        <w:t xml:space="preserve">Janicki Environmental, Inc. 2022.</w:t>
      </w:r>
      <w:r>
        <w:t xml:space="preserve"> </w:t>
      </w:r>
      <w:hyperlink r:id="rId174">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75"/>
    <w:bookmarkStart w:id="177" w:name="ref-tbep0623"/>
    <w:p>
      <w:pPr>
        <w:pStyle w:val="Bibliography"/>
      </w:pPr>
      <w:r>
        <w:t xml:space="preserve">Janicki Environmental, Inc. 2023.</w:t>
      </w:r>
      <w:r>
        <w:t xml:space="preserve"> </w:t>
      </w:r>
      <w:hyperlink r:id="rId176">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77"/>
    <w:bookmarkStart w:id="179" w:name="ref-tbep0816"/>
    <w:p>
      <w:pPr>
        <w:pStyle w:val="Bibliography"/>
      </w:pPr>
      <w:r>
        <w:t xml:space="preserve">Johansson, J. O. R. 2016.</w:t>
      </w:r>
      <w:r>
        <w:t xml:space="preserve"> </w:t>
      </w:r>
      <w:hyperlink r:id="rId178">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79"/>
    <w:bookmarkStart w:id="181" w:name="ref-johansson15"/>
    <w:p>
      <w:pPr>
        <w:pStyle w:val="Bibliography"/>
      </w:pPr>
      <w:r>
        <w:t xml:space="preserve">Johansson, J. O. R., and Janicki Environmental, Inc. 2015.</w:t>
      </w:r>
      <w:r>
        <w:t xml:space="preserve"> </w:t>
      </w:r>
      <w:hyperlink r:id="rId180">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81"/>
    <w:bookmarkStart w:id="183" w:name="ref-koch2007"/>
    <w:p>
      <w:pPr>
        <w:pStyle w:val="Bibliography"/>
      </w:pPr>
      <w:r>
        <w:t xml:space="preserve">Koch, M. S., S. A. Schopmeyer, O. I. Nielsen, C. Kyhn-Hansen, and C. J. Madden. 2007. Conceptual model of seagrass die-off in</w:t>
      </w:r>
      <w:r>
        <w:t xml:space="preserve"> </w:t>
      </w:r>
      <w:r>
        <w:t xml:space="preserve">F</w:t>
      </w:r>
      <w:r>
        <w:t xml:space="preserve">lorida</w:t>
      </w:r>
      <w:r>
        <w:t xml:space="preserve"> </w:t>
      </w:r>
      <w:r>
        <w:t xml:space="preserve">B</w:t>
      </w:r>
      <w:r>
        <w:t xml:space="preserve">ay: Links to biogeochemical processes.</w:t>
      </w:r>
      <w:r>
        <w:t xml:space="preserve"> </w:t>
      </w:r>
      <w:r>
        <w:rPr>
          <w:iCs/>
          <w:i/>
        </w:rPr>
        <w:t xml:space="preserve">Journal of Experimental Marine Biology and Ecology</w:t>
      </w:r>
      <w:r>
        <w:t xml:space="preserve"> </w:t>
      </w:r>
      <w:r>
        <w:t xml:space="preserve">350: 73–88.</w:t>
      </w:r>
      <w:r>
        <w:t xml:space="preserve"> </w:t>
      </w:r>
      <w:hyperlink r:id="rId182">
        <w:r>
          <w:rPr>
            <w:rStyle w:val="Hyperlink"/>
          </w:rPr>
          <w:t xml:space="preserve">https://doi.org/10.1016/j.jembe.2007.05.031</w:t>
        </w:r>
      </w:hyperlink>
      <w:r>
        <w:t xml:space="preserve">.</w:t>
      </w:r>
    </w:p>
    <w:bookmarkEnd w:id="183"/>
    <w:bookmarkStart w:id="185"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84">
        <w:r>
          <w:rPr>
            <w:rStyle w:val="Hyperlink"/>
          </w:rPr>
          <w:t xml:space="preserve">https://doi.org/10.1073/pnas.1715798115</w:t>
        </w:r>
      </w:hyperlink>
      <w:r>
        <w:t xml:space="preserve">.</w:t>
      </w:r>
    </w:p>
    <w:bookmarkEnd w:id="185"/>
    <w:bookmarkStart w:id="187"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86">
        <w:r>
          <w:rPr>
            <w:rStyle w:val="Hyperlink"/>
          </w:rPr>
          <w:t xml:space="preserve">https://doi.org/10.1111/gcb.13623</w:t>
        </w:r>
      </w:hyperlink>
      <w:r>
        <w:t xml:space="preserve">.</w:t>
      </w:r>
    </w:p>
    <w:bookmarkEnd w:id="187"/>
    <w:bookmarkStart w:id="189" w:name="ref-lewis1985"/>
    <w:p>
      <w:pPr>
        <w:pStyle w:val="Bibliography"/>
      </w:pPr>
      <w:r>
        <w:t xml:space="preserve">Lewis III, R. R., M. Durako, M. Moffler, and R. Phillips. 1985.</w:t>
      </w:r>
      <w:r>
        <w:t xml:space="preserve"> </w:t>
      </w:r>
      <w:hyperlink r:id="rId188">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89"/>
    <w:bookmarkStart w:id="191"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90">
        <w:r>
          <w:rPr>
            <w:rStyle w:val="Hyperlink"/>
          </w:rPr>
          <w:t xml:space="preserve">https://doi.org/10.1007/bf02691700</w:t>
        </w:r>
      </w:hyperlink>
      <w:r>
        <w:t xml:space="preserve">.</w:t>
      </w:r>
    </w:p>
    <w:bookmarkEnd w:id="191"/>
    <w:bookmarkStart w:id="193"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92">
        <w:r>
          <w:rPr>
            <w:rStyle w:val="Hyperlink"/>
          </w:rPr>
          <w:t xml:space="preserve">https://doi.org/10.1016/j.ecss.2022.108134</w:t>
        </w:r>
      </w:hyperlink>
      <w:r>
        <w:t xml:space="preserve">.</w:t>
      </w:r>
    </w:p>
    <w:bookmarkEnd w:id="193"/>
    <w:bookmarkStart w:id="195" w:name="ref-lopez2021"/>
    <w:p>
      <w:pPr>
        <w:pStyle w:val="Bibliography"/>
      </w:pPr>
      <w:r>
        <w:t xml:space="preserve">Lopez, C. B., S. Shankar, S. G. Kaminski, M. Garrett, and K. A. Hubbard. 2021.</w:t>
      </w:r>
      <w:r>
        <w:t xml:space="preserve"> </w:t>
      </w:r>
      <w:hyperlink r:id="rId194">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95"/>
    <w:bookmarkStart w:id="196"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96"/>
    <w:bookmarkStart w:id="198" w:name="ref-luther2022"/>
    <w:p>
      <w:pPr>
        <w:pStyle w:val="Bibliography"/>
      </w:pPr>
      <w:r>
        <w:t xml:space="preserve">Luther, M. E., and S. D. Meyers. 2022.</w:t>
      </w:r>
      <w:r>
        <w:t xml:space="preserve"> </w:t>
      </w:r>
      <w:hyperlink r:id="rId197">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98"/>
    <w:bookmarkStart w:id="200"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99">
        <w:r>
          <w:rPr>
            <w:rStyle w:val="Hyperlink"/>
          </w:rPr>
          <w:t xml:space="preserve">https://doi.org/10.1016/j.seares.2012.03.002</w:t>
        </w:r>
      </w:hyperlink>
      <w:r>
        <w:t xml:space="preserve">.</w:t>
      </w:r>
    </w:p>
    <w:bookmarkEnd w:id="200"/>
    <w:bookmarkStart w:id="202"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201">
        <w:r>
          <w:rPr>
            <w:rStyle w:val="Hyperlink"/>
          </w:rPr>
          <w:t xml:space="preserve">https://doi.org/10.1111/brv.12294</w:t>
        </w:r>
      </w:hyperlink>
      <w:r>
        <w:t xml:space="preserve">.</w:t>
      </w:r>
    </w:p>
    <w:bookmarkEnd w:id="202"/>
    <w:bookmarkStart w:id="204"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203">
        <w:r>
          <w:rPr>
            <w:rStyle w:val="Hyperlink"/>
          </w:rPr>
          <w:t xml:space="preserve">https://doi.org/10.2307/1932688</w:t>
        </w:r>
      </w:hyperlink>
      <w:r>
        <w:t xml:space="preserve">.</w:t>
      </w:r>
    </w:p>
    <w:bookmarkEnd w:id="204"/>
    <w:bookmarkStart w:id="206" w:name="ref-millard13"/>
    <w:p>
      <w:pPr>
        <w:pStyle w:val="Bibliography"/>
      </w:pPr>
      <w:r>
        <w:t xml:space="preserve">Millard, S. P. 2013.</w:t>
      </w:r>
      <w:r>
        <w:t xml:space="preserve"> </w:t>
      </w:r>
      <w:hyperlink r:id="rId205">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206"/>
    <w:bookmarkStart w:id="208"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207">
        <w:r>
          <w:rPr>
            <w:rStyle w:val="Hyperlink"/>
          </w:rPr>
          <w:t xml:space="preserve">https://doi.org/10.1002/lno.10789</w:t>
        </w:r>
      </w:hyperlink>
      <w:r>
        <w:t xml:space="preserve">.</w:t>
      </w:r>
    </w:p>
    <w:bookmarkEnd w:id="208"/>
    <w:bookmarkStart w:id="210"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209">
        <w:r>
          <w:rPr>
            <w:rStyle w:val="Hyperlink"/>
          </w:rPr>
          <w:t xml:space="preserve">https://doi.org/10.1007/bf02798652</w:t>
        </w:r>
      </w:hyperlink>
      <w:r>
        <w:t xml:space="preserve">.</w:t>
      </w:r>
    </w:p>
    <w:bookmarkEnd w:id="210"/>
    <w:bookmarkStart w:id="212"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211">
        <w:r>
          <w:rPr>
            <w:rStyle w:val="Hyperlink"/>
          </w:rPr>
          <w:t xml:space="preserve">https://doi.org/10.1016/j.dsr2.2023.105321</w:t>
        </w:r>
      </w:hyperlink>
      <w:r>
        <w:t xml:space="preserve">.</w:t>
      </w:r>
    </w:p>
    <w:bookmarkEnd w:id="212"/>
    <w:bookmarkStart w:id="214"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213">
        <w:r>
          <w:rPr>
            <w:rStyle w:val="Hyperlink"/>
          </w:rPr>
          <w:t xml:space="preserve">https://doi.org/10.1038/s41467-018-03732-9</w:t>
        </w:r>
      </w:hyperlink>
      <w:r>
        <w:t xml:space="preserve">.</w:t>
      </w:r>
    </w:p>
    <w:bookmarkEnd w:id="214"/>
    <w:bookmarkStart w:id="216"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215">
        <w:r>
          <w:rPr>
            <w:rStyle w:val="Hyperlink"/>
          </w:rPr>
          <w:t xml:space="preserve">https://doi.org/10.1641/0006-3568(2006)56[987:agcfse]2.0.co;2</w:t>
        </w:r>
      </w:hyperlink>
      <w:r>
        <w:t xml:space="preserve">.</w:t>
      </w:r>
    </w:p>
    <w:bookmarkEnd w:id="216"/>
    <w:bookmarkStart w:id="218"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217">
        <w:r>
          <w:rPr>
            <w:rStyle w:val="Hyperlink"/>
          </w:rPr>
          <w:t xml:space="preserve">https://doi.org/10.1093/biosci/bix058</w:t>
        </w:r>
      </w:hyperlink>
      <w:r>
        <w:t xml:space="preserve">.</w:t>
      </w:r>
    </w:p>
    <w:bookmarkEnd w:id="218"/>
    <w:bookmarkStart w:id="220"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219">
        <w:r>
          <w:rPr>
            <w:rStyle w:val="Hyperlink"/>
          </w:rPr>
          <w:t xml:space="preserve">https://doi.org/10.1007/s12237-023-01252-4</w:t>
        </w:r>
      </w:hyperlink>
      <w:r>
        <w:t xml:space="preserve">.</w:t>
      </w:r>
    </w:p>
    <w:bookmarkEnd w:id="220"/>
    <w:bookmarkStart w:id="222"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221">
        <w:r>
          <w:rPr>
            <w:rStyle w:val="Hyperlink"/>
          </w:rPr>
          <w:t xml:space="preserve">https://doi.org/10.1126/sciadv.abc6434</w:t>
        </w:r>
      </w:hyperlink>
      <w:r>
        <w:t xml:space="preserve">.</w:t>
      </w:r>
    </w:p>
    <w:bookmarkEnd w:id="222"/>
    <w:bookmarkStart w:id="224"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223">
        <w:r>
          <w:rPr>
            <w:rStyle w:val="Hyperlink"/>
          </w:rPr>
          <w:t xml:space="preserve">https://doi.org/10.1111/gcb.13084</w:t>
        </w:r>
      </w:hyperlink>
      <w:r>
        <w:t xml:space="preserve">.</w:t>
      </w:r>
    </w:p>
    <w:bookmarkEnd w:id="224"/>
    <w:bookmarkStart w:id="225"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225"/>
    <w:bookmarkStart w:id="226" w:name="ref-phillips88"/>
    <w:p>
      <w:pPr>
        <w:pStyle w:val="Bibliography"/>
      </w:pPr>
      <w:r>
        <w:t xml:space="preserve">Phillips, R., and E. Meñez. 1988.</w:t>
      </w:r>
      <w:r>
        <w:t xml:space="preserve"> </w:t>
      </w:r>
      <w:r>
        <w:rPr>
          <w:iCs/>
          <w:i/>
        </w:rPr>
        <w:t xml:space="preserve">Seagrasses</w:t>
      </w:r>
      <w:r>
        <w:t xml:space="preserve">. Washington, D.C.: Smithsonian Institution Press.</w:t>
      </w:r>
    </w:p>
    <w:bookmarkEnd w:id="226"/>
    <w:bookmarkStart w:id="228"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227">
        <w:r>
          <w:rPr>
            <w:rStyle w:val="Hyperlink"/>
          </w:rPr>
          <w:t xml:space="preserve">https://doi.org/10.3354/meps322099</w:t>
        </w:r>
      </w:hyperlink>
      <w:r>
        <w:t xml:space="preserve">.</w:t>
      </w:r>
    </w:p>
    <w:bookmarkEnd w:id="228"/>
    <w:bookmarkStart w:id="230"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29">
        <w:r>
          <w:rPr>
            <w:rStyle w:val="Hyperlink"/>
          </w:rPr>
          <w:t xml:space="preserve">https://doi.org/10.3354/meps08925</w:t>
        </w:r>
      </w:hyperlink>
      <w:r>
        <w:t xml:space="preserve">.</w:t>
      </w:r>
    </w:p>
    <w:bookmarkEnd w:id="230"/>
    <w:bookmarkStart w:id="231"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31"/>
    <w:bookmarkStart w:id="233"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32">
        <w:r>
          <w:rPr>
            <w:rStyle w:val="Hyperlink"/>
          </w:rPr>
          <w:t xml:space="preserve">https://doi.org/10.1016/j.ecolind.2015.12.007</w:t>
        </w:r>
      </w:hyperlink>
      <w:r>
        <w:t xml:space="preserve">.</w:t>
      </w:r>
    </w:p>
    <w:bookmarkEnd w:id="233"/>
    <w:bookmarkStart w:id="235"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34">
        <w:r>
          <w:rPr>
            <w:rStyle w:val="Hyperlink"/>
          </w:rPr>
          <w:t xml:space="preserve">https://doi.org/10.1007/bf02691345</w:t>
        </w:r>
      </w:hyperlink>
      <w:r>
        <w:t xml:space="preserve">.</w:t>
      </w:r>
    </w:p>
    <w:bookmarkEnd w:id="235"/>
    <w:bookmarkStart w:id="237"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36">
        <w:r>
          <w:rPr>
            <w:rStyle w:val="Hyperlink"/>
          </w:rPr>
          <w:t xml:space="preserve">https://doi.org/10.1016/j.ecolind.2020.107310</w:t>
        </w:r>
      </w:hyperlink>
      <w:r>
        <w:t xml:space="preserve">.</w:t>
      </w:r>
    </w:p>
    <w:bookmarkEnd w:id="237"/>
    <w:bookmarkStart w:id="238"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38"/>
    <w:bookmarkStart w:id="240"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39">
        <w:r>
          <w:rPr>
            <w:rStyle w:val="Hyperlink"/>
          </w:rPr>
          <w:t xml:space="preserve">https://doi.org/10.1007/s00267-013-0179-5</w:t>
        </w:r>
      </w:hyperlink>
      <w:r>
        <w:t xml:space="preserve">.</w:t>
      </w:r>
    </w:p>
    <w:bookmarkEnd w:id="240"/>
    <w:bookmarkStart w:id="242" w:name="ref-sherwood2015"/>
    <w:p>
      <w:pPr>
        <w:pStyle w:val="Bibliography"/>
      </w:pPr>
      <w:r>
        <w:t xml:space="preserve">Sherwood, E. T., H. S. Greening, L. Garcia, K. Kaufman, T. Janicki, R. Pribble, B. Cunningham, et al. 2015.</w:t>
      </w:r>
      <w:r>
        <w:t xml:space="preserve"> </w:t>
      </w:r>
      <w:hyperlink r:id="rId241">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42"/>
    <w:bookmarkStart w:id="244"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43">
        <w:r>
          <w:rPr>
            <w:rStyle w:val="Hyperlink"/>
          </w:rPr>
          <w:t xml:space="preserve">https://doi.org/10.1016/j.rsma.2015.05.005</w:t>
        </w:r>
      </w:hyperlink>
      <w:r>
        <w:t xml:space="preserve">.</w:t>
      </w:r>
    </w:p>
    <w:bookmarkEnd w:id="244"/>
    <w:bookmarkStart w:id="246"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45">
        <w:r>
          <w:rPr>
            <w:rStyle w:val="Hyperlink"/>
          </w:rPr>
          <w:t xml:space="preserve">https://doi.org/10.1353/sgo.2017.0026</w:t>
        </w:r>
      </w:hyperlink>
      <w:r>
        <w:t xml:space="preserve">.</w:t>
      </w:r>
    </w:p>
    <w:bookmarkEnd w:id="246"/>
    <w:bookmarkStart w:id="248"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47">
        <w:r>
          <w:rPr>
            <w:rStyle w:val="Hyperlink"/>
          </w:rPr>
          <w:t xml:space="preserve">https://doi.org/10.21203/rs.3.rs-3528678/v1</w:t>
        </w:r>
      </w:hyperlink>
      <w:r>
        <w:t xml:space="preserve">.</w:t>
      </w:r>
    </w:p>
    <w:bookmarkEnd w:id="248"/>
    <w:bookmarkStart w:id="250"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49">
        <w:r>
          <w:rPr>
            <w:rStyle w:val="Hyperlink"/>
          </w:rPr>
          <w:t xml:space="preserve">https://doi.org/10.1016/j.scitotenv.2011.09.088</w:t>
        </w:r>
      </w:hyperlink>
      <w:r>
        <w:t xml:space="preserve">.</w:t>
      </w:r>
    </w:p>
    <w:bookmarkEnd w:id="250"/>
    <w:bookmarkStart w:id="252"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51">
        <w:r>
          <w:rPr>
            <w:rStyle w:val="Hyperlink"/>
          </w:rPr>
          <w:t xml:space="preserve">https://doi.org/10.3389/fevo.2023.1134069</w:t>
        </w:r>
      </w:hyperlink>
      <w:r>
        <w:t xml:space="preserve">.</w:t>
      </w:r>
    </w:p>
    <w:bookmarkEnd w:id="252"/>
    <w:bookmarkStart w:id="254"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53">
        <w:r>
          <w:rPr>
            <w:rStyle w:val="Hyperlink"/>
          </w:rPr>
          <w:t xml:space="preserve">https://doi.org/10.1016/j.rsma.2015.11.010</w:t>
        </w:r>
      </w:hyperlink>
      <w:r>
        <w:t xml:space="preserve">.</w:t>
      </w:r>
    </w:p>
    <w:bookmarkEnd w:id="254"/>
    <w:bookmarkStart w:id="256" w:name="ref-taplin2005"/>
    <w:p>
      <w:pPr>
        <w:pStyle w:val="Bibliography"/>
      </w:pPr>
      <w:r>
        <w:t xml:space="preserve">Taplin, K. A., E. A. Irlandi, and R. Raves. 2005. Interference between the macroalga</w:t>
      </w:r>
      <w:r>
        <w:t xml:space="preserve"> </w:t>
      </w:r>
      <w:r>
        <w:rPr>
          <w:iCs/>
          <w:i/>
        </w:rPr>
        <w:t xml:space="preserve">C</w:t>
      </w:r>
      <w:r>
        <w:rPr>
          <w:iCs/>
          <w:i/>
        </w:rPr>
        <w:t xml:space="preserve">aulerpa</w:t>
      </w:r>
      <w:r>
        <w:rPr>
          <w:iCs/>
          <w:i/>
        </w:rPr>
        <w:t xml:space="preserve"> </w:t>
      </w:r>
      <w:r>
        <w:rPr>
          <w:iCs/>
          <w:i/>
        </w:rPr>
        <w:t xml:space="preserve">p</w:t>
      </w:r>
      <w:r>
        <w:rPr>
          <w:iCs/>
          <w:i/>
        </w:rPr>
        <w:t xml:space="preserve">rolifera</w:t>
      </w:r>
      <w:r>
        <w:t xml:space="preserve"> </w:t>
      </w:r>
      <w:r>
        <w:t xml:space="preserve">and the seagrass</w:t>
      </w:r>
      <w:r>
        <w:t xml:space="preserve"> </w:t>
      </w:r>
      <w:r>
        <w:rPr>
          <w:iCs/>
          <w:i/>
        </w:rPr>
        <w:t xml:space="preserve">H</w:t>
      </w:r>
      <w:r>
        <w:rPr>
          <w:iCs/>
          <w:i/>
        </w:rPr>
        <w:t xml:space="preserve">alodule</w:t>
      </w:r>
      <w:r>
        <w:rPr>
          <w:iCs/>
          <w:i/>
        </w:rPr>
        <w:t xml:space="preserve"> </w:t>
      </w:r>
      <w:r>
        <w:rPr>
          <w:iCs/>
          <w:i/>
        </w:rPr>
        <w:t xml:space="preserve">w</w:t>
      </w:r>
      <w:r>
        <w:rPr>
          <w:iCs/>
          <w:i/>
        </w:rPr>
        <w:t xml:space="preserve">rightii</w:t>
      </w:r>
      <w:r>
        <w:t xml:space="preserve">.</w:t>
      </w:r>
      <w:r>
        <w:t xml:space="preserve"> </w:t>
      </w:r>
      <w:r>
        <w:rPr>
          <w:iCs/>
          <w:i/>
        </w:rPr>
        <w:t xml:space="preserve">Aquatic Botany</w:t>
      </w:r>
      <w:r>
        <w:t xml:space="preserve"> </w:t>
      </w:r>
      <w:r>
        <w:t xml:space="preserve">83: 175–186.</w:t>
      </w:r>
      <w:r>
        <w:t xml:space="preserve"> </w:t>
      </w:r>
      <w:hyperlink r:id="rId255">
        <w:r>
          <w:rPr>
            <w:rStyle w:val="Hyperlink"/>
          </w:rPr>
          <w:t xml:space="preserve">https://doi.org/10.1016/j.aquabot.2005.06.003</w:t>
        </w:r>
      </w:hyperlink>
      <w:r>
        <w:t xml:space="preserve">.</w:t>
      </w:r>
    </w:p>
    <w:bookmarkEnd w:id="256"/>
    <w:bookmarkStart w:id="258" w:name="ref-tbep0923"/>
    <w:p>
      <w:pPr>
        <w:pStyle w:val="Bibliography"/>
      </w:pPr>
      <w:r>
        <w:t xml:space="preserve">Todd, A., H. Walsh, and J. Neville. 2023.</w:t>
      </w:r>
      <w:r>
        <w:t xml:space="preserve"> </w:t>
      </w:r>
      <w:hyperlink r:id="rId257">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58"/>
    <w:bookmarkStart w:id="259"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59"/>
    <w:bookmarkStart w:id="261" w:name="ref-tomasko2020"/>
    <w:p>
      <w:pPr>
        <w:pStyle w:val="Bibliography"/>
      </w:pPr>
      <w:r>
        <w:t xml:space="preserve">Tomasko, D. A., M. Alderson, R. Burnes, J. Hecker, N. Iadevaia, J. Leverone, G. Raulerson, and E. Sherwood. 2020. The effects of Hurricane</w:t>
      </w:r>
      <w:r>
        <w:t xml:space="preserve"> </w:t>
      </w:r>
      <w:r>
        <w:t xml:space="preserve">I</w:t>
      </w:r>
      <w:r>
        <w:t xml:space="preserve">rma on seagrass meadows in previously eutrophic estuaries in Southwest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w:t>
      </w:r>
      <w:r>
        <w:t xml:space="preserve"> </w:t>
      </w:r>
      <w:hyperlink r:id="rId260">
        <w:r>
          <w:rPr>
            <w:rStyle w:val="Hyperlink"/>
          </w:rPr>
          <w:t xml:space="preserve">https://doi.org/10.1016/j.marpolbul.2020.111247</w:t>
        </w:r>
      </w:hyperlink>
      <w:r>
        <w:t xml:space="preserve">.</w:t>
      </w:r>
    </w:p>
    <w:bookmarkEnd w:id="261"/>
    <w:bookmarkStart w:id="263" w:name="ref-tomasko2005"/>
    <w:p>
      <w:pPr>
        <w:pStyle w:val="Bibliography"/>
      </w:pPr>
      <w:r>
        <w:t xml:space="preserve">Tomasko, D. A., C. A. Corbett, H. S. Greening, and G. E. Raulerson. 2005. Spatial and temporal variation in seagrass coverage in Southwest</w:t>
      </w:r>
      <w:r>
        <w:t xml:space="preserve"> </w:t>
      </w:r>
      <w:r>
        <w:t xml:space="preserve">F</w:t>
      </w:r>
      <w:r>
        <w:t xml:space="preserve">lorida: assessing the relative effects of anthropogenic nutrient load reductions and rainfall in four contiguous estuaries.</w:t>
      </w:r>
      <w:r>
        <w:t xml:space="preserve"> </w:t>
      </w:r>
      <w:r>
        <w:rPr>
          <w:iCs/>
          <w:i/>
        </w:rPr>
        <w:t xml:space="preserve">Marine Pollution Bulletin</w:t>
      </w:r>
      <w:r>
        <w:t xml:space="preserve"> </w:t>
      </w:r>
      <w:r>
        <w:t xml:space="preserve">50: 797–805.</w:t>
      </w:r>
      <w:r>
        <w:t xml:space="preserve"> </w:t>
      </w:r>
      <w:hyperlink r:id="rId262">
        <w:r>
          <w:rPr>
            <w:rStyle w:val="Hyperlink"/>
          </w:rPr>
          <w:t xml:space="preserve">https://doi.org/10.1016/j.marpolbul.2005.02.010</w:t>
        </w:r>
      </w:hyperlink>
      <w:r>
        <w:t xml:space="preserve">.</w:t>
      </w:r>
    </w:p>
    <w:bookmarkEnd w:id="263"/>
    <w:bookmarkStart w:id="265"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64">
        <w:r>
          <w:rPr>
            <w:rStyle w:val="Hyperlink"/>
          </w:rPr>
          <w:t xml:space="preserve">https://doi.org/10.1002/nt.2620020503</w:t>
        </w:r>
      </w:hyperlink>
      <w:r>
        <w:t xml:space="preserve">.</w:t>
      </w:r>
    </w:p>
    <w:bookmarkEnd w:id="265"/>
    <w:bookmarkStart w:id="267"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66">
        <w:r>
          <w:rPr>
            <w:rStyle w:val="Hyperlink"/>
          </w:rPr>
          <w:t xml:space="preserve">https://doi.org/10.1002/lol2.10098</w:t>
        </w:r>
      </w:hyperlink>
      <w:r>
        <w:t xml:space="preserve">.</w:t>
      </w:r>
    </w:p>
    <w:bookmarkEnd w:id="267"/>
    <w:bookmarkStart w:id="269"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68">
        <w:r>
          <w:rPr>
            <w:rStyle w:val="Hyperlink"/>
          </w:rPr>
          <w:t xml:space="preserve">https://doi.org/10.1146/annurev.es.03.110172.000543</w:t>
        </w:r>
      </w:hyperlink>
      <w:r>
        <w:t xml:space="preserve">.</w:t>
      </w:r>
    </w:p>
    <w:bookmarkEnd w:id="269"/>
    <w:bookmarkStart w:id="271"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70">
        <w:r>
          <w:rPr>
            <w:rStyle w:val="Hyperlink"/>
          </w:rPr>
          <w:t xml:space="preserve">https://doi.org/10.1073/pnas.0905620106</w:t>
        </w:r>
      </w:hyperlink>
      <w:r>
        <w:t xml:space="preserve">.</w:t>
      </w:r>
    </w:p>
    <w:bookmarkEnd w:id="271"/>
    <w:bookmarkStart w:id="273"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72">
        <w:r>
          <w:rPr>
            <w:rStyle w:val="Hyperlink"/>
          </w:rPr>
          <w:t xml:space="preserve">https://doi.org/10.1111/1365-2745.13648</w:t>
        </w:r>
      </w:hyperlink>
      <w:r>
        <w:t xml:space="preserve">.</w:t>
      </w:r>
    </w:p>
    <w:bookmarkEnd w:id="273"/>
    <w:bookmarkStart w:id="275"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74">
        <w:r>
          <w:rPr>
            <w:rStyle w:val="Hyperlink"/>
          </w:rPr>
          <w:t xml:space="preserve">https://doi.org/10.1029/2005jc003067</w:t>
        </w:r>
      </w:hyperlink>
      <w:r>
        <w:t xml:space="preserve">.</w:t>
      </w:r>
    </w:p>
    <w:bookmarkEnd w:id="275"/>
    <w:bookmarkStart w:id="277"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76">
        <w:r>
          <w:rPr>
            <w:rStyle w:val="Hyperlink"/>
          </w:rPr>
          <w:t xml:space="preserve">https://doi.org/10.1002/ehs2.1258</w:t>
        </w:r>
      </w:hyperlink>
      <w:r>
        <w:t xml:space="preserve">.</w:t>
      </w:r>
    </w:p>
    <w:bookmarkEnd w:id="277"/>
    <w:bookmarkStart w:id="279" w:name="ref-wood11"/>
    <w:p>
      <w:pPr>
        <w:pStyle w:val="Bibliography"/>
      </w:pPr>
      <w:r>
        <w:t xml:space="preserve">Wood, S. N. 2011. Fast stable restricted maximum likelihood and marginal likelihood estimation of semiparametric generalized linear models.</w:t>
      </w:r>
      <w:r>
        <w:t xml:space="preserve"> </w:t>
      </w:r>
      <w:r>
        <w:rPr>
          <w:iCs/>
          <w:i/>
        </w:rPr>
        <w:t xml:space="preserve">Journal of the Royal Statistical Society (B)</w:t>
      </w:r>
      <w:r>
        <w:t xml:space="preserve"> </w:t>
      </w:r>
      <w:r>
        <w:t xml:space="preserve">73: 3–36.</w:t>
      </w:r>
      <w:r>
        <w:t xml:space="preserve"> </w:t>
      </w:r>
      <w:hyperlink r:id="rId278">
        <w:r>
          <w:rPr>
            <w:rStyle w:val="Hyperlink"/>
          </w:rPr>
          <w:t xml:space="preserve">https://doi.org/10.1111/j.1467-9868.2010.00749.x</w:t>
        </w:r>
      </w:hyperlink>
      <w:r>
        <w:t xml:space="preserve">.</w:t>
      </w:r>
    </w:p>
    <w:bookmarkEnd w:id="279"/>
    <w:bookmarkStart w:id="280"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80"/>
    <w:bookmarkStart w:id="282"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81">
        <w:r>
          <w:rPr>
            <w:rStyle w:val="Hyperlink"/>
          </w:rPr>
          <w:t xml:space="preserve">https://doi.org/10.1016/j.marpolbul.2023.115043</w:t>
        </w:r>
      </w:hyperlink>
      <w:r>
        <w:t xml:space="preserve">.</w:t>
      </w:r>
    </w:p>
    <w:bookmarkEnd w:id="282"/>
    <w:bookmarkStart w:id="284"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83">
        <w:r>
          <w:rPr>
            <w:rStyle w:val="Hyperlink"/>
          </w:rPr>
          <w:t xml:space="preserve">https://doi.org/10.1016/0304-3770(75)90016-9</w:t>
        </w:r>
      </w:hyperlink>
      <w:r>
        <w:t xml:space="preserve">.</w:t>
      </w:r>
    </w:p>
    <w:bookmarkEnd w:id="284"/>
    <w:bookmarkStart w:id="286"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85">
        <w:r>
          <w:rPr>
            <w:rStyle w:val="Hyperlink"/>
          </w:rPr>
          <w:t xml:space="preserve">https://doi.org/10.1007/978-0-387-87458-6</w:t>
        </w:r>
      </w:hyperlink>
      <w:r>
        <w:t xml:space="preserve">.</w:t>
      </w:r>
    </w:p>
    <w:bookmarkEnd w:id="286"/>
    <w:bookmarkEnd w:id="287"/>
    <w:bookmarkEnd w:id="288"/>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hyperlink" Id="rId109" Target="https://CRAN.R-project.org/package=SPEI" TargetMode="External" /><Relationship Type="http://schemas.openxmlformats.org/officeDocument/2006/relationships/hyperlink" Id="rId129"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6" Target="https://doi.org/10.1002/ehs2.1258" TargetMode="External" /><Relationship Type="http://schemas.openxmlformats.org/officeDocument/2006/relationships/hyperlink" Id="rId111" Target="https://doi.org/10.1002/joc.3887" TargetMode="External" /><Relationship Type="http://schemas.openxmlformats.org/officeDocument/2006/relationships/hyperlink" Id="rId207" Target="https://doi.org/10.1002/lno.10789" TargetMode="External" /><Relationship Type="http://schemas.openxmlformats.org/officeDocument/2006/relationships/hyperlink" Id="rId266" Target="https://doi.org/10.1002/lol2.10098" TargetMode="External" /><Relationship Type="http://schemas.openxmlformats.org/officeDocument/2006/relationships/hyperlink" Id="rId264" Target="https://doi.org/10.1002/nt.2620020503" TargetMode="External" /><Relationship Type="http://schemas.openxmlformats.org/officeDocument/2006/relationships/hyperlink" Id="rId285" Target="https://doi.org/10.1007/978-0-387-87458-6" TargetMode="External" /><Relationship Type="http://schemas.openxmlformats.org/officeDocument/2006/relationships/hyperlink" Id="rId234" Target="https://doi.org/10.1007/bf02691345" TargetMode="External" /><Relationship Type="http://schemas.openxmlformats.org/officeDocument/2006/relationships/hyperlink" Id="rId190" Target="https://doi.org/10.1007/bf02691700" TargetMode="External" /><Relationship Type="http://schemas.openxmlformats.org/officeDocument/2006/relationships/hyperlink" Id="rId209" Target="https://doi.org/10.1007/bf02798652" TargetMode="External" /><Relationship Type="http://schemas.openxmlformats.org/officeDocument/2006/relationships/hyperlink" Id="rId151" Target="https://doi.org/10.1007/s00267-005-0079-4" TargetMode="External" /><Relationship Type="http://schemas.openxmlformats.org/officeDocument/2006/relationships/hyperlink" Id="rId239" Target="https://doi.org/10.1007/s00267-013-0179-5" TargetMode="External" /><Relationship Type="http://schemas.openxmlformats.org/officeDocument/2006/relationships/hyperlink" Id="rId163" Target="https://doi.org/10.1007/s11802-014-2471-2" TargetMode="External" /><Relationship Type="http://schemas.openxmlformats.org/officeDocument/2006/relationships/hyperlink" Id="rId137" Target="https://doi.org/10.1007/s12237-008-9038-7" TargetMode="External" /><Relationship Type="http://schemas.openxmlformats.org/officeDocument/2006/relationships/hyperlink" Id="rId107" Target="https://doi.org/10.1007/s12237-019-00619-w" TargetMode="External" /><Relationship Type="http://schemas.openxmlformats.org/officeDocument/2006/relationships/hyperlink" Id="rId219" Target="https://doi.org/10.1007/s12237-023-01252-4" TargetMode="External" /><Relationship Type="http://schemas.openxmlformats.org/officeDocument/2006/relationships/hyperlink" Id="rId283" Target="https://doi.org/10.1016/0304-3770(75)90016-9" TargetMode="External" /><Relationship Type="http://schemas.openxmlformats.org/officeDocument/2006/relationships/hyperlink" Id="rId255" Target="https://doi.org/10.1016/j.aquabot.2005.06.003" TargetMode="External" /><Relationship Type="http://schemas.openxmlformats.org/officeDocument/2006/relationships/hyperlink" Id="rId211" Target="https://doi.org/10.1016/j.dsr2.2023.105321" TargetMode="External" /><Relationship Type="http://schemas.openxmlformats.org/officeDocument/2006/relationships/hyperlink" Id="rId232" Target="https://doi.org/10.1016/j.ecolind.2015.12.007" TargetMode="External" /><Relationship Type="http://schemas.openxmlformats.org/officeDocument/2006/relationships/hyperlink" Id="rId236" Target="https://doi.org/10.1016/j.ecolind.2020.107310" TargetMode="External" /><Relationship Type="http://schemas.openxmlformats.org/officeDocument/2006/relationships/hyperlink" Id="rId121" Target="https://doi.org/10.1016/j.ecolind.2023.111035" TargetMode="External" /><Relationship Type="http://schemas.openxmlformats.org/officeDocument/2006/relationships/hyperlink" Id="rId153" Target="https://doi.org/10.1016/j.ecss.2014.10.003" TargetMode="External" /><Relationship Type="http://schemas.openxmlformats.org/officeDocument/2006/relationships/hyperlink" Id="rId192" Target="https://doi.org/10.1016/j.ecss.2022.108134" TargetMode="External" /><Relationship Type="http://schemas.openxmlformats.org/officeDocument/2006/relationships/hyperlink" Id="rId182" Target="https://doi.org/10.1016/j.jembe.2007.05.031" TargetMode="External" /><Relationship Type="http://schemas.openxmlformats.org/officeDocument/2006/relationships/hyperlink" Id="rId125" Target="https://doi.org/10.1016/j.jembe.2007.06.024" TargetMode="External" /><Relationship Type="http://schemas.openxmlformats.org/officeDocument/2006/relationships/hyperlink" Id="rId133" Target="https://doi.org/10.1016/j.jenvman.2018.01.025" TargetMode="External" /><Relationship Type="http://schemas.openxmlformats.org/officeDocument/2006/relationships/hyperlink" Id="rId262" Target="https://doi.org/10.1016/j.marpolbul.2005.02.010" TargetMode="External" /><Relationship Type="http://schemas.openxmlformats.org/officeDocument/2006/relationships/hyperlink" Id="rId149" Target="https://doi.org/10.1016/j.marpolbul.2010.11.017" TargetMode="External" /><Relationship Type="http://schemas.openxmlformats.org/officeDocument/2006/relationships/hyperlink" Id="rId260" Target="https://doi.org/10.1016/j.marpolbul.2020.111247" TargetMode="External" /><Relationship Type="http://schemas.openxmlformats.org/officeDocument/2006/relationships/hyperlink" Id="rId101" Target="https://doi.org/10.1016/j.marpolbul.2022.113598" TargetMode="External" /><Relationship Type="http://schemas.openxmlformats.org/officeDocument/2006/relationships/hyperlink" Id="rId281" Target="https://doi.org/10.1016/j.marpolbul.2023.115043" TargetMode="External" /><Relationship Type="http://schemas.openxmlformats.org/officeDocument/2006/relationships/hyperlink" Id="rId131" Target="https://doi.org/10.1016/j.ocecoaman.2023.106490" TargetMode="External" /><Relationship Type="http://schemas.openxmlformats.org/officeDocument/2006/relationships/hyperlink" Id="rId91" Target="https://doi.org/10.1016/j.ocecoaman.2023.106929" TargetMode="External" /><Relationship Type="http://schemas.openxmlformats.org/officeDocument/2006/relationships/hyperlink" Id="rId127" Target="https://doi.org/10.1016/j.rse.2018.02.014" TargetMode="External" /><Relationship Type="http://schemas.openxmlformats.org/officeDocument/2006/relationships/hyperlink" Id="rId243" Target="https://doi.org/10.1016/j.rsma.2015.05.005" TargetMode="External" /><Relationship Type="http://schemas.openxmlformats.org/officeDocument/2006/relationships/hyperlink" Id="rId253" Target="https://doi.org/10.1016/j.rsma.2015.11.010" TargetMode="External" /><Relationship Type="http://schemas.openxmlformats.org/officeDocument/2006/relationships/hyperlink" Id="rId249" Target="https://doi.org/10.1016/j.scitotenv.2011.09.088" TargetMode="External" /><Relationship Type="http://schemas.openxmlformats.org/officeDocument/2006/relationships/hyperlink" Id="rId199" Target="https://doi.org/10.1016/j.seares.2012.03.002" TargetMode="External" /><Relationship Type="http://schemas.openxmlformats.org/officeDocument/2006/relationships/hyperlink" Id="rId274" Target="https://doi.org/10.1029/2005jc003067" TargetMode="External" /><Relationship Type="http://schemas.openxmlformats.org/officeDocument/2006/relationships/hyperlink" Id="rId167" Target="https://doi.org/10.1029/wr018i001p00107" TargetMode="External" /><Relationship Type="http://schemas.openxmlformats.org/officeDocument/2006/relationships/hyperlink" Id="rId145" Target="https://doi.org/10.1038/ngeo1477" TargetMode="External" /><Relationship Type="http://schemas.openxmlformats.org/officeDocument/2006/relationships/hyperlink" Id="rId213" Target="https://doi.org/10.1038/s41467-018-03732-9" TargetMode="External" /><Relationship Type="http://schemas.openxmlformats.org/officeDocument/2006/relationships/hyperlink" Id="rId270" Target="https://doi.org/10.1073/pnas.0905620106" TargetMode="External" /><Relationship Type="http://schemas.openxmlformats.org/officeDocument/2006/relationships/hyperlink" Id="rId184" Target="https://doi.org/10.1073/pnas.1715798115" TargetMode="External" /><Relationship Type="http://schemas.openxmlformats.org/officeDocument/2006/relationships/hyperlink" Id="rId165" Target="https://doi.org/10.1073/pnas.2220678120" TargetMode="External" /><Relationship Type="http://schemas.openxmlformats.org/officeDocument/2006/relationships/hyperlink" Id="rId135" Target="https://doi.org/10.1080/00785236.1995.10422039" TargetMode="External" /><Relationship Type="http://schemas.openxmlformats.org/officeDocument/2006/relationships/hyperlink" Id="rId217" Target="https://doi.org/10.1093/biosci/bix058" TargetMode="External" /><Relationship Type="http://schemas.openxmlformats.org/officeDocument/2006/relationships/hyperlink" Id="rId169" Target="https://doi.org/10.1101/sqb.1957.022.01.039" TargetMode="External" /><Relationship Type="http://schemas.openxmlformats.org/officeDocument/2006/relationships/hyperlink" Id="rId119" Target="https://doi.org/10.1111/1365-2664.13169" TargetMode="External" /><Relationship Type="http://schemas.openxmlformats.org/officeDocument/2006/relationships/hyperlink" Id="rId272" Target="https://doi.org/10.1111/1365-2745.13648" TargetMode="External" /><Relationship Type="http://schemas.openxmlformats.org/officeDocument/2006/relationships/hyperlink" Id="rId201" Target="https://doi.org/10.1111/brv.12294" TargetMode="External" /><Relationship Type="http://schemas.openxmlformats.org/officeDocument/2006/relationships/hyperlink" Id="rId143" Target="https://doi.org/10.1111/conl.12938" TargetMode="External" /><Relationship Type="http://schemas.openxmlformats.org/officeDocument/2006/relationships/hyperlink" Id="rId223" Target="https://doi.org/10.1111/gcb.13084" TargetMode="External" /><Relationship Type="http://schemas.openxmlformats.org/officeDocument/2006/relationships/hyperlink" Id="rId186" Target="https://doi.org/10.1111/gcb.13623" TargetMode="External" /><Relationship Type="http://schemas.openxmlformats.org/officeDocument/2006/relationships/hyperlink" Id="rId141" Target="https://doi.org/10.1111/gcb.15684" TargetMode="External" /><Relationship Type="http://schemas.openxmlformats.org/officeDocument/2006/relationships/hyperlink" Id="rId93" Target="https://doi.org/10.1111/j.1365-2699.2006.01584.x" TargetMode="External" /><Relationship Type="http://schemas.openxmlformats.org/officeDocument/2006/relationships/hyperlink" Id="rId278" Target="https://doi.org/10.1111/j.1467-9868.2010.00749.x" TargetMode="External" /><Relationship Type="http://schemas.openxmlformats.org/officeDocument/2006/relationships/hyperlink" Id="rId221" Target="https://doi.org/10.1126/sciadv.abc6434" TargetMode="External" /><Relationship Type="http://schemas.openxmlformats.org/officeDocument/2006/relationships/hyperlink" Id="rId268" Target="https://doi.org/10.1146/annurev.es.03.110172.000543" TargetMode="External" /><Relationship Type="http://schemas.openxmlformats.org/officeDocument/2006/relationships/hyperlink" Id="rId245" Target="https://doi.org/10.1353/sgo.2017.0026" TargetMode="External" /><Relationship Type="http://schemas.openxmlformats.org/officeDocument/2006/relationships/hyperlink" Id="rId215" Target="https://doi.org/10.1641/0006-3568(2006)56[987:agcfse]2.0.co;2" TargetMode="External" /><Relationship Type="http://schemas.openxmlformats.org/officeDocument/2006/relationships/hyperlink" Id="rId95" Target="https://doi.org/10.18637/jss.v067.i01" TargetMode="External" /><Relationship Type="http://schemas.openxmlformats.org/officeDocument/2006/relationships/hyperlink" Id="rId105" Target="https://doi.org/10.21105/joss.03485" TargetMode="External" /><Relationship Type="http://schemas.openxmlformats.org/officeDocument/2006/relationships/hyperlink" Id="rId247" Target="https://doi.org/10.21203/rs.3.rs-3528678/v1" TargetMode="External" /><Relationship Type="http://schemas.openxmlformats.org/officeDocument/2006/relationships/hyperlink" Id="rId84" Target="https://doi.org/10.21203/rs.3.rs-3946855/v1" TargetMode="External" /><Relationship Type="http://schemas.openxmlformats.org/officeDocument/2006/relationships/hyperlink" Id="rId117" Target="https://doi.org/10.2134/jeq2001.302303x" TargetMode="External" /><Relationship Type="http://schemas.openxmlformats.org/officeDocument/2006/relationships/hyperlink" Id="rId123" Target="https://doi.org/10.2307/1352383" TargetMode="External" /><Relationship Type="http://schemas.openxmlformats.org/officeDocument/2006/relationships/hyperlink" Id="rId157" Target="https://doi.org/10.2307/1353210" TargetMode="External" /><Relationship Type="http://schemas.openxmlformats.org/officeDocument/2006/relationships/hyperlink" Id="rId203" Target="https://doi.org/10.2307/1932688" TargetMode="External" /><Relationship Type="http://schemas.openxmlformats.org/officeDocument/2006/relationships/hyperlink" Id="rId229" Target="https://doi.org/10.3354/meps08925" TargetMode="External" /><Relationship Type="http://schemas.openxmlformats.org/officeDocument/2006/relationships/hyperlink" Id="rId159" Target="https://doi.org/10.3354/meps11923" TargetMode="External" /><Relationship Type="http://schemas.openxmlformats.org/officeDocument/2006/relationships/hyperlink" Id="rId161" Target="https://doi.org/10.3354/meps12740" TargetMode="External" /><Relationship Type="http://schemas.openxmlformats.org/officeDocument/2006/relationships/hyperlink" Id="rId113" Target="https://doi.org/10.3354/meps147277" TargetMode="External" /><Relationship Type="http://schemas.openxmlformats.org/officeDocument/2006/relationships/hyperlink" Id="rId227" Target="https://doi.org/10.3354/meps322099" TargetMode="External" /><Relationship Type="http://schemas.openxmlformats.org/officeDocument/2006/relationships/hyperlink" Id="rId103" Target="https://doi.org/10.3389/fevo.2023.1070266" TargetMode="External" /><Relationship Type="http://schemas.openxmlformats.org/officeDocument/2006/relationships/hyperlink" Id="rId251" Target="https://doi.org/10.3389/fevo.2023.1134069" TargetMode="External" /><Relationship Type="http://schemas.openxmlformats.org/officeDocument/2006/relationships/hyperlink" Id="rId155" Target="https://doi.org/10.3389/fmars.2022.767440" TargetMode="External" /><Relationship Type="http://schemas.openxmlformats.org/officeDocument/2006/relationships/hyperlink" Id="rId139" Target="https://doi.org/10.3389/fpls.2021.612947" TargetMode="External" /><Relationship Type="http://schemas.openxmlformats.org/officeDocument/2006/relationships/hyperlink" Id="rId97" Target="https://doi.org/10.5281/zenodo.3648664" TargetMode="External" /><Relationship Type="http://schemas.openxmlformats.org/officeDocument/2006/relationships/hyperlink" Id="rId99" Target="https://doi.org/10.5281/zenodo.4319936" TargetMode="External" /><Relationship Type="http://schemas.openxmlformats.org/officeDocument/2006/relationships/hyperlink" Id="rId197" Target="https://drive.google.com/file/d/1-1Jq9vly5EvVwEp698brlBucXjSMDbNn/view?usp=sharing" TargetMode="External" /><Relationship Type="http://schemas.openxmlformats.org/officeDocument/2006/relationships/hyperlink" Id="rId257" Target="https://drive.google.com/file/d/15zetRgrFKkWah9KAY1in7q0so8ywHzkA/view?usp=drive_link" TargetMode="External" /><Relationship Type="http://schemas.openxmlformats.org/officeDocument/2006/relationships/hyperlink" Id="rId180" Target="https://drive.google.com/file/d/19bNEs2qy6z0hXa1IE7OtbFTjqk1LarFN/view?usp=drivesdk" TargetMode="External" /><Relationship Type="http://schemas.openxmlformats.org/officeDocument/2006/relationships/hyperlink" Id="rId241" Target="https://drive.google.com/file/d/1BCviGfLykVX-p1tA3b0306deP3pKMagr/view?usp=drivesdk" TargetMode="External" /><Relationship Type="http://schemas.openxmlformats.org/officeDocument/2006/relationships/hyperlink" Id="rId176" Target="https://drive.google.com/file/d/1KARuSC5fGx05MuT1wiOQFWNXysBokkQl/view?usp=share_link" TargetMode="External" /><Relationship Type="http://schemas.openxmlformats.org/officeDocument/2006/relationships/hyperlink" Id="rId172" Target="https://drive.google.com/file/d/1XMULU8w4syWcSv_ciOUOhnC_G4xt6GIF/view?usp=drivesdk" TargetMode="External" /><Relationship Type="http://schemas.openxmlformats.org/officeDocument/2006/relationships/hyperlink" Id="rId178" Target="https://drive.google.com/file/d/1Z_8L9sYQWSl1hon1tP1Y8zBo7MHQK9zC/view?usp=drivesdk" TargetMode="External" /><Relationship Type="http://schemas.openxmlformats.org/officeDocument/2006/relationships/hyperlink" Id="rId194" Target="https://drive.google.com/file/d/1iXX_JZP5fLS3ORIkFb7WwNYv8HjpHyKw/view?usp=sharing" TargetMode="External" /><Relationship Type="http://schemas.openxmlformats.org/officeDocument/2006/relationships/hyperlink" Id="rId147" Target="https://drive.google.com/file/d/1kZkvuprvsMyN9nPS5PHYvXHyo1KQxKTr/view?usp=drivesdk" TargetMode="External" /><Relationship Type="http://schemas.openxmlformats.org/officeDocument/2006/relationships/hyperlink" Id="rId188" Target="https://drive.google.com/file/d/1sNp3FpjdeOjATZ9nDRRAiXEOqQen9W_p/view?usp=sharing" TargetMode="External" /><Relationship Type="http://schemas.openxmlformats.org/officeDocument/2006/relationships/hyperlink" Id="rId115" Target="https://drive.google.com/file/d/1tUkGW7TRAJ_skWj-UemDVIJnUAsy0ITf/view?usp=drivesdk" TargetMode="External" /><Relationship Type="http://schemas.openxmlformats.org/officeDocument/2006/relationships/hyperlink" Id="rId83" Target="https://github.com/tbep-tech/temp-manu" TargetMode="External" /><Relationship Type="http://schemas.openxmlformats.org/officeDocument/2006/relationships/hyperlink" Id="rId174"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42"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05"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9" Target="https://CRAN.R-project.org/package=SPEI" TargetMode="External" /><Relationship Type="http://schemas.openxmlformats.org/officeDocument/2006/relationships/hyperlink" Id="rId129"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6" Target="https://doi.org/10.1002/ehs2.1258" TargetMode="External" /><Relationship Type="http://schemas.openxmlformats.org/officeDocument/2006/relationships/hyperlink" Id="rId111" Target="https://doi.org/10.1002/joc.3887" TargetMode="External" /><Relationship Type="http://schemas.openxmlformats.org/officeDocument/2006/relationships/hyperlink" Id="rId207" Target="https://doi.org/10.1002/lno.10789" TargetMode="External" /><Relationship Type="http://schemas.openxmlformats.org/officeDocument/2006/relationships/hyperlink" Id="rId266" Target="https://doi.org/10.1002/lol2.10098" TargetMode="External" /><Relationship Type="http://schemas.openxmlformats.org/officeDocument/2006/relationships/hyperlink" Id="rId264" Target="https://doi.org/10.1002/nt.2620020503" TargetMode="External" /><Relationship Type="http://schemas.openxmlformats.org/officeDocument/2006/relationships/hyperlink" Id="rId285" Target="https://doi.org/10.1007/978-0-387-87458-6" TargetMode="External" /><Relationship Type="http://schemas.openxmlformats.org/officeDocument/2006/relationships/hyperlink" Id="rId234" Target="https://doi.org/10.1007/bf02691345" TargetMode="External" /><Relationship Type="http://schemas.openxmlformats.org/officeDocument/2006/relationships/hyperlink" Id="rId190" Target="https://doi.org/10.1007/bf02691700" TargetMode="External" /><Relationship Type="http://schemas.openxmlformats.org/officeDocument/2006/relationships/hyperlink" Id="rId209" Target="https://doi.org/10.1007/bf02798652" TargetMode="External" /><Relationship Type="http://schemas.openxmlformats.org/officeDocument/2006/relationships/hyperlink" Id="rId151" Target="https://doi.org/10.1007/s00267-005-0079-4" TargetMode="External" /><Relationship Type="http://schemas.openxmlformats.org/officeDocument/2006/relationships/hyperlink" Id="rId239" Target="https://doi.org/10.1007/s00267-013-0179-5" TargetMode="External" /><Relationship Type="http://schemas.openxmlformats.org/officeDocument/2006/relationships/hyperlink" Id="rId163" Target="https://doi.org/10.1007/s11802-014-2471-2" TargetMode="External" /><Relationship Type="http://schemas.openxmlformats.org/officeDocument/2006/relationships/hyperlink" Id="rId137" Target="https://doi.org/10.1007/s12237-008-9038-7" TargetMode="External" /><Relationship Type="http://schemas.openxmlformats.org/officeDocument/2006/relationships/hyperlink" Id="rId107" Target="https://doi.org/10.1007/s12237-019-00619-w" TargetMode="External" /><Relationship Type="http://schemas.openxmlformats.org/officeDocument/2006/relationships/hyperlink" Id="rId219" Target="https://doi.org/10.1007/s12237-023-01252-4" TargetMode="External" /><Relationship Type="http://schemas.openxmlformats.org/officeDocument/2006/relationships/hyperlink" Id="rId283" Target="https://doi.org/10.1016/0304-3770(75)90016-9" TargetMode="External" /><Relationship Type="http://schemas.openxmlformats.org/officeDocument/2006/relationships/hyperlink" Id="rId255" Target="https://doi.org/10.1016/j.aquabot.2005.06.003" TargetMode="External" /><Relationship Type="http://schemas.openxmlformats.org/officeDocument/2006/relationships/hyperlink" Id="rId211" Target="https://doi.org/10.1016/j.dsr2.2023.105321" TargetMode="External" /><Relationship Type="http://schemas.openxmlformats.org/officeDocument/2006/relationships/hyperlink" Id="rId232" Target="https://doi.org/10.1016/j.ecolind.2015.12.007" TargetMode="External" /><Relationship Type="http://schemas.openxmlformats.org/officeDocument/2006/relationships/hyperlink" Id="rId236" Target="https://doi.org/10.1016/j.ecolind.2020.107310" TargetMode="External" /><Relationship Type="http://schemas.openxmlformats.org/officeDocument/2006/relationships/hyperlink" Id="rId121" Target="https://doi.org/10.1016/j.ecolind.2023.111035" TargetMode="External" /><Relationship Type="http://schemas.openxmlformats.org/officeDocument/2006/relationships/hyperlink" Id="rId153" Target="https://doi.org/10.1016/j.ecss.2014.10.003" TargetMode="External" /><Relationship Type="http://schemas.openxmlformats.org/officeDocument/2006/relationships/hyperlink" Id="rId192" Target="https://doi.org/10.1016/j.ecss.2022.108134" TargetMode="External" /><Relationship Type="http://schemas.openxmlformats.org/officeDocument/2006/relationships/hyperlink" Id="rId182" Target="https://doi.org/10.1016/j.jembe.2007.05.031" TargetMode="External" /><Relationship Type="http://schemas.openxmlformats.org/officeDocument/2006/relationships/hyperlink" Id="rId125" Target="https://doi.org/10.1016/j.jembe.2007.06.024" TargetMode="External" /><Relationship Type="http://schemas.openxmlformats.org/officeDocument/2006/relationships/hyperlink" Id="rId133" Target="https://doi.org/10.1016/j.jenvman.2018.01.025" TargetMode="External" /><Relationship Type="http://schemas.openxmlformats.org/officeDocument/2006/relationships/hyperlink" Id="rId262" Target="https://doi.org/10.1016/j.marpolbul.2005.02.010" TargetMode="External" /><Relationship Type="http://schemas.openxmlformats.org/officeDocument/2006/relationships/hyperlink" Id="rId149" Target="https://doi.org/10.1016/j.marpolbul.2010.11.017" TargetMode="External" /><Relationship Type="http://schemas.openxmlformats.org/officeDocument/2006/relationships/hyperlink" Id="rId260" Target="https://doi.org/10.1016/j.marpolbul.2020.111247" TargetMode="External" /><Relationship Type="http://schemas.openxmlformats.org/officeDocument/2006/relationships/hyperlink" Id="rId101" Target="https://doi.org/10.1016/j.marpolbul.2022.113598" TargetMode="External" /><Relationship Type="http://schemas.openxmlformats.org/officeDocument/2006/relationships/hyperlink" Id="rId281" Target="https://doi.org/10.1016/j.marpolbul.2023.115043" TargetMode="External" /><Relationship Type="http://schemas.openxmlformats.org/officeDocument/2006/relationships/hyperlink" Id="rId131" Target="https://doi.org/10.1016/j.ocecoaman.2023.106490" TargetMode="External" /><Relationship Type="http://schemas.openxmlformats.org/officeDocument/2006/relationships/hyperlink" Id="rId91" Target="https://doi.org/10.1016/j.ocecoaman.2023.106929" TargetMode="External" /><Relationship Type="http://schemas.openxmlformats.org/officeDocument/2006/relationships/hyperlink" Id="rId127" Target="https://doi.org/10.1016/j.rse.2018.02.014" TargetMode="External" /><Relationship Type="http://schemas.openxmlformats.org/officeDocument/2006/relationships/hyperlink" Id="rId243" Target="https://doi.org/10.1016/j.rsma.2015.05.005" TargetMode="External" /><Relationship Type="http://schemas.openxmlformats.org/officeDocument/2006/relationships/hyperlink" Id="rId253" Target="https://doi.org/10.1016/j.rsma.2015.11.010" TargetMode="External" /><Relationship Type="http://schemas.openxmlformats.org/officeDocument/2006/relationships/hyperlink" Id="rId249" Target="https://doi.org/10.1016/j.scitotenv.2011.09.088" TargetMode="External" /><Relationship Type="http://schemas.openxmlformats.org/officeDocument/2006/relationships/hyperlink" Id="rId199" Target="https://doi.org/10.1016/j.seares.2012.03.002" TargetMode="External" /><Relationship Type="http://schemas.openxmlformats.org/officeDocument/2006/relationships/hyperlink" Id="rId274" Target="https://doi.org/10.1029/2005jc003067" TargetMode="External" /><Relationship Type="http://schemas.openxmlformats.org/officeDocument/2006/relationships/hyperlink" Id="rId167" Target="https://doi.org/10.1029/wr018i001p00107" TargetMode="External" /><Relationship Type="http://schemas.openxmlformats.org/officeDocument/2006/relationships/hyperlink" Id="rId145" Target="https://doi.org/10.1038/ngeo1477" TargetMode="External" /><Relationship Type="http://schemas.openxmlformats.org/officeDocument/2006/relationships/hyperlink" Id="rId213" Target="https://doi.org/10.1038/s41467-018-03732-9" TargetMode="External" /><Relationship Type="http://schemas.openxmlformats.org/officeDocument/2006/relationships/hyperlink" Id="rId270" Target="https://doi.org/10.1073/pnas.0905620106" TargetMode="External" /><Relationship Type="http://schemas.openxmlformats.org/officeDocument/2006/relationships/hyperlink" Id="rId184" Target="https://doi.org/10.1073/pnas.1715798115" TargetMode="External" /><Relationship Type="http://schemas.openxmlformats.org/officeDocument/2006/relationships/hyperlink" Id="rId165" Target="https://doi.org/10.1073/pnas.2220678120" TargetMode="External" /><Relationship Type="http://schemas.openxmlformats.org/officeDocument/2006/relationships/hyperlink" Id="rId135" Target="https://doi.org/10.1080/00785236.1995.10422039" TargetMode="External" /><Relationship Type="http://schemas.openxmlformats.org/officeDocument/2006/relationships/hyperlink" Id="rId217" Target="https://doi.org/10.1093/biosci/bix058" TargetMode="External" /><Relationship Type="http://schemas.openxmlformats.org/officeDocument/2006/relationships/hyperlink" Id="rId169" Target="https://doi.org/10.1101/sqb.1957.022.01.039" TargetMode="External" /><Relationship Type="http://schemas.openxmlformats.org/officeDocument/2006/relationships/hyperlink" Id="rId119" Target="https://doi.org/10.1111/1365-2664.13169" TargetMode="External" /><Relationship Type="http://schemas.openxmlformats.org/officeDocument/2006/relationships/hyperlink" Id="rId272" Target="https://doi.org/10.1111/1365-2745.13648" TargetMode="External" /><Relationship Type="http://schemas.openxmlformats.org/officeDocument/2006/relationships/hyperlink" Id="rId201" Target="https://doi.org/10.1111/brv.12294" TargetMode="External" /><Relationship Type="http://schemas.openxmlformats.org/officeDocument/2006/relationships/hyperlink" Id="rId143" Target="https://doi.org/10.1111/conl.12938" TargetMode="External" /><Relationship Type="http://schemas.openxmlformats.org/officeDocument/2006/relationships/hyperlink" Id="rId223" Target="https://doi.org/10.1111/gcb.13084" TargetMode="External" /><Relationship Type="http://schemas.openxmlformats.org/officeDocument/2006/relationships/hyperlink" Id="rId186" Target="https://doi.org/10.1111/gcb.13623" TargetMode="External" /><Relationship Type="http://schemas.openxmlformats.org/officeDocument/2006/relationships/hyperlink" Id="rId141" Target="https://doi.org/10.1111/gcb.15684" TargetMode="External" /><Relationship Type="http://schemas.openxmlformats.org/officeDocument/2006/relationships/hyperlink" Id="rId93" Target="https://doi.org/10.1111/j.1365-2699.2006.01584.x" TargetMode="External" /><Relationship Type="http://schemas.openxmlformats.org/officeDocument/2006/relationships/hyperlink" Id="rId278" Target="https://doi.org/10.1111/j.1467-9868.2010.00749.x" TargetMode="External" /><Relationship Type="http://schemas.openxmlformats.org/officeDocument/2006/relationships/hyperlink" Id="rId221" Target="https://doi.org/10.1126/sciadv.abc6434" TargetMode="External" /><Relationship Type="http://schemas.openxmlformats.org/officeDocument/2006/relationships/hyperlink" Id="rId268" Target="https://doi.org/10.1146/annurev.es.03.110172.000543" TargetMode="External" /><Relationship Type="http://schemas.openxmlformats.org/officeDocument/2006/relationships/hyperlink" Id="rId245" Target="https://doi.org/10.1353/sgo.2017.0026" TargetMode="External" /><Relationship Type="http://schemas.openxmlformats.org/officeDocument/2006/relationships/hyperlink" Id="rId215" Target="https://doi.org/10.1641/0006-3568(2006)56[987:agcfse]2.0.co;2" TargetMode="External" /><Relationship Type="http://schemas.openxmlformats.org/officeDocument/2006/relationships/hyperlink" Id="rId95" Target="https://doi.org/10.18637/jss.v067.i01" TargetMode="External" /><Relationship Type="http://schemas.openxmlformats.org/officeDocument/2006/relationships/hyperlink" Id="rId105" Target="https://doi.org/10.21105/joss.03485" TargetMode="External" /><Relationship Type="http://schemas.openxmlformats.org/officeDocument/2006/relationships/hyperlink" Id="rId247" Target="https://doi.org/10.21203/rs.3.rs-3528678/v1" TargetMode="External" /><Relationship Type="http://schemas.openxmlformats.org/officeDocument/2006/relationships/hyperlink" Id="rId84" Target="https://doi.org/10.21203/rs.3.rs-3946855/v1" TargetMode="External" /><Relationship Type="http://schemas.openxmlformats.org/officeDocument/2006/relationships/hyperlink" Id="rId117" Target="https://doi.org/10.2134/jeq2001.302303x" TargetMode="External" /><Relationship Type="http://schemas.openxmlformats.org/officeDocument/2006/relationships/hyperlink" Id="rId123" Target="https://doi.org/10.2307/1352383" TargetMode="External" /><Relationship Type="http://schemas.openxmlformats.org/officeDocument/2006/relationships/hyperlink" Id="rId157" Target="https://doi.org/10.2307/1353210" TargetMode="External" /><Relationship Type="http://schemas.openxmlformats.org/officeDocument/2006/relationships/hyperlink" Id="rId203" Target="https://doi.org/10.2307/1932688" TargetMode="External" /><Relationship Type="http://schemas.openxmlformats.org/officeDocument/2006/relationships/hyperlink" Id="rId229" Target="https://doi.org/10.3354/meps08925" TargetMode="External" /><Relationship Type="http://schemas.openxmlformats.org/officeDocument/2006/relationships/hyperlink" Id="rId159" Target="https://doi.org/10.3354/meps11923" TargetMode="External" /><Relationship Type="http://schemas.openxmlformats.org/officeDocument/2006/relationships/hyperlink" Id="rId161" Target="https://doi.org/10.3354/meps12740" TargetMode="External" /><Relationship Type="http://schemas.openxmlformats.org/officeDocument/2006/relationships/hyperlink" Id="rId113" Target="https://doi.org/10.3354/meps147277" TargetMode="External" /><Relationship Type="http://schemas.openxmlformats.org/officeDocument/2006/relationships/hyperlink" Id="rId227" Target="https://doi.org/10.3354/meps322099" TargetMode="External" /><Relationship Type="http://schemas.openxmlformats.org/officeDocument/2006/relationships/hyperlink" Id="rId103" Target="https://doi.org/10.3389/fevo.2023.1070266" TargetMode="External" /><Relationship Type="http://schemas.openxmlformats.org/officeDocument/2006/relationships/hyperlink" Id="rId251" Target="https://doi.org/10.3389/fevo.2023.1134069" TargetMode="External" /><Relationship Type="http://schemas.openxmlformats.org/officeDocument/2006/relationships/hyperlink" Id="rId155" Target="https://doi.org/10.3389/fmars.2022.767440" TargetMode="External" /><Relationship Type="http://schemas.openxmlformats.org/officeDocument/2006/relationships/hyperlink" Id="rId139" Target="https://doi.org/10.3389/fpls.2021.612947" TargetMode="External" /><Relationship Type="http://schemas.openxmlformats.org/officeDocument/2006/relationships/hyperlink" Id="rId97" Target="https://doi.org/10.5281/zenodo.3648664" TargetMode="External" /><Relationship Type="http://schemas.openxmlformats.org/officeDocument/2006/relationships/hyperlink" Id="rId99" Target="https://doi.org/10.5281/zenodo.4319936" TargetMode="External" /><Relationship Type="http://schemas.openxmlformats.org/officeDocument/2006/relationships/hyperlink" Id="rId197" Target="https://drive.google.com/file/d/1-1Jq9vly5EvVwEp698brlBucXjSMDbNn/view?usp=sharing" TargetMode="External" /><Relationship Type="http://schemas.openxmlformats.org/officeDocument/2006/relationships/hyperlink" Id="rId257" Target="https://drive.google.com/file/d/15zetRgrFKkWah9KAY1in7q0so8ywHzkA/view?usp=drive_link" TargetMode="External" /><Relationship Type="http://schemas.openxmlformats.org/officeDocument/2006/relationships/hyperlink" Id="rId180" Target="https://drive.google.com/file/d/19bNEs2qy6z0hXa1IE7OtbFTjqk1LarFN/view?usp=drivesdk" TargetMode="External" /><Relationship Type="http://schemas.openxmlformats.org/officeDocument/2006/relationships/hyperlink" Id="rId241" Target="https://drive.google.com/file/d/1BCviGfLykVX-p1tA3b0306deP3pKMagr/view?usp=drivesdk" TargetMode="External" /><Relationship Type="http://schemas.openxmlformats.org/officeDocument/2006/relationships/hyperlink" Id="rId176" Target="https://drive.google.com/file/d/1KARuSC5fGx05MuT1wiOQFWNXysBokkQl/view?usp=share_link" TargetMode="External" /><Relationship Type="http://schemas.openxmlformats.org/officeDocument/2006/relationships/hyperlink" Id="rId172" Target="https://drive.google.com/file/d/1XMULU8w4syWcSv_ciOUOhnC_G4xt6GIF/view?usp=drivesdk" TargetMode="External" /><Relationship Type="http://schemas.openxmlformats.org/officeDocument/2006/relationships/hyperlink" Id="rId178" Target="https://drive.google.com/file/d/1Z_8L9sYQWSl1hon1tP1Y8zBo7MHQK9zC/view?usp=drivesdk" TargetMode="External" /><Relationship Type="http://schemas.openxmlformats.org/officeDocument/2006/relationships/hyperlink" Id="rId194" Target="https://drive.google.com/file/d/1iXX_JZP5fLS3ORIkFb7WwNYv8HjpHyKw/view?usp=sharing" TargetMode="External" /><Relationship Type="http://schemas.openxmlformats.org/officeDocument/2006/relationships/hyperlink" Id="rId147" Target="https://drive.google.com/file/d/1kZkvuprvsMyN9nPS5PHYvXHyo1KQxKTr/view?usp=drivesdk" TargetMode="External" /><Relationship Type="http://schemas.openxmlformats.org/officeDocument/2006/relationships/hyperlink" Id="rId188" Target="https://drive.google.com/file/d/1sNp3FpjdeOjATZ9nDRRAiXEOqQen9W_p/view?usp=sharing" TargetMode="External" /><Relationship Type="http://schemas.openxmlformats.org/officeDocument/2006/relationships/hyperlink" Id="rId115" Target="https://drive.google.com/file/d/1tUkGW7TRAJ_skWj-UemDVIJnUAsy0ITf/view?usp=drivesdk" TargetMode="External" /><Relationship Type="http://schemas.openxmlformats.org/officeDocument/2006/relationships/hyperlink" Id="rId83" Target="https://github.com/tbep-tech/temp-manu" TargetMode="External" /><Relationship Type="http://schemas.openxmlformats.org/officeDocument/2006/relationships/hyperlink" Id="rId174"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42"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05"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water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2024-05-10T18:35:10Z</dcterms:created>
  <dcterms:modified xsi:type="dcterms:W3CDTF">2024-05-10T18:35:10Z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