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57.png" ContentType="image/png"/>
  <Override PartName="/word/media/rId41.png" ContentType="image/png"/>
  <Override PartName="/word/media/rId53.png" ContentType="image/png"/>
  <Override PartName="/word/media/rId61.png" ContentType="image/png"/>
  <Override PartName="/word/media/rId45.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 Pratt</w:t>
      </w:r>
      <w:r>
        <w:rPr>
          <w:vertAlign w:val="superscript"/>
        </w:rPr>
        <w:t xml:space="preserve">3</w:t>
      </w:r>
      <w:r>
        <w:t xml:space="preserve">,</w:t>
      </w:r>
      <w:r>
        <w:t xml:space="preserve"> </w:t>
      </w:r>
      <w:r>
        <w:t xml:space="preserve">Chris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Over the last fifty years, Tampa Bay has become hotter and fresher with water temperature increasing by 0.03 - 0.07</w:t>
      </w:r>
      <w:r>
        <w:t xml:space="preserve"> </w:t>
      </w:r>
      <m:oMath>
        <m:sSup>
          <m:e>
            <m:r>
              <m:t>​</m:t>
            </m:r>
          </m:e>
          <m:sup>
            <m:r>
              <m:rPr>
                <m:sty m:val="p"/>
              </m:rPr>
              <m:t>∘</m:t>
            </m:r>
          </m:sup>
        </m:sSup>
      </m:oMath>
      <w:r>
        <w:t xml:space="preserve">C per year and salinity decreasing by 0.04 - 0.2 ppt per year. These changes varied spatially and seasonally, with the most dramatic changes observed in the upper bay during the summer months. Simple linear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other cliamte change drivers and warrant additional, complementary interventions to maintain ecosystem health into the future.</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at a global scale. Seagrasses are fundamental indicators of coastal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w:t>
      </w:r>
      <w:r>
        <w:t xml:space="preserve"> </w:t>
      </w:r>
      <w:r>
        <w:t xml:space="preserve">(Madeira et al. 2012; Lefcheck et al. 2017;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effects of decreased water clarity for seagrasses in shallow habitats were exacerbated by acute warming related to climate change, demonstrating a concerning synergy of stressors most likely to affect Tampa Bay.</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In Chesapeake Bay, the abundance of widgeongrass (</w:t>
      </w:r>
      <w:r>
        <w:rPr>
          <w:iCs/>
          <w:i/>
        </w:rPr>
        <w:t xml:space="preserve">Ruppia maritima</w:t>
      </w:r>
      <w:r>
        <w:t xml:space="preserve">) has responded positively to nutrient reduction and is replacing the formerly dominant but now heat-stressed</w:t>
      </w:r>
      <w:r>
        <w:t xml:space="preserve"> </w:t>
      </w:r>
      <w:r>
        <w:t xml:space="preserve">(</w:t>
      </w:r>
      <w:r>
        <w:rPr>
          <w:iCs/>
          <w:i/>
        </w:rPr>
        <w:t xml:space="preserve">Z. marina</w:t>
      </w:r>
      <w:r>
        <w:t xml:space="preserve">, Hensel et al. 2023)</w:t>
      </w:r>
      <w:r>
        <w:t xml:space="preserve">. Changing frequency and severity of precipitation patterns may further alter salinity regimes and with it the distribution and abundance of seagrasses throughout the estuary</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w:t>
      </w:r>
      <w:r>
        <w:t xml:space="preserve"> </w:t>
      </w:r>
      <w:r>
        <w:t xml:space="preserve">(Lefcheck et al. 2017; Zhang et al. 2023)</w:t>
      </w:r>
      <w:r>
        <w:t xml:space="preserve">, suggesting place-based empirical assessments will be needed to properly inform management decisions.</w:t>
      </w:r>
    </w:p>
    <w:p>
      <w:pPr>
        <w:pStyle w:val="BodyText"/>
      </w:pPr>
      <w:r>
        <w:t xml:space="preserve">In Tampa Bay, Florida, seagrasses are a primary indicator of bay health and have been the focus of management efforts for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(Janicki and Wade 1996; Beck 2020a)</w:t>
      </w:r>
      <w:r>
        <w:t xml:space="preserve">. Factors that have influenced this recent decline are unknown and the effects of climate change drivers on physical water quality conditions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where marginal light environments exist. This hypothesis was generated from preliminary assessments of datasets used herein and discussions with the regional scientific and management community, despite information in the primary literature suggesting the contrary for salinity</w:t>
      </w:r>
      <w:r>
        <w:t xml:space="preserve"> </w:t>
      </w:r>
      <w:r>
        <w:t xml:space="preserve">(e.g., Costa et al. 2023)</w:t>
      </w:r>
      <w:r>
        <w:t xml:space="preserve">. The analysis was supported by 30-year seagrass datasets describing approximate biennial coverage of all seagrasses, annual transect monitoring describing cover of individual species, and synoptic seagrass data collected with routine biotic and water quality surveys. Specific focus was on the periods prior to and after 2016, when seagrasses recovered baywide and then declined despite water quality conditions remaining relatively stable.</w:t>
      </w:r>
    </w:p>
    <w:bookmarkEnd w:id="22"/>
    <w:bookmarkStart w:id="33"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Tampa Bay straddles the tropical and temperate boundary of central Florida characterized by warm, humid conditions and a distinct rainy season during the summer</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Robison,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The greatest areal coverage expansions were observed in the upper bay segments (OTB, HB, and MTB; Figure</w:t>
      </w:r>
      <w:r>
        <w:t xml:space="preserve"> </w:t>
      </w:r>
      <w:hyperlink w:anchor="fig-seagrasschg">
        <w:r>
          <w:rPr>
            <w:rStyle w:val="Hyperlink"/>
          </w:rPr>
          <w:t xml:space="preserve">2</w:t>
        </w:r>
      </w:hyperlink>
      <w:r>
        <w:t xml:space="preserve">a). Throughout this same period, external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(11,518 acres/4,661 ha) from the 2016 peak to a total baywide coverage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by photointerpretation of aerial images obtained at the end of the growing season, typically during November-February. No species information is provided. A more detailed, but spatially-specific, data source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 and condition, collected at fixed meter marks along a transect extending from the shoreline to the deepwater edge of the seagrass bed. Although the areal maps provide the standard for assessment of restoration goals, the transect data allow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w:t>
      </w:r>
      <w:r>
        <w:t xml:space="preserve"> </w:t>
      </w:r>
      <w:hyperlink w:anchor="fig-map">
        <w:r>
          <w:rPr>
            <w:rStyle w:val="Hyperlink"/>
          </w:rPr>
          <w:t xml:space="preserve">1</w:t>
        </w:r>
      </w:hyperlink>
      <w:r>
        <w:t xml:space="preserve">b). The 45 stations with the longest and most complete temporal record from 1975 to present were used herein.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Time of sampling can vary, although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 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w:t>
      </w:r>
      <w:r>
        <w:t xml:space="preserve"> </w:t>
      </w:r>
      <w:r>
        <w:t xml:space="preserve">(Sherwood et al. 2016)</w:t>
      </w:r>
      <w:r>
        <w:t xml:space="preserve">.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in the region.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 The rnoaa R package</w:t>
      </w:r>
      <w:r>
        <w:t xml:space="preserve"> </w:t>
      </w:r>
      <w:r>
        <w:t xml:space="preserve">(Chamberlain and Hocking 2023)</w:t>
      </w:r>
      <w:r>
        <w:t xml:space="preserve"> </w:t>
      </w:r>
      <w:r>
        <w:t xml:space="preserve">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fundamental niche space can be defined in multiple dimensions for many parameters, we focus on water temperature and salinity given that other dominant forcing factors, i.e., light availability, have been relatively stable in recent years</w:t>
      </w:r>
      <w:r>
        <w:t xml:space="preserve"> </w:t>
      </w:r>
      <w:r>
        <w:t xml:space="preserve">(Beck, Burke, et al. 2023)</w:t>
      </w:r>
      <w:r>
        <w:t xml:space="preserve">.</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 R. Phillips and Meñez 1988)</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(R. C. 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competing species</w:t>
      </w:r>
      <w:r>
        <w:t xml:space="preserve"> </w:t>
      </w:r>
      <w:r>
        <w:t xml:space="preserve">(Araújo and Guisan 2006)</w:t>
      </w:r>
      <w:r>
        <w:t xml:space="preserve">.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0.71 to 0.96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1"/>
    <w:bookmarkStart w:id="32"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 2016, decline post 2016). Two models were evaluated, one with the temperature and salinity metrics together and another with the both metric.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Separate models were constructed to provide an additional weight-of-evidence for the FIM and PDEM temperature and salinity datasets relative to seagrass change.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due to spatial limitations of the data and the seagrass response variable was presence/absence (i.e., a binomial distribution was used) to model the probability of observing seagrass. Model input data were further subset to include only months from July to November to describe seagrasses during the growing season and to reduce potential seasonal effects.</w:t>
      </w:r>
    </w:p>
    <w:bookmarkEnd w:id="32"/>
    <w:bookmarkEnd w:id="33"/>
    <w:bookmarkStart w:id="37" w:name="results"/>
    <w:p>
      <w:pPr>
        <w:pStyle w:val="Heading2"/>
      </w:pPr>
      <w:r>
        <w:t xml:space="preserve">3 Results</w:t>
      </w:r>
    </w:p>
    <w:bookmarkStart w:id="34"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10.67 mm per year, although the model was not significant (p = 0.11). Removing September from the rainy season showed a significantly increasing trend of 11.44 mm per year (p &lt; 0.05,</w:t>
      </w:r>
      <w:r>
        <w:t xml:space="preserve"> </w:t>
      </w:r>
      <m:oMath>
        <m:sSup>
          <m:e>
            <m:r>
              <m:t>R</m:t>
            </m:r>
          </m:e>
          <m:sup>
            <m:r>
              <m:t>2</m:t>
            </m:r>
          </m:sup>
        </m:sSup>
      </m:oMath>
      <w:r>
        <w:t xml:space="preserve"> </w:t>
      </w:r>
      <w:r>
        <w:t xml:space="preserve">= 0.07; September alone did not have a significant trend, p = 0.87). Using this model, mean precipitation in 1975 was 2829.9 (+/-150.44 st. err.) mm, whereas current mean precipitation in 2022 was 3367.5 (+/-150.44 st. err.) mm, showing an overall increase in the period of record of 537.6 mm. Notably, trends for the dry season (October through May) were not significant (p = 0.35), except April which had a significantly increasing trend (p &lt; 0.05,</w:t>
      </w:r>
      <w:r>
        <w:t xml:space="preserve"> </w:t>
      </w:r>
      <m:oMath>
        <m:sSup>
          <m:e>
            <m:r>
              <m:t>R</m:t>
            </m:r>
          </m:e>
          <m:sup>
            <m:r>
              <m:t>2</m:t>
            </m:r>
          </m:sup>
        </m:sSup>
      </m:oMath>
      <w:r>
        <w:t xml:space="preserve"> </w:t>
      </w:r>
      <w:r>
        <w:t xml:space="preserve">= 0.08).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1</w:t>
        </w:r>
      </w:hyperlink>
      <w:r>
        <w:t xml:space="preserve">,</w:t>
      </w:r>
      <w:r>
        <w:t xml:space="preserve"> </w:t>
      </w:r>
      <w:hyperlink w:anchor="tbl-saltrndtab">
        <w:r>
          <w:rPr>
            <w:rStyle w:val="Hyperlink"/>
          </w:rPr>
          <w:t xml:space="preserve">2</w:t>
        </w:r>
      </w:hyperlink>
      <w:r>
        <w:t xml:space="preserve">, Figures S1, S2, S3).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significant increases varying from 0.03 to 0.04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also similar between bay segments, although overall salinity was predictably higher for bay segments closer to the Gulf of Mexico. Only Old Tampa Bay and Lower Tampa Bay had significantly decreasing trends, with decreases of 0.06 (OTB) and 0.04 (LTB) ppt per year, with a total decrease of 2.7 (OTB) and 2.1 (LTB) ppt from 1975 to present.</w:t>
      </w:r>
    </w:p>
    <w:p>
      <w:pPr>
        <w:pStyle w:val="BodyText"/>
      </w:pPr>
      <w:r>
        <w:t xml:space="preserve">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excluding one station in HB that did not have significantly decreasing bottom salinity (Figure</w:t>
      </w:r>
      <w:r>
        <w:t xml:space="preserve"> </w:t>
      </w:r>
      <w:hyperlink w:anchor="fig-kendall">
        <w:r>
          <w:rPr>
            <w:rStyle w:val="Hyperlink"/>
          </w:rPr>
          <w:t xml:space="preserve">5</w:t>
        </w:r>
      </w:hyperlink>
      <w:r>
        <w:t xml:space="preserve">a). Seasonally, most bay segments had more significant stations during the summer, early fall period for both temperature and salinity (Figure</w:t>
      </w:r>
      <w:r>
        <w:t xml:space="preserve"> </w:t>
      </w:r>
      <w:hyperlink w:anchor="fig-kendall">
        <w:r>
          <w:rPr>
            <w:rStyle w:val="Hyperlink"/>
          </w:rPr>
          <w:t xml:space="preserve">5</w:t>
        </w:r>
      </w:hyperlink>
      <w:r>
        <w:t xml:space="preserve">b, c), although some variation was observed throughout the bay. Temperature trends were more often observed in the summer or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w:t>
      </w:r>
    </w:p>
    <w:bookmarkEnd w:id="34"/>
    <w:bookmarkStart w:id="35"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of the temperature models for each of the three thresholds (29, 30, 31</w:t>
      </w:r>
      <w:r>
        <w:t xml:space="preserve"> </w:t>
      </w:r>
      <m:oMath>
        <m:sSup>
          <m:e>
            <m:r>
              <m:t>​</m:t>
            </m:r>
          </m:e>
          <m:sup>
            <m:r>
              <m:rPr>
                <m:sty m:val="p"/>
              </m:rPr>
              <m:t>∘</m:t>
            </m:r>
          </m:sup>
        </m:sSup>
      </m:oMath>
      <w:r>
        <w:t xml:space="preserve">C) showed increasing trends for each bay segment, with the largest slope of 1.4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0.9 days per year in LTB to 1.1 days per year in MTB. Likewise, the mean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 (Table S5, see Table S6 for 1998 to 2022). Trends for the other two temperature thresholds were similar.</w:t>
      </w:r>
    </w:p>
    <w:p>
      <w:pPr>
        <w:pStyle w:val="BodyText"/>
      </w:pPr>
      <w:r>
        <w:t xml:space="preserve">The salinity models were less similar between bay segments compared to the temperature models, primarily because of the natural salinity gradient along the bay’s longitudinal axis (Tables S3, S4). None of the bay segments had significantly increasing number of days per year when salinity was below 15 ppt. The only significant model for MTB was the number of days when salinity was below 25 ppt, which was increasing at a rate of 0.7 days per year. Both HB and OTB had significantly increasing number of days per year when salinity was below 20 and 25 ppt, although the slopes varied such that the rates in OTB were nearly double those in HB. The number of days per year when salinity was below 25 ppt in OTB increased by 2 days per year, whereas the number of days in HB increased by 0.9 days per year from 1975 to present. Likewise, the mean number of days per year when salinity was continuously below 25 ppt at the beginning and end of the period of record was 128 (OTB) and 131 (HB) days in 1975 and 171 (HB) and 219 (OTB) days in 2022 (Table S5, see Table S6 for 1998 to 2022).</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34 days in 2022 for OTB, HB, and MTB, respectively.</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5"/>
    <w:bookmarkStart w:id="36" w:name="seagrass-response"/>
    <w:p>
      <w:pPr>
        <w:pStyle w:val="Heading3"/>
      </w:pPr>
      <w:r>
        <w:t xml:space="preserve">3.3 Seagrass response</w:t>
      </w:r>
    </w:p>
    <w:p>
      <w:pPr>
        <w:pStyle w:val="FirstParagraph"/>
      </w:pPr>
      <w:r>
        <w:t xml:space="preserve">Linear models to assess the potential effects of temperature and salinity on seagrass change provided modest evidence that seagrass loss after 2016 was influenced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strength of the relationship of temperature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 Note that</w:t>
      </w:r>
      <w:r>
        <w:t xml:space="preserve"> </w:t>
      </w:r>
      <w:hyperlink w:anchor="fig-sgmod">
        <w:r>
          <w:rPr>
            <w:rStyle w:val="Hyperlink"/>
          </w:rPr>
          <w:t xml:space="preserve">Figure 7</w:t>
        </w:r>
      </w:hyperlink>
      <w:r>
        <w:t xml:space="preserve"> </w:t>
      </w:r>
      <w:r>
        <w:t xml:space="preserve">shows model predictions for OTB only, although the shape of the relationships do not change for other bay segments other than as additive shifts of the curves up or down.</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or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FIM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6"/>
    <w:bookmarkEnd w:id="37"/>
    <w:bookmarkStart w:id="39" w:name="discussion"/>
    <w:p>
      <w:pPr>
        <w:pStyle w:val="Heading2"/>
      </w:pPr>
      <w:r>
        <w:t xml:space="preserve">4 Discussion</w:t>
      </w:r>
    </w:p>
    <w:p>
      <w:pPr>
        <w:pStyle w:val="FirstParagraph"/>
      </w:pPr>
      <w:r>
        <w:t xml:space="preserve">Global increases in temperature and altered precipitation patterns related to climate change have had measurable affects on the structure and functioning of a wide range of natural environments</w:t>
      </w:r>
      <w:r>
        <w:t xml:space="preserve"> </w:t>
      </w:r>
      <w:r>
        <w:t xml:space="preserve">(Osland et al. 2015; Oliver et al. 2018)</w:t>
      </w:r>
      <w:r>
        <w:t xml:space="preserve">. For Tampa Bay, these changes have been demonstrated using long-term trends in water temperature and salinity, which mirrored long-term changes in air temperature and precipitation. Over the previous fifty years, Tampa Bay has gotten hotter and fresher; water temperature has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cearly observed in the dataset with the longest period of record (EPC), covering nearly fifty years of monthly observations, with the most dramatic changes occurring during the summer rainy season at locations farther from the mouth of the Bay. These long-term changes manifested into consistent trends in known seagrass stressors; the continuous number of days increased each year when temperature, salinity, or both crossed thresholds.</w:t>
      </w:r>
    </w:p>
    <w:p>
      <w:pPr>
        <w:pStyle w:val="BodyText"/>
      </w:pPr>
      <w:r>
        <w:t xml:space="preserve">Similar regional, long-term changes in coastal waters and estuaries have been observed by others [</w:t>
      </w:r>
      <w:r>
        <w:t xml:space="preserve">Carlson et al. (2018)</w:t>
      </w:r>
      <w:r>
        <w:t xml:space="preserve">; r@nickerson2023;</w:t>
      </w:r>
      <w:r>
        <w:t xml:space="preserve"> </w:t>
      </w:r>
      <w:r>
        <w:t xml:space="preserve">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although they rightfully acknowledge the sensitivity of their results to conditions at the start and end of the time series. Our assessment evaluated non-parametric trends (i.e., Kendall tests, less sensitive to outliers)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 Notably,</w:t>
      </w:r>
      <w:r>
        <w:t xml:space="preserve"> </w:t>
      </w:r>
      <w:r>
        <w:t xml:space="preserve">Carlson et al. (2018)</w:t>
      </w:r>
      <w:r>
        <w:t xml:space="preserve"> </w:t>
      </w:r>
      <w:r>
        <w:t xml:space="preserve">suggest a link betwen historical seagrass losses in Florida Bay and rapid warming in shallow areas with low surface reflectance.</w:t>
      </w:r>
    </w:p>
    <w:p>
      <w:pPr>
        <w:pStyle w:val="BodyText"/>
      </w:pPr>
      <w:r>
        <w:t xml:space="preserve">Our relatively simple modeling approach provided some evidence that climate-related stressors impart some effect on recent seagrass losses in Tampa Bay. The models did not provide a consistent, nor statistically powerful,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EPC and FIM datasets both suggested that increasing temperature and decreasing salinity were associated with potential seagrass loss post 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between seagrass and salinity stress was observed post 2016 as compared to pre 2016. Likewise, the FIM models had a significant interaction term for the association of temperature with time period and a marginally significant interaction term for the association of salinity with time period. An important distinction between the EPC and FIM models is that the former evaluated the number of days above/below thresholds each year to quantify annual temperature or salinity stress,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These thresholds are likely not ecologically significant since most of the reported values in tropical and sub-tropical environments suggest that the limits of the ecological niche for seagrasses are higher for temperature and lower for salinity</w:t>
      </w:r>
      <w:r>
        <w:t xml:space="preserve"> </w:t>
      </w:r>
      <w:r>
        <w:t xml:space="preserve">(R. C. 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generally within the ecological niche for seagrasses. This does not suggest that these factors are unimportant, both currently and in the future. Extreme temperature or precipitation events acting individually or in combination are likely captured by the trends in stressor metrics using these conservative thresholds, i.e., an increase in a bay segment median number of days also suggests extremes are increasing given the variation around these summary metrics (</w:t>
      </w:r>
      <w:hyperlink w:anchor="fig-mixeff">
        <w:r>
          <w:rPr>
            <w:rStyle w:val="Hyperlink"/>
          </w:rPr>
          <w:t xml:space="preserve">Figure 6</w:t>
        </w:r>
      </w:hyperlink>
      <w:r>
        <w:t xml:space="preserve">). Further, our models suggested that temperature and salinity are at least associated with seagrass loss and, if so, long-term trends in both are set to amplify their effect.</w:t>
      </w:r>
    </w:p>
    <w:p>
      <w:pPr>
        <w:pStyle w:val="BodyText"/>
      </w:pPr>
      <w:r>
        <w:t xml:space="preserve">Additional limitations of our models may relate to an incomplete description of factors influencing seagrass growth, such as the inclusion of additional drivers and an incomplete or overly simplified causal network.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However, our use of time period (pre/post 2016) as a categorical variable indirectly addressed this issue. Modeling seagrass change as related to temperature or salinity for the entire record would have shown a spurious correlation of both with seagrass given the long-term recovery of seagrass, i.e., modeling challenges related to correlated predictors</w:t>
      </w:r>
      <w:r>
        <w:t xml:space="preserve"> </w:t>
      </w:r>
      <w:r>
        <w:t xml:space="preserve">(Fourqurean et al. 2003)</w:t>
      </w:r>
      <w:r>
        <w:t xml:space="preserve">. Thus, time period was necessary to control for these confounding relationships. Additionally, light attenuation has been relatively consistent since 2016 and within the limits estimated to be supportive of seagrass growth in Tampa Bay, particularly in OTB where the most loss occurred</w:t>
      </w:r>
      <w:r>
        <w:t xml:space="preserve"> </w:t>
      </w:r>
      <w:r>
        <w:t xml:space="preserve">(Janicki and Wade 1996; Beck 2020a)</w:t>
      </w:r>
      <w:r>
        <w:t xml:space="preserve">.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w:t>
      </w:r>
      <w:r>
        <w:t xml:space="preserve"> </w:t>
      </w:r>
      <w:r>
        <w:t xml:space="preserve">(Carlson et al. 2018)</w:t>
      </w:r>
      <w:r>
        <w:t xml:space="preserve">. This explanation cannot be ruled out with the existing datasets, although the trend analyses and models suggest that climate-related stressors are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w:t>
      </w:r>
      <w:r>
        <w:t xml:space="preserve"> </w:t>
      </w:r>
      <w:r>
        <w:t xml:space="preserve">(Tomasko et al. 2020)</w:t>
      </w:r>
      <w:r>
        <w:t xml:space="preserve">. These regional losses suggest that large-scale stressors are driving these changes, supporting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w:t>
      </w:r>
      <w:r>
        <w:t xml:space="preserve"> </w:t>
      </w:r>
      <w:r>
        <w:t xml:space="preserve">(Tomasko et al. 2005)</w:t>
      </w:r>
      <w:r>
        <w:t xml:space="preserve">.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(Koch et al. 2007;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has been a recent concern</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Taplin et al. 2005;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now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contrary to expectations for how sea-level rise will affect coastal systems</w:t>
      </w:r>
      <w:r>
        <w:t xml:space="preserve"> </w:t>
      </w:r>
      <w:r>
        <w:t xml:space="preserve">(Costa et al. 2023; Alarcon et al. 2024)</w:t>
      </w:r>
      <w:r>
        <w:t xml:space="preserve">, as salinity increases with sea-level rise have already caused numerous alterations of subtidal and nearshore habitats</w:t>
      </w:r>
      <w:r>
        <w:t xml:space="preserve"> </w:t>
      </w:r>
      <w:r>
        <w:t xml:space="preserve">(Brinson et al. 1995; White and Kaplan 2017)</w:t>
      </w:r>
      <w:r>
        <w:t xml:space="preserve">. In southwest Florida, the most common ecological example is the upland expansion of mangroves in response to increased porewater salinity and water levels over the past few decades</w:t>
      </w:r>
      <w:r>
        <w:t xml:space="preserve"> </w:t>
      </w:r>
      <w:r>
        <w:t xml:space="preserve">(Borchert et al. 2018)</w:t>
      </w:r>
      <w:r>
        <w:t xml:space="preserve">. Alteration of salinity regimes for surface and groundwater resources have been well documented. In Florida Bay, for example, widespread decline of</w:t>
      </w:r>
      <w:r>
        <w:t xml:space="preserve"> </w:t>
      </w:r>
      <w:r>
        <w:rPr>
          <w:iCs/>
          <w:i/>
        </w:rPr>
        <w:t xml:space="preserve">T. testudinium</w:t>
      </w:r>
      <w:r>
        <w:t xml:space="preserve"> </w:t>
      </w:r>
      <w:r>
        <w:t xml:space="preserve">has been attributed to altered hydrology and drought-induced hypersaline conditions, and sea level rise is expected to further modify salinity dynamics in the region</w:t>
      </w:r>
      <w:r>
        <w:t xml:space="preserve"> </w:t>
      </w:r>
      <w:r>
        <w:t xml:space="preserve">(Margaret O. Hall et al. 2016)</w:t>
      </w:r>
      <w:r>
        <w:t xml:space="preserve">.</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loading has had a greater influence on salinity regimes than the effects of sea-level rise. This hypothesis is supported by our assessment of precipitation patterns over time, where the long-term increase is inversely associated with the decrease in salinity.</w:t>
      </w:r>
    </w:p>
    <w:bookmarkStart w:id="38"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have had additive rather than multiplicative effects on seagrass, as evidenced by lack of significant interactions in models involving both stressors. Future analyses may show more significant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 Morpohological or physiological measurements at the individual level could also provide early indications of heat and osmotic stress.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not be able to maintain ecosystem resilience to climatic change. For example, nitrogen load reductions have been effective at restoring seagrass in Tampa Bay</w:t>
      </w:r>
      <w:r>
        <w:t xml:space="preserve"> </w:t>
      </w:r>
      <w:r>
        <w:t xml:space="preserve">(Greening and Janicki 2006; Greening et al. 2014)</w:t>
      </w:r>
      <w:r>
        <w:t xml:space="preserve">. As Tampa Bay becomes hotter and fresher, current nutrient loads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appear most pronounced. Reversal of recent trends may be more likely to occur if aggressive actions and controls are pursued sooner rather than later, given the challenges of restoring these long-lived foundation species once lost, ongoing development in the watershed, and the current climate trajectory.</w:t>
      </w:r>
    </w:p>
    <w:bookmarkEnd w:id="38"/>
    <w:bookmarkEnd w:id="39"/>
    <w:bookmarkStart w:id="40"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in particular Mike Wessel, Ray Pribble, and Dave Tomasko.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community of field and technical staff that have routinely collected and maintained the valuable long-term monitoring data used in this study.</w:t>
      </w:r>
    </w:p>
    <w:p>
      <w:r>
        <w:br w:type="page"/>
      </w:r>
    </w:p>
    <w:bookmarkEnd w:id="40"/>
    <w:bookmarkStart w:id="69"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4" w:name="fig-map"/>
          <w:p>
            <w:pPr>
              <w:pStyle w:val="Compact"/>
              <w:jc w:val="center"/>
            </w:pPr>
            <w:r>
              <w:drawing>
                <wp:inline>
                  <wp:extent cx="3669832" cy="5963478"/>
                  <wp:effectExtent b="0" l="0" r="0" t="0"/>
                  <wp:docPr descr="" title="" id="42" name="Picture"/>
                  <a:graphic>
                    <a:graphicData uri="http://schemas.openxmlformats.org/drawingml/2006/picture">
                      <pic:pic>
                        <pic:nvPicPr>
                          <pic:cNvPr descr="figs/map.png" id="43" name="Picture"/>
                          <pic:cNvPicPr>
                            <a:picLocks noChangeArrowheads="1" noChangeAspect="1"/>
                          </pic:cNvPicPr>
                        </pic:nvPicPr>
                        <pic:blipFill>
                          <a:blip r:embed="rId41"/>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8" w:name="fig-seagrasschg"/>
          <w:p>
            <w:pPr>
              <w:pStyle w:val="Compact"/>
              <w:jc w:val="center"/>
            </w:pPr>
            <w:r>
              <w:drawing>
                <wp:inline>
                  <wp:extent cx="5943600" cy="4457699"/>
                  <wp:effectExtent b="0" l="0" r="0" t="0"/>
                  <wp:docPr descr="" title="" id="46" name="Picture"/>
                  <a:graphic>
                    <a:graphicData uri="http://schemas.openxmlformats.org/drawingml/2006/picture">
                      <pic:pic>
                        <pic:nvPicPr>
                          <pic:cNvPr descr="figs/seagrasschg.png" id="47" name="Picture"/>
                          <pic:cNvPicPr>
                            <a:picLocks noChangeArrowheads="1" noChangeAspect="1"/>
                          </pic:cNvPicPr>
                        </pic:nvPicPr>
                        <pic:blipFill>
                          <a:blip r:embed="rId45"/>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Seagrass changes over time in Tampa Bay for (a) areal coverage 1988 - 2022 from mapping and (b) frequency occurrence of major species 1998 - 2022 from annual transect monitoring. Changes are shown for major bay segments. Red lines in (a) show approximate capacity of seagrass coverage based on the baywide target of 40,000 acres. OTB: Old Tampa Bay, HB: Hillsborough Bay, MTB: Middle Tampa Bay, LTB: Lower Tampa Bay.</w:t>
            </w:r>
          </w:p>
          <w:bookmarkEnd w:id="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fig-concept"/>
          <w:p>
            <w:pPr>
              <w:pStyle w:val="Compact"/>
              <w:jc w:val="center"/>
            </w:pPr>
            <w:r>
              <w:drawing>
                <wp:inline>
                  <wp:extent cx="4905519" cy="5002796"/>
                  <wp:effectExtent b="0" l="0" r="0" t="0"/>
                  <wp:docPr descr="" title="" id="50" name="Picture"/>
                  <a:graphic>
                    <a:graphicData uri="http://schemas.openxmlformats.org/drawingml/2006/picture">
                      <pic:pic>
                        <pic:nvPicPr>
                          <pic:cNvPr descr="figs/concept.png" id="51" name="Picture"/>
                          <pic:cNvPicPr>
                            <a:picLocks noChangeArrowheads="1" noChangeAspect="1"/>
                          </pic:cNvPicPr>
                        </pic:nvPicPr>
                        <pic:blipFill>
                          <a:blip r:embed="rId49"/>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 demonstrating a two-dimensional niche space for temperature and salinity. Tampa Bay is trending towards the bottom right.</w:t>
            </w:r>
          </w:p>
          <w:bookmarkEnd w:id="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6" w:name="fig-meteowqraw"/>
          <w:p>
            <w:pPr>
              <w:pStyle w:val="Compact"/>
              <w:jc w:val="center"/>
            </w:pPr>
            <w:r>
              <w:drawing>
                <wp:inline>
                  <wp:extent cx="5943600" cy="6368142"/>
                  <wp:effectExtent b="0" l="0" r="0" t="0"/>
                  <wp:docPr descr="" title="" id="54" name="Picture"/>
                  <a:graphic>
                    <a:graphicData uri="http://schemas.openxmlformats.org/drawingml/2006/picture">
                      <pic:pic>
                        <pic:nvPicPr>
                          <pic:cNvPr descr="figs/meteowqraw.png" id="55" name="Picture"/>
                          <pic:cNvPicPr>
                            <a:picLocks noChangeArrowheads="1" noChangeAspect="1"/>
                          </pic:cNvPicPr>
                        </pic:nvPicPr>
                        <pic:blipFill>
                          <a:blip r:embed="rId53"/>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0" w:name="fig-kendall"/>
          <w:p>
            <w:pPr>
              <w:pStyle w:val="Compact"/>
              <w:jc w:val="center"/>
            </w:pPr>
            <w:r>
              <w:drawing>
                <wp:inline>
                  <wp:extent cx="5943600" cy="2815389"/>
                  <wp:effectExtent b="0" l="0" r="0" t="0"/>
                  <wp:docPr descr="" title="" id="58" name="Picture"/>
                  <a:graphic>
                    <a:graphicData uri="http://schemas.openxmlformats.org/drawingml/2006/picture">
                      <pic:pic>
                        <pic:nvPicPr>
                          <pic:cNvPr descr="figs/kendall.png" id="59" name="Picture"/>
                          <pic:cNvPicPr>
                            <a:picLocks noChangeArrowheads="1" noChangeAspect="1"/>
                          </pic:cNvPicPr>
                        </pic:nvPicPr>
                        <pic:blipFill>
                          <a:blip r:embed="rId57"/>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percent of stations in each bay segment with significant increasing (temperature) or decreasing (salinity) trends. Bay segment outlines are shown in (a); OTB: Old Tampa Bay, HB: Hillsborough Bay, MTB: Middle Tampa Bay, LTB: Lower Tampa Bay.</w:t>
            </w:r>
          </w:p>
          <w:bookmarkEnd w:id="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4" w:name="fig-mixeff"/>
          <w:p>
            <w:pPr>
              <w:pStyle w:val="Compact"/>
              <w:jc w:val="center"/>
            </w:pPr>
            <w:r>
              <w:drawing>
                <wp:inline>
                  <wp:extent cx="5943600" cy="5094514"/>
                  <wp:effectExtent b="0" l="0" r="0" t="0"/>
                  <wp:docPr descr="" title="" id="62" name="Picture"/>
                  <a:graphic>
                    <a:graphicData uri="http://schemas.openxmlformats.org/drawingml/2006/picture">
                      <pic:pic>
                        <pic:nvPicPr>
                          <pic:cNvPr descr="figs/mixeff.png" id="63" name="Picture"/>
                          <pic:cNvPicPr>
                            <a:picLocks noChangeArrowheads="1" noChangeAspect="1"/>
                          </pic:cNvPicPr>
                        </pic:nvPicPr>
                        <pic:blipFill>
                          <a:blip r:embed="rId6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for significant models are shown in the bottom left of each facet. OTB: Old Tampa Bay, HB: Hillsborough Bay, MTB: Middle Tampa Bay, LTB: Lower Tampa Bay.</w:t>
            </w:r>
          </w:p>
          <w:bookmarkEnd w:id="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8" w:name="fig-sgmod"/>
          <w:p>
            <w:pPr>
              <w:pStyle w:val="Compact"/>
              <w:jc w:val="center"/>
            </w:pPr>
            <w:r>
              <w:drawing>
                <wp:inline>
                  <wp:extent cx="5943600" cy="5094514"/>
                  <wp:effectExtent b="0" l="0" r="0" t="0"/>
                  <wp:docPr descr="" title="" id="66" name="Picture"/>
                  <a:graphic>
                    <a:graphicData uri="http://schemas.openxmlformats.org/drawingml/2006/picture">
                      <pic:pic>
                        <pic:nvPicPr>
                          <pic:cNvPr descr="figs/sgmods.png" id="67" name="Picture"/>
                          <pic:cNvPicPr>
                            <a:picLocks noChangeArrowheads="1" noChangeAspect="1"/>
                          </pic:cNvPicPr>
                        </pic:nvPicPr>
                        <pic:blipFill>
                          <a:blip r:embed="rId6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changes versus temperature or salinity predictors for the (a) EPC and (b) FIM datasets. Results are shown only for OTB, although the shape of the relationships do not change between bay segments. The predictors for (a) were the number of days when temperature was above the threshold and the number of days when salinity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8"/>
        </w:tc>
      </w:tr>
    </w:tbl>
    <w:p>
      <w:r>
        <w:br w:type="page"/>
      </w:r>
    </w:p>
    <w:bookmarkEnd w:id="69"/>
    <w:bookmarkStart w:id="74"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0" w:name="tbl-temptrndtab"/>
          <w:p>
            <w:pPr>
              <w:jc w:val="center"/>
            </w:pPr>
            <w:pPr>
              <w:jc w:val="start"/>
              <w:spacing w:before="200"/>
              <w:pStyle w:val="Imag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23.2</w:t>
                  </w:r>
                </w:p>
              </w:tc>
              <w:tc>
                <w:tcPr/>
                <w:p>
                  <w:pPr>
                    <w:pStyle w:val="Compact"/>
                    <w:jc w:val="right"/>
                    <w:jc w:val="center"/>
                  </w:pPr>
                  <w:r>
                    <w:t xml:space="preserve">25.2</w:t>
                  </w:r>
                </w:p>
              </w:tc>
              <w:tc>
                <w:tcPr/>
                <w:p>
                  <w:pPr>
                    <w:pStyle w:val="Compact"/>
                    <w:jc w:val="right"/>
                    <w:jc w:val="center"/>
                  </w:pPr>
                  <w:r>
                    <w:t xml:space="preserve">2.0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23.3</w:t>
                  </w:r>
                </w:p>
              </w:tc>
              <w:tc>
                <w:tcPr/>
                <w:p>
                  <w:pPr>
                    <w:pStyle w:val="Compact"/>
                    <w:jc w:val="right"/>
                    <w:jc w:val="center"/>
                  </w:pPr>
                  <w:r>
                    <w:t xml:space="preserve">24.9</w:t>
                  </w:r>
                </w:p>
              </w:tc>
              <w:tc>
                <w:tcPr/>
                <w:p>
                  <w:pPr>
                    <w:pStyle w:val="Compact"/>
                    <w:jc w:val="right"/>
                    <w:jc w:val="center"/>
                  </w:pPr>
                  <w:r>
                    <w:t xml:space="preserve">1.6</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23.5</w:t>
                  </w:r>
                </w:p>
              </w:tc>
              <w:tc>
                <w:tcPr/>
                <w:p>
                  <w:pPr>
                    <w:pStyle w:val="Compact"/>
                    <w:jc w:val="right"/>
                    <w:jc w:val="center"/>
                  </w:pPr>
                  <w:r>
                    <w:t xml:space="preserve">24.7</w:t>
                  </w:r>
                </w:p>
              </w:tc>
              <w:tc>
                <w:tcPr/>
                <w:p>
                  <w:pPr>
                    <w:pStyle w:val="Compact"/>
                    <w:jc w:val="right"/>
                    <w:jc w:val="center"/>
                  </w:pPr>
                  <w:r>
                    <w:t xml:space="preserve">1.2</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0.04</w:t>
                  </w:r>
                </w:p>
              </w:tc>
              <w:tc>
                <w:tcPr/>
                <w:p>
                  <w:pPr>
                    <w:pStyle w:val="Compact"/>
                    <w:jc w:val="right"/>
                    <w:jc w:val="center"/>
                  </w:pPr>
                  <w:r>
                    <w:t xml:space="preserve">24.1</w:t>
                  </w:r>
                </w:p>
              </w:tc>
              <w:tc>
                <w:tcPr/>
                <w:p>
                  <w:pPr>
                    <w:pStyle w:val="Compact"/>
                    <w:jc w:val="right"/>
                    <w:jc w:val="center"/>
                  </w:pPr>
                  <w:r>
                    <w:t xml:space="preserve">25.0</w:t>
                  </w:r>
                </w:p>
              </w:tc>
              <w:tc>
                <w:tcPr/>
                <w:p>
                  <w:pPr>
                    <w:pStyle w:val="Compact"/>
                    <w:jc w:val="right"/>
                    <w:jc w:val="center"/>
                  </w:pPr>
                  <w:r>
                    <w:t xml:space="preserve">0.9</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24.0</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24.0</w:t>
                  </w:r>
                </w:p>
              </w:tc>
              <w:tc>
                <w:tcPr/>
                <w:p>
                  <w:pPr>
                    <w:pStyle w:val="Compact"/>
                    <w:jc w:val="right"/>
                    <w:jc w:val="center"/>
                  </w:pPr>
                  <w:r>
                    <w:t xml:space="preserve">24.6</w:t>
                  </w:r>
                </w:p>
              </w:tc>
              <w:tc>
                <w:tcPr/>
                <w:p>
                  <w:pPr>
                    <w:pStyle w:val="Compact"/>
                    <w:jc w:val="right"/>
                    <w:jc w:val="center"/>
                  </w:pPr>
                  <w:r>
                    <w:t xml:space="preserve">0.6</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23.6</w:t>
                  </w:r>
                </w:p>
              </w:tc>
              <w:tc>
                <w:tcPr/>
                <w:p>
                  <w:pPr>
                    <w:pStyle w:val="Compact"/>
                    <w:jc w:val="right"/>
                    <w:jc w:val="center"/>
                  </w:pPr>
                  <w:r>
                    <w:t xml:space="preserve">24.9</w:t>
                  </w:r>
                </w:p>
              </w:tc>
              <w:tc>
                <w:tcPr/>
                <w:p>
                  <w:pPr>
                    <w:pStyle w:val="Compact"/>
                    <w:jc w:val="right"/>
                    <w:jc w:val="center"/>
                  </w:pPr>
                  <w:r>
                    <w:t xml:space="preserve">1.3</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0.05</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w:t>
                  </w:r>
                </w:p>
              </w:tc>
              <w:tc>
                <w:tcPr/>
                <w:p>
                  <w:pPr>
                    <w:pStyle w:val="Compact"/>
                    <w:jc w:val="right"/>
                    <w:jc w:val="center"/>
                  </w:pPr>
                  <w:r>
                    <w:t xml:space="preserve">23.7</w:t>
                  </w:r>
                </w:p>
              </w:tc>
              <w:tc>
                <w:tcPr/>
                <w:p>
                  <w:pPr>
                    <w:pStyle w:val="Compact"/>
                    <w:jc w:val="right"/>
                    <w:jc w:val="center"/>
                  </w:pPr>
                  <w:r>
                    <w:t xml:space="preserve">25.4</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1" w:name="tbl-saltrndtab"/>
          <w:p>
            <w:pPr>
              <w:jc w:val="center"/>
            </w:pPr>
            <w:pPr>
              <w:jc w:val="start"/>
              <w:spacing w:before="200"/>
              <w:pStyle w:val="ImageCaption"/>
            </w:pPr>
            <w:r>
              <w:t xml:space="preserve">Table 2: Bottom salinity trends (ppt) by bay segments and datasets. Start year describes the range of the trend test to the present year (2022). The starting value is the estimated salinity at the start year and the end value is the estimated salinity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25.8</w:t>
                  </w:r>
                </w:p>
              </w:tc>
              <w:tc>
                <w:tcPr/>
                <w:p>
                  <w:pPr>
                    <w:pStyle w:val="Compact"/>
                    <w:jc w:val="right"/>
                    <w:jc w:val="center"/>
                  </w:pPr>
                  <w:r>
                    <w:t xml:space="preserve">23.1</w:t>
                  </w:r>
                </w:p>
              </w:tc>
              <w:tc>
                <w:tcPr/>
                <w:p>
                  <w:pPr>
                    <w:pStyle w:val="Compact"/>
                    <w:jc w:val="right"/>
                    <w:jc w:val="center"/>
                  </w:pPr>
                  <w:r>
                    <w:t xml:space="preserve">-2.7</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-0.02</w:t>
                  </w:r>
                </w:p>
              </w:tc>
              <w:tc>
                <w:tcPr/>
                <w:p>
                  <w:pPr>
                    <w:pStyle w:val="Compact"/>
                    <w:jc w:val="right"/>
                    <w:jc w:val="center"/>
                  </w:pPr>
                  <w:r>
                    <w:t xml:space="preserve">25.6</w:t>
                  </w:r>
                </w:p>
              </w:tc>
              <w:tc>
                <w:tcPr/>
                <w:p>
                  <w:pPr>
                    <w:pStyle w:val="Compact"/>
                    <w:jc w:val="right"/>
                    <w:jc w:val="center"/>
                  </w:pPr>
                  <w:r>
                    <w:t xml:space="preserve">24.6</w:t>
                  </w:r>
                </w:p>
              </w:tc>
              <w:tc>
                <w:tcPr/>
                <w:p>
                  <w:pPr>
                    <w:pStyle w:val="Compact"/>
                    <w:jc w:val="right"/>
                    <w:jc w:val="center"/>
                  </w:pPr>
                  <w:r>
                    <w:t xml:space="preserve">-1.0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28.2</w:t>
                  </w:r>
                </w:p>
              </w:tc>
              <w:tc>
                <w:tcPr/>
                <w:p>
                  <w:pPr>
                    <w:pStyle w:val="Compact"/>
                    <w:jc w:val="right"/>
                    <w:jc w:val="center"/>
                  </w:pPr>
                  <w:r>
                    <w:t xml:space="preserve">26.6</w:t>
                  </w:r>
                </w:p>
              </w:tc>
              <w:tc>
                <w:tcPr/>
                <w:p>
                  <w:pPr>
                    <w:pStyle w:val="Compact"/>
                    <w:jc w:val="right"/>
                    <w:jc w:val="center"/>
                  </w:pPr>
                  <w:r>
                    <w:t xml:space="preserve">-1.6</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33.4</w:t>
                  </w:r>
                </w:p>
              </w:tc>
              <w:tc>
                <w:tcPr/>
                <w:p>
                  <w:pPr>
                    <w:pStyle w:val="Compact"/>
                    <w:jc w:val="right"/>
                    <w:jc w:val="center"/>
                  </w:pPr>
                  <w:r>
                    <w:t xml:space="preserve">31.3</w:t>
                  </w:r>
                </w:p>
              </w:tc>
              <w:tc>
                <w:tcPr/>
                <w:p>
                  <w:pPr>
                    <w:pStyle w:val="Compact"/>
                    <w:jc w:val="right"/>
                    <w:jc w:val="center"/>
                  </w:pPr>
                  <w:r>
                    <w:t xml:space="preserve">-2.1</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w:t>
                  </w:r>
                </w:p>
              </w:tc>
              <w:tc>
                <w:tcPr/>
                <w:p>
                  <w:pPr>
                    <w:pStyle w:val="Compact"/>
                    <w:jc w:val="right"/>
                    <w:jc w:val="center"/>
                  </w:pPr>
                  <w:r>
                    <w:t xml:space="preserve">24.1</w:t>
                  </w:r>
                </w:p>
              </w:tc>
              <w:tc>
                <w:tcPr/>
                <w:p>
                  <w:pPr>
                    <w:pStyle w:val="Compact"/>
                    <w:jc w:val="right"/>
                    <w:jc w:val="center"/>
                  </w:pPr>
                  <w:r>
                    <w:t xml:space="preserve">22.6</w:t>
                  </w:r>
                </w:p>
              </w:tc>
              <w:tc>
                <w:tcPr/>
                <w:p>
                  <w:pPr>
                    <w:pStyle w:val="Compact"/>
                    <w:jc w:val="right"/>
                    <w:jc w:val="center"/>
                  </w:pPr>
                  <w:r>
                    <w:t xml:space="preserve">-1.5</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w:t>
                  </w:r>
                </w:p>
              </w:tc>
              <w:tc>
                <w:tcPr/>
                <w:p>
                  <w:pPr>
                    <w:pStyle w:val="Compact"/>
                    <w:jc w:val="right"/>
                    <w:jc w:val="center"/>
                  </w:pPr>
                  <w:r>
                    <w:t xml:space="preserve">24.0</w:t>
                  </w:r>
                </w:p>
              </w:tc>
              <w:tc>
                <w:tcPr/>
                <w:p>
                  <w:pPr>
                    <w:pStyle w:val="Compact"/>
                    <w:jc w:val="right"/>
                    <w:jc w:val="center"/>
                  </w:pPr>
                  <w:r>
                    <w:t xml:space="preserve">24.0</w:t>
                  </w:r>
                </w:p>
              </w:tc>
              <w:tc>
                <w:tcPr/>
                <w:p>
                  <w:pPr>
                    <w:pStyle w:val="Compact"/>
                    <w:jc w:val="right"/>
                    <w:jc w:val="center"/>
                  </w:pPr>
                  <w:r>
                    <w:t xml:space="preserve">0.0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w:t>
                  </w:r>
                </w:p>
              </w:tc>
              <w:tc>
                <w:tcPr/>
                <w:p>
                  <w:pPr>
                    <w:pStyle w:val="Compact"/>
                    <w:jc w:val="right"/>
                    <w:jc w:val="center"/>
                  </w:pPr>
                  <w:r>
                    <w:t xml:space="preserve">24.7</w:t>
                  </w:r>
                </w:p>
              </w:tc>
              <w:tc>
                <w:tcPr/>
                <w:p>
                  <w:pPr>
                    <w:pStyle w:val="Compact"/>
                    <w:jc w:val="right"/>
                    <w:jc w:val="center"/>
                  </w:pPr>
                  <w:r>
                    <w:t xml:space="preserve">21.9</w:t>
                  </w:r>
                </w:p>
              </w:tc>
              <w:tc>
                <w:tcPr/>
                <w:p>
                  <w:pPr>
                    <w:pStyle w:val="Compact"/>
                    <w:jc w:val="right"/>
                    <w:jc w:val="center"/>
                  </w:pPr>
                  <w:r>
                    <w:t xml:space="preserve">-2.8</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w:t>
                  </w:r>
                </w:p>
              </w:tc>
              <w:tc>
                <w:tcPr/>
                <w:p>
                  <w:pPr>
                    <w:pStyle w:val="Compact"/>
                    <w:jc w:val="right"/>
                    <w:jc w:val="center"/>
                  </w:pPr>
                  <w:r>
                    <w:t xml:space="preserve">24.8</w:t>
                  </w:r>
                </w:p>
              </w:tc>
              <w:tc>
                <w:tcPr/>
                <w:p>
                  <w:pPr>
                    <w:pStyle w:val="Compact"/>
                    <w:jc w:val="right"/>
                    <w:jc w:val="center"/>
                  </w:pPr>
                  <w:r>
                    <w:t xml:space="preserve">23.4</w:t>
                  </w:r>
                </w:p>
              </w:tc>
              <w:tc>
                <w:tcPr/>
                <w:p>
                  <w:pPr>
                    <w:pStyle w:val="Compact"/>
                    <w:jc w:val="right"/>
                    <w:jc w:val="center"/>
                  </w:pPr>
                  <w:r>
                    <w:t xml:space="preserve">-1.4</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w:t>
                  </w:r>
                </w:p>
              </w:tc>
              <w:tc>
                <w:tcPr/>
                <w:p>
                  <w:pPr>
                    <w:pStyle w:val="Compact"/>
                    <w:jc w:val="right"/>
                    <w:jc w:val="center"/>
                  </w:pPr>
                  <w:r>
                    <w:t xml:space="preserve">27.2</w:t>
                  </w:r>
                </w:p>
              </w:tc>
              <w:tc>
                <w:tcPr/>
                <w:p>
                  <w:pPr>
                    <w:pStyle w:val="Compact"/>
                    <w:jc w:val="right"/>
                    <w:jc w:val="center"/>
                  </w:pPr>
                  <w:r>
                    <w:t xml:space="preserve">25.2</w:t>
                  </w:r>
                </w:p>
              </w:tc>
              <w:tc>
                <w:tcPr/>
                <w:p>
                  <w:pPr>
                    <w:pStyle w:val="Compact"/>
                    <w:jc w:val="right"/>
                    <w:jc w:val="center"/>
                  </w:pPr>
                  <w:r>
                    <w:t xml:space="preserve">-2.0</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71"/>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tbl-mixdaytab"/>
          <w:p>
            <w:pPr>
              <w:jc w:val="center"/>
            </w:pPr>
            <w:pPr>
              <w:jc w:val="start"/>
              <w:spacing w:before="200"/>
              <w:pStyle w:val="Imag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1.04**</w:t>
                  </w:r>
                </w:p>
              </w:tc>
              <w:tc>
                <w:tcPr/>
                <w:p>
                  <w:pPr>
                    <w:pStyle w:val="Compact"/>
                    <w:jc w:val="left"/>
                    <w:jc w:val="center"/>
                  </w:pPr>
                  <w:r>
                    <w:t xml:space="preserve">8 (3.3)</w:t>
                  </w:r>
                </w:p>
              </w:tc>
              <w:tc>
                <w:tcPr/>
                <w:p>
                  <w:pPr>
                    <w:pStyle w:val="Compact"/>
                    <w:jc w:val="left"/>
                    <w:jc w:val="center"/>
                  </w:pPr>
                  <w:r>
                    <w:t xml:space="preserve">56 (3.3)</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1.96**</w:t>
                  </w:r>
                </w:p>
              </w:tc>
              <w:tc>
                <w:tcPr/>
                <w:p>
                  <w:pPr>
                    <w:pStyle w:val="Compact"/>
                    <w:jc w:val="left"/>
                    <w:jc w:val="center"/>
                  </w:pPr>
                  <w:r>
                    <w:t xml:space="preserve">128 (13.2)</w:t>
                  </w:r>
                </w:p>
              </w:tc>
              <w:tc>
                <w:tcPr/>
                <w:p>
                  <w:pPr>
                    <w:pStyle w:val="Compact"/>
                    <w:jc w:val="left"/>
                    <w:jc w:val="center"/>
                  </w:pPr>
                  <w:r>
                    <w:t xml:space="preserve">219 (13.2)</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0 (2.8)</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1.01**</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0.86*</w:t>
                  </w:r>
                </w:p>
              </w:tc>
              <w:tc>
                <w:tcPr/>
                <w:p>
                  <w:pPr>
                    <w:pStyle w:val="Compact"/>
                    <w:jc w:val="left"/>
                    <w:jc w:val="center"/>
                  </w:pPr>
                  <w:r>
                    <w:t xml:space="preserve">131 (12.5)</w:t>
                  </w:r>
                </w:p>
              </w:tc>
              <w:tc>
                <w:tcPr/>
                <w:p>
                  <w:pPr>
                    <w:pStyle w:val="Compact"/>
                    <w:jc w:val="left"/>
                    <w:jc w:val="center"/>
                  </w:pPr>
                  <w:r>
                    <w:t xml:space="preserve">171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0.8**</w:t>
                  </w:r>
                </w:p>
              </w:tc>
              <w:tc>
                <w:tcPr/>
                <w:p>
                  <w:pPr>
                    <w:pStyle w:val="Compact"/>
                    <w:jc w:val="left"/>
                    <w:jc w:val="center"/>
                  </w:pPr>
                  <w:r>
                    <w:t xml:space="preserve">-2 (2.8)</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9 (3.1)</w:t>
                  </w:r>
                </w:p>
              </w:tc>
              <w:tc>
                <w:tcPr/>
                <w:p>
                  <w:pPr>
                    <w:pStyle w:val="Compact"/>
                    <w:jc w:val="left"/>
                    <w:jc w:val="center"/>
                  </w:pPr>
                  <w:r>
                    <w:t xml:space="preserve">57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0.67**</w:t>
                  </w:r>
                </w:p>
              </w:tc>
              <w:tc>
                <w:tcPr/>
                <w:p>
                  <w:pPr>
                    <w:pStyle w:val="Compact"/>
                    <w:jc w:val="left"/>
                    <w:jc w:val="center"/>
                  </w:pPr>
                  <w:r>
                    <w:t xml:space="preserve">51 (11)</w:t>
                  </w:r>
                </w:p>
              </w:tc>
              <w:tc>
                <w:tcPr/>
                <w:p>
                  <w:pPr>
                    <w:pStyle w:val="Compact"/>
                    <w:jc w:val="left"/>
                    <w:jc w:val="center"/>
                  </w:pPr>
                  <w:r>
                    <w:t xml:space="preserve">82 (11)</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0.92**</w:t>
                  </w:r>
                </w:p>
              </w:tc>
              <w:tc>
                <w:tcPr/>
                <w:p>
                  <w:pPr>
                    <w:pStyle w:val="Compact"/>
                    <w:jc w:val="left"/>
                    <w:jc w:val="center"/>
                  </w:pPr>
                  <w:r>
                    <w:t xml:space="preserve">21 (3.5)</w:t>
                  </w:r>
                </w:p>
              </w:tc>
              <w:tc>
                <w:tcPr/>
                <w:p>
                  <w:pPr>
                    <w:pStyle w:val="Compact"/>
                    <w:jc w:val="left"/>
                    <w:jc w:val="center"/>
                  </w:pPr>
                  <w:r>
                    <w:t xml:space="preserve">63 (3.5)</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-0.06</w:t>
                  </w:r>
                </w:p>
              </w:tc>
              <w:tc>
                <w:tcPr/>
                <w:p>
                  <w:pPr>
                    <w:pStyle w:val="Compact"/>
                    <w:jc w:val="left"/>
                    <w:jc w:val="center"/>
                  </w:pPr>
                  <w:r>
                    <w:t xml:space="preserve">4 (1.3)</w:t>
                  </w:r>
                </w:p>
              </w:tc>
              <w:tc>
                <w:tcPr/>
                <w:p>
                  <w:pPr>
                    <w:pStyle w:val="Compact"/>
                    <w:jc w:val="left"/>
                    <w:jc w:val="center"/>
                  </w:pPr>
                  <w:r>
                    <w:t xml:space="preserve">1 (1.3)</w:t>
                  </w:r>
                </w:p>
              </w:tc>
            </w:tr>
            <w:tr>
              <w:tc>
                <w:tcPr/>
                <w:p>
                  <w:pPr>
                    <w:pStyle w:val="Compact"/>
                  </w:pPr>
                </w:p>
              </w:tc>
              <w:tc>
                <w:tcPr/>
                <w:p>
                  <w:pPr>
                    <w:pStyle w:val="Compact"/>
                    <w:jc w:val="left"/>
                    <w:jc w:val="center"/>
                  </w:pPr>
                  <w:r>
                    <w:t xml:space="preserve">Both</w:t>
                  </w:r>
                </w:p>
              </w:tc>
              <w:tc>
                <w:tcPr/>
                <w:p>
                  <w:pPr>
                    <w:pStyle w:val="Compact"/>
                    <w:jc w:val="left"/>
                    <w:jc w:val="center"/>
                  </w:pPr>
                  <w:r>
                    <w:t xml:space="preserve">0</w:t>
                  </w:r>
                </w:p>
              </w:tc>
              <w:tc>
                <w:tcPr/>
                <w:p>
                  <w:pPr>
                    <w:pStyle w:val="Compact"/>
                    <w:jc w:val="left"/>
                    <w:jc w:val="center"/>
                  </w:pPr>
                  <w:r>
                    <w:t xml:space="preserve">0 (0)</w:t>
                  </w:r>
                </w:p>
              </w:tc>
              <w:tc>
                <w:tcPr/>
                <w:p>
                  <w:pPr>
                    <w:pStyle w:val="Compact"/>
                    <w:jc w:val="left"/>
                    <w:jc w:val="center"/>
                  </w:pPr>
                  <w:r>
                    <w:t xml:space="preserve">0 (0)</w:t>
                  </w:r>
                </w:p>
              </w:tc>
            </w:tr>
          </w:tbl>
          <w:bookmarkEnd w:id="72"/>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3" w:name="tbl-modtab"/>
          <w:p>
            <w:pPr>
              <w:jc w:val="center"/>
            </w:pPr>
            <w:pPr>
              <w:jc w:val="start"/>
              <w:spacing w:before="200"/>
              <w:pStyle w:val="Imag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Model</w:t>
                  </w:r>
                </w:p>
              </w:tc>
              <w:tc>
                <w:tcPr/>
                <w:p>
                  <w:pPr>
                    <w:pStyle w:val="Compact"/>
                    <w:jc w:val="left"/>
                    <w:jc w:val="center"/>
                  </w:pPr>
                  <w:r>
                    <w:t xml:space="preserve">Term</w:t>
                  </w:r>
                </w:p>
              </w:tc>
              <w:tc>
                <w:tcPr/>
                <w:p>
                  <w:pPr>
                    <w:pStyle w:val="Compact"/>
                    <w:jc w:val="left"/>
                    <w:jc w:val="center"/>
                  </w:pPr>
                  <w:r>
                    <w:t xml:space="preserve">Estimate</w:t>
                  </w:r>
                </w:p>
              </w:tc>
              <w:tc>
                <w:tcPr/>
                <w:p>
                  <w:pPr>
                    <w:pStyle w:val="Compact"/>
                    <w:jc w:val="left"/>
                    <w:jc w:val="center"/>
                  </w:pPr>
                  <w:r>
                    <w:t xml:space="preserve">t-statistic</w:t>
                  </w:r>
                </w:p>
              </w:tc>
            </w:tr>
            <w:tr>
              <w:tc>
                <w:tcPr/>
                <w:p>
                  <w:pPr>
                    <w:pStyle w:val="Compact"/>
                    <w:jc w:val="left"/>
                    <w:jc w:val="center"/>
                  </w:pPr>
                  <w:r>
                    <w:t xml:space="preserve">EPC 1</w:t>
                  </w:r>
                </w:p>
              </w:tc>
              <w:tc>
                <w:tcPr/>
                <w:p>
                  <w:pPr>
                    <w:pStyle w:val="Compact"/>
                    <w:jc w:val="left"/>
                    <w:jc w:val="center"/>
                  </w:pPr>
                  <w:r>
                    <w:t xml:space="preserve">Sal</w:t>
                  </w:r>
                </w:p>
              </w:tc>
              <w:tc>
                <w:tcPr/>
                <w:p>
                  <w:pPr>
                    <w:pStyle w:val="Compact"/>
                    <w:jc w:val="left"/>
                    <w:jc w:val="center"/>
                  </w:pPr>
                  <w:r>
                    <w:t xml:space="preserve">0.00069 (0.00037)</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w:t>
                  </w:r>
                </w:p>
              </w:tc>
              <w:tc>
                <w:tcPr/>
                <w:p>
                  <w:pPr>
                    <w:pStyle w:val="Compact"/>
                    <w:jc w:val="left"/>
                    <w:jc w:val="center"/>
                  </w:pPr>
                  <w:r>
                    <w:t xml:space="preserve">0.0035 (0.0013)</w:t>
                  </w:r>
                </w:p>
              </w:tc>
              <w:tc>
                <w:tcPr/>
                <w:p>
                  <w:pPr>
                    <w:pStyle w:val="Compact"/>
                    <w:jc w:val="left"/>
                    <w:jc w:val="center"/>
                  </w:pPr>
                  <w:r>
                    <w:t xml:space="preserve">2.6*</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0.48 (0.28)</w:t>
                  </w:r>
                </w:p>
              </w:tc>
              <w:tc>
                <w:tcPr/>
                <w:p>
                  <w:pPr>
                    <w:pStyle w:val="Compact"/>
                    <w:jc w:val="left"/>
                    <w:jc w:val="center"/>
                  </w:pPr>
                  <w:r>
                    <w:t xml:space="preserve">1.7</w:t>
                  </w:r>
                  <m:oMath>
                    <m:sSup>
                      <m:e>
                        <m:r>
                          <m:t>​</m:t>
                        </m:r>
                      </m:e>
                      <m:sup>
                        <m:r>
                          <m:rPr>
                            <m:sty m:val="p"/>
                          </m:rPr>
                          <m:t>.</m:t>
                        </m:r>
                      </m:sup>
                    </m:sSup>
                  </m:oMath>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-0.39 (0.042)</w:t>
                  </w:r>
                </w:p>
              </w:tc>
              <w:tc>
                <w:tcPr/>
                <w:p>
                  <w:pPr>
                    <w:pStyle w:val="Compact"/>
                    <w:jc w:val="left"/>
                    <w:jc w:val="center"/>
                  </w:pPr>
                  <w:r>
                    <w:t xml:space="preserve">-9.3**</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-0.12 (0.047)</w:t>
                  </w:r>
                </w:p>
              </w:tc>
              <w:tc>
                <w:tcPr/>
                <w:p>
                  <w:pPr>
                    <w:pStyle w:val="Compact"/>
                    <w:jc w:val="left"/>
                    <w:jc w:val="center"/>
                  </w:pPr>
                  <w:r>
                    <w:t xml:space="preserve">-2.6*</w:t>
                  </w:r>
                </w:p>
              </w:tc>
            </w:tr>
            <w:tr>
              <w:tc>
                <w:tcPr/>
                <w:p>
                  <w:pPr>
                    <w:pStyle w:val="Compact"/>
                  </w:pPr>
                </w:p>
              </w:tc>
              <w:tc>
                <w:tcPr/>
                <w:p>
                  <w:pPr>
                    <w:pStyle w:val="Compact"/>
                    <w:jc w:val="left"/>
                    <w:jc w:val="center"/>
                  </w:pPr>
                  <w:r>
                    <w:t xml:space="preserve">Sal:Temp</w:t>
                  </w:r>
                </w:p>
              </w:tc>
              <w:tc>
                <w:tcPr/>
                <w:p>
                  <w:pPr>
                    <w:pStyle w:val="Compact"/>
                    <w:jc w:val="left"/>
                    <w:jc w:val="center"/>
                  </w:pPr>
                  <w:r>
                    <w:t xml:space="preserve">-1.3e-05 (7.5e-06)</w:t>
                  </w:r>
                </w:p>
              </w:tc>
              <w:tc>
                <w:tcPr/>
                <w:p>
                  <w:pPr>
                    <w:pStyle w:val="Compact"/>
                    <w:jc w:val="left"/>
                    <w:jc w:val="center"/>
                  </w:pPr>
                  <w:r>
                    <w:t xml:space="preserve">-1.7</w:t>
                  </w:r>
                  <m:oMath>
                    <m:sSup>
                      <m:e>
                        <m:r>
                          <m:t>​</m:t>
                        </m:r>
                      </m:e>
                      <m:sup>
                        <m:r>
                          <m:rPr>
                            <m:sty m:val="p"/>
                          </m:rPr>
                          <m:t>.</m:t>
                        </m:r>
                      </m:sup>
                    </m:sSup>
                  </m:oMath>
                </w:p>
              </w:tc>
            </w:tr>
            <w:tr>
              <w:tc>
                <w:tcPr/>
                <w:p>
                  <w:pPr>
                    <w:pStyle w:val="Compact"/>
                  </w:pPr>
                </w:p>
              </w:tc>
              <w:tc>
                <w:tcPr/>
                <w:p>
                  <w:pPr>
                    <w:pStyle w:val="Compact"/>
                    <w:jc w:val="left"/>
                    <w:jc w:val="center"/>
                  </w:pPr>
                  <w:r>
                    <w:t xml:space="preserve">Sal:Time_post</w:t>
                  </w:r>
                </w:p>
              </w:tc>
              <w:tc>
                <w:tcPr/>
                <w:p>
                  <w:pPr>
                    <w:pStyle w:val="Compact"/>
                    <w:jc w:val="left"/>
                    <w:jc w:val="center"/>
                  </w:pPr>
                  <w:r>
                    <w:t xml:space="preserve">-0.0027 (0.0015)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-0.0056 (0.0052)</w:t>
                  </w:r>
                </w:p>
              </w:tc>
              <w:tc>
                <w:tcPr/>
                <w:p>
                  <w:pPr>
                    <w:pStyle w:val="Compact"/>
                    <w:jc w:val="left"/>
                    <w:jc w:val="center"/>
                  </w:pPr>
                  <w:r>
                    <w:t xml:space="preserve">-1.1</w:t>
                  </w:r>
                </w:p>
              </w:tc>
            </w:tr>
            <w:tr>
              <w:tc>
                <w:tcPr/>
                <w:p>
                  <w:pPr>
                    <w:pStyle w:val="Compact"/>
                  </w:pPr>
                </w:p>
              </w:tc>
              <w:tc>
                <w:tcPr/>
                <w:p>
                  <w:pPr>
                    <w:pStyle w:val="Compact"/>
                    <w:jc w:val="left"/>
                    <w:jc w:val="center"/>
                  </w:pPr>
                  <w:r>
                    <w:t xml:space="preserve">Sal:Temp:Time_post</w:t>
                  </w:r>
                </w:p>
              </w:tc>
              <w:tc>
                <w:tcPr/>
                <w:p>
                  <w:pPr>
                    <w:pStyle w:val="Compact"/>
                    <w:jc w:val="left"/>
                    <w:jc w:val="center"/>
                  </w:pPr>
                  <w:r>
                    <w:t xml:space="preserve">3.6e-05 (2.6e-05)</w:t>
                  </w:r>
                </w:p>
              </w:tc>
              <w:tc>
                <w:tcPr/>
                <w:p>
                  <w:pPr>
                    <w:pStyle w:val="Compact"/>
                    <w:jc w:val="left"/>
                    <w:jc w:val="center"/>
                  </w:pPr>
                  <w:r>
                    <w:t xml:space="preserve">1.4</w:t>
                  </w:r>
                </w:p>
              </w:tc>
            </w:tr>
            <w:tr>
              <w:tc>
                <w:tcPr/>
                <w:p>
                  <w:pPr>
                    <w:pStyle w:val="Compact"/>
                    <w:jc w:val="left"/>
                    <w:jc w:val="center"/>
                  </w:pPr>
                  <w:r>
                    <w:t xml:space="preserve">EPC 2</w:t>
                  </w:r>
                </w:p>
              </w:tc>
              <w:tc>
                <w:tcPr/>
                <w:p>
                  <w:pPr>
                    <w:pStyle w:val="Compact"/>
                    <w:jc w:val="left"/>
                    <w:jc w:val="center"/>
                  </w:pPr>
                  <w:r>
                    <w:t xml:space="preserve">Both</w:t>
                  </w:r>
                </w:p>
              </w:tc>
              <w:tc>
                <w:tcPr/>
                <w:p>
                  <w:pPr>
                    <w:pStyle w:val="Compact"/>
                    <w:jc w:val="left"/>
                    <w:jc w:val="center"/>
                  </w:pPr>
                  <w:r>
                    <w:t xml:space="preserve">0.0028 (0.00082)</w:t>
                  </w:r>
                </w:p>
              </w:tc>
              <w:tc>
                <w:tcPr/>
                <w:p>
                  <w:pPr>
                    <w:pStyle w:val="Compact"/>
                    <w:jc w:val="left"/>
                    <w:jc w:val="center"/>
                  </w:pPr>
                  <w:r>
                    <w:t xml:space="preserve">3.4**</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0.059 (0.039)</w:t>
                  </w:r>
                </w:p>
              </w:tc>
              <w:tc>
                <w:tcPr/>
                <w:p>
                  <w:pPr>
                    <w:pStyle w:val="Compact"/>
                    <w:jc w:val="left"/>
                    <w:jc w:val="center"/>
                  </w:pPr>
                  <w:r>
                    <w:t xml:space="preserve">1.5</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-0.38 (0.04)</w:t>
                  </w:r>
                </w:p>
              </w:tc>
              <w:tc>
                <w:tcPr/>
                <w:p>
                  <w:pPr>
                    <w:pStyle w:val="Compact"/>
                    <w:jc w:val="left"/>
                    <w:jc w:val="center"/>
                  </w:pPr>
                  <w:r>
                    <w:t xml:space="preserve">-9.4**</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-0.062 (0.042)</w:t>
                  </w:r>
                </w:p>
              </w:tc>
              <w:tc>
                <w:tcPr/>
                <w:p>
                  <w:pPr>
                    <w:pStyle w:val="Compact"/>
                    <w:jc w:val="left"/>
                    <w:jc w:val="center"/>
                  </w:pPr>
                  <w:r>
                    <w:t xml:space="preserve">-1.5</w:t>
                  </w:r>
                </w:p>
              </w:tc>
            </w:tr>
            <w:tr>
              <w:tc>
                <w:tcPr/>
                <w:p>
                  <w:pPr>
                    <w:pStyle w:val="Compact"/>
                    <w:jc w:val="left"/>
                    <w:jc w:val="center"/>
                  </w:pPr>
                  <w:r>
                    <w:t xml:space="preserve">FIM</w:t>
                  </w:r>
                </w:p>
              </w:tc>
              <w:tc>
                <w:tcPr/>
                <w:p>
                  <w:pPr>
                    <w:pStyle w:val="Compact"/>
                    <w:jc w:val="left"/>
                    <w:jc w:val="center"/>
                  </w:pPr>
                  <w:r>
                    <w:t xml:space="preserve">Sal</w:t>
                  </w:r>
                </w:p>
              </w:tc>
              <w:tc>
                <w:tcPr/>
                <w:p>
                  <w:pPr>
                    <w:pStyle w:val="Compact"/>
                    <w:jc w:val="left"/>
                    <w:jc w:val="center"/>
                  </w:pPr>
                  <w:r>
                    <w:t xml:space="preserve">0.043 (0.22)</w:t>
                  </w:r>
                </w:p>
              </w:tc>
              <w:tc>
                <w:tcPr/>
                <w:p>
                  <w:pPr>
                    <w:pStyle w:val="Compact"/>
                    <w:jc w:val="left"/>
                    <w:jc w:val="center"/>
                  </w:pPr>
                  <w:r>
                    <w:t xml:space="preserve">0.2</w:t>
                  </w:r>
                </w:p>
              </w:tc>
            </w:tr>
            <w:tr>
              <w:tc>
                <w:tcPr/>
                <w:p>
                  <w:pPr>
                    <w:pStyle w:val="Compact"/>
                  </w:pPr>
                </w:p>
              </w:tc>
              <w:tc>
                <w:tcPr/>
                <w:p>
                  <w:pPr>
                    <w:pStyle w:val="Compact"/>
                    <w:jc w:val="left"/>
                    <w:jc w:val="center"/>
                  </w:pPr>
                  <w:r>
                    <w:t xml:space="preserve">Temp</w:t>
                  </w:r>
                </w:p>
              </w:tc>
              <w:tc>
                <w:tcPr/>
                <w:p>
                  <w:pPr>
                    <w:pStyle w:val="Compact"/>
                    <w:jc w:val="left"/>
                    <w:jc w:val="center"/>
                  </w:pPr>
                  <w:r>
                    <w:t xml:space="preserve">0.052 (0.42)</w:t>
                  </w:r>
                </w:p>
              </w:tc>
              <w:tc>
                <w:tcPr/>
                <w:p>
                  <w:pPr>
                    <w:pStyle w:val="Compact"/>
                    <w:jc w:val="left"/>
                    <w:jc w:val="center"/>
                  </w:pPr>
                  <w:r>
                    <w:t xml:space="preserve">0.12</w:t>
                  </w:r>
                </w:p>
              </w:tc>
            </w:tr>
            <w:tr>
              <w:tc>
                <w:tcPr/>
                <w:p>
                  <w:pPr>
                    <w:pStyle w:val="Compact"/>
                  </w:pPr>
                </w:p>
              </w:tc>
              <w:tc>
                <w:tcPr/>
                <w:p>
                  <w:pPr>
                    <w:pStyle w:val="Compact"/>
                    <w:jc w:val="left"/>
                    <w:jc w:val="center"/>
                  </w:pPr>
                  <w:r>
                    <w:t xml:space="preserve">Time_post</w:t>
                  </w:r>
                </w:p>
              </w:tc>
              <w:tc>
                <w:tcPr/>
                <w:p>
                  <w:pPr>
                    <w:pStyle w:val="Compact"/>
                    <w:jc w:val="left"/>
                    <w:jc w:val="center"/>
                  </w:pPr>
                  <w:r>
                    <w:t xml:space="preserve">52 ( 32)</w:t>
                  </w:r>
                </w:p>
              </w:tc>
              <w:tc>
                <w:tcPr/>
                <w:p>
                  <w:pPr>
                    <w:pStyle w:val="Compact"/>
                    <w:jc w:val="left"/>
                    <w:jc w:val="center"/>
                  </w:pPr>
                  <w:r>
                    <w:t xml:space="preserve">1.6</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33 (2.5)</w:t>
                  </w:r>
                </w:p>
              </w:tc>
              <w:tc>
                <w:tcPr/>
                <w:p>
                  <w:pPr>
                    <w:pStyle w:val="Compact"/>
                    <w:jc w:val="left"/>
                    <w:jc w:val="center"/>
                  </w:pPr>
                  <w:r>
                    <w:t xml:space="preserve">13**</w:t>
                  </w:r>
                </w:p>
              </w:tc>
            </w:tr>
            <w:tr>
              <w:tc>
                <w:tcPr/>
                <w:p>
                  <w:pPr>
                    <w:pStyle w:val="Compact"/>
                  </w:pPr>
                </w:p>
              </w:tc>
              <w:tc>
                <w:tcPr/>
                <w:p>
                  <w:pPr>
                    <w:pStyle w:val="Compact"/>
                    <w:jc w:val="left"/>
                    <w:jc w:val="center"/>
                  </w:pPr>
                  <w:r>
                    <w:t xml:space="preserve">Baysegment_OTB</w:t>
                  </w:r>
                </w:p>
              </w:tc>
              <w:tc>
                <w:tcPr/>
                <w:p>
                  <w:pPr>
                    <w:pStyle w:val="Compact"/>
                    <w:jc w:val="left"/>
                    <w:jc w:val="center"/>
                  </w:pPr>
                  <w:r>
                    <w:t xml:space="preserve">28 (2.2)</w:t>
                  </w:r>
                </w:p>
              </w:tc>
              <w:tc>
                <w:tcPr/>
                <w:p>
                  <w:pPr>
                    <w:pStyle w:val="Compact"/>
                    <w:jc w:val="left"/>
                    <w:jc w:val="center"/>
                  </w:pPr>
                  <w:r>
                    <w:t xml:space="preserve">13**</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0.93 (0.5)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-2.4 (1.1)</w:t>
                  </w:r>
                </w:p>
              </w:tc>
              <w:tc>
                <w:tcPr/>
                <w:p>
                  <w:pPr>
                    <w:pStyle w:val="Compact"/>
                    <w:jc w:val="left"/>
                    <w:jc w:val="center"/>
                  </w:pPr>
                  <w:r>
                    <w:t xml:space="preserve">-2.2*</w:t>
                  </w:r>
                </w:p>
              </w:tc>
            </w:tr>
            <w:tr>
              <w:tc>
                <w:tcPr/>
                <w:p>
                  <w:pPr>
                    <w:pStyle w:val="Compact"/>
                    <w:jc w:val="left"/>
                    <w:jc w:val="center"/>
                  </w:pPr>
                  <w:r>
                    <w:t xml:space="preserve">PDEM</w:t>
                  </w:r>
                </w:p>
              </w:tc>
              <w:tc>
                <w:tcPr/>
                <w:p>
                  <w:pPr>
                    <w:pStyle w:val="Compact"/>
                    <w:jc w:val="left"/>
                    <w:jc w:val="center"/>
                  </w:pPr>
                  <w:r>
                    <w:t xml:space="preserve">Time_post</w:t>
                  </w:r>
                </w:p>
              </w:tc>
              <w:tc>
                <w:tcPr/>
                <w:p>
                  <w:pPr>
                    <w:pStyle w:val="Compact"/>
                    <w:jc w:val="left"/>
                    <w:jc w:val="center"/>
                  </w:pPr>
                  <w:r>
                    <w:t xml:space="preserve">-0.45 (0.24)</w:t>
                  </w:r>
                </w:p>
              </w:tc>
              <w:tc>
                <w:tcPr/>
                <w:p>
                  <w:pPr>
                    <w:pStyle w:val="Compact"/>
                    <w:jc w:val="left"/>
                    <w:jc w:val="center"/>
                  </w:pPr>
                  <w:r>
                    <w:t xml:space="preserve">-1.8</w:t>
                  </w:r>
                  <m:oMath>
                    <m:sSup>
                      <m:e>
                        <m:r>
                          <m:t>​</m:t>
                        </m:r>
                      </m:e>
                      <m:sup>
                        <m:r>
                          <m:rPr>
                            <m:sty m:val="p"/>
                          </m:rPr>
                          <m:t>.</m:t>
                        </m:r>
                      </m:sup>
                    </m:sSup>
                  </m:oMath>
                </w:p>
              </w:tc>
            </w:tr>
          </w:tbl>
          <w:bookmarkEnd w:id="73"/>
          <w:p/>
        </w:tc>
      </w:tr>
    </w:tbl>
    <w:p>
      <w:r>
        <w:br w:type="page"/>
      </w:r>
    </w:p>
    <w:bookmarkEnd w:id="74"/>
    <w:bookmarkStart w:id="272" w:name="references"/>
    <w:p>
      <w:pPr>
        <w:pStyle w:val="Heading2"/>
      </w:pPr>
      <w:r>
        <w:t xml:space="preserve">References</w:t>
      </w:r>
    </w:p>
    <w:bookmarkStart w:id="271" w:name="refs"/>
    <w:bookmarkStart w:id="76"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5">
        <w:r>
          <w:rPr>
            <w:rStyle w:val="Hyperlink"/>
          </w:rPr>
          <w:t xml:space="preserve">https://doi.org/10.1016/j.ocecoaman.2023.106929</w:t>
        </w:r>
      </w:hyperlink>
      <w:r>
        <w:t xml:space="preserve">.</w:t>
      </w:r>
    </w:p>
    <w:bookmarkEnd w:id="76"/>
    <w:bookmarkStart w:id="78" w:name="ref-araújo2006"/>
    <w:p>
      <w:pPr>
        <w:pStyle w:val="Bibliography"/>
      </w:pPr>
      <w:r>
        <w:t xml:space="preserve">Araújo, M. B., and A. Guisan. 2006. Five (or so) challenges for species distribution modelling.</w:t>
      </w:r>
      <w:r>
        <w:t xml:space="preserve"> </w:t>
      </w:r>
      <w:r>
        <w:rPr>
          <w:iCs/>
          <w:i/>
        </w:rPr>
        <w:t xml:space="preserve">Journal of Biogeography</w:t>
      </w:r>
      <w:r>
        <w:t xml:space="preserve"> </w:t>
      </w:r>
      <w:r>
        <w:t xml:space="preserve">33: 1677–1688.</w:t>
      </w:r>
      <w:r>
        <w:t xml:space="preserve"> </w:t>
      </w:r>
      <w:hyperlink r:id="rId77">
        <w:r>
          <w:rPr>
            <w:rStyle w:val="Hyperlink"/>
          </w:rPr>
          <w:t xml:space="preserve">https://doi.org/10.1111/j.1365-2699.2006.01584.x</w:t>
        </w:r>
      </w:hyperlink>
      <w:r>
        <w:t xml:space="preserve">.</w:t>
      </w:r>
    </w:p>
    <w:bookmarkEnd w:id="78"/>
    <w:bookmarkStart w:id="80"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9">
        <w:r>
          <w:rPr>
            <w:rStyle w:val="Hyperlink"/>
          </w:rPr>
          <w:t xml:space="preserve">https://doi.org/10.18637/jss.v067.i01</w:t>
        </w:r>
      </w:hyperlink>
      <w:r>
        <w:t xml:space="preserve">.</w:t>
      </w:r>
    </w:p>
    <w:bookmarkEnd w:id="80"/>
    <w:bookmarkStart w:id="82" w:name="ref-Beck20a"/>
    <w:p>
      <w:pPr>
        <w:pStyle w:val="Bibliography"/>
      </w:pPr>
      <w:r>
        <w:t xml:space="preserve">Beck, M. W. 2020a.</w:t>
      </w:r>
      <w:r>
        <w:t xml:space="preserve"> </w:t>
      </w:r>
      <w:r>
        <w:t xml:space="preserve">t</w:t>
      </w:r>
      <w:r>
        <w:t xml:space="preserve">bep-tech/wq-dash: v1.0 (version v1.0). Zenodo.</w:t>
      </w:r>
      <w:r>
        <w:t xml:space="preserve"> </w:t>
      </w:r>
      <w:hyperlink r:id="rId81">
        <w:r>
          <w:rPr>
            <w:rStyle w:val="Hyperlink"/>
          </w:rPr>
          <w:t xml:space="preserve">https://doi.org/10.5281/zenodo.3648664</w:t>
        </w:r>
      </w:hyperlink>
      <w:r>
        <w:t xml:space="preserve">.</w:t>
      </w:r>
    </w:p>
    <w:bookmarkEnd w:id="82"/>
    <w:bookmarkStart w:id="84" w:name="ref-Beck20b"/>
    <w:p>
      <w:pPr>
        <w:pStyle w:val="Bibliography"/>
      </w:pPr>
      <w:r>
        <w:t xml:space="preserve">Beck, M. W. 2020b.</w:t>
      </w:r>
      <w:r>
        <w:t xml:space="preserve"> </w:t>
      </w:r>
      <w:r>
        <w:t xml:space="preserve">t</w:t>
      </w:r>
      <w:r>
        <w:t xml:space="preserve">bep-tech/seagrasstransect-dash: v1.0 (version v1.0). Zenodo.</w:t>
      </w:r>
      <w:r>
        <w:t xml:space="preserve"> </w:t>
      </w:r>
      <w:hyperlink r:id="rId83">
        <w:r>
          <w:rPr>
            <w:rStyle w:val="Hyperlink"/>
          </w:rPr>
          <w:t xml:space="preserve">https://doi.org/10.5281/zenodo.4319936</w:t>
        </w:r>
      </w:hyperlink>
      <w:r>
        <w:t xml:space="preserve">.</w:t>
      </w:r>
    </w:p>
    <w:bookmarkEnd w:id="84"/>
    <w:bookmarkStart w:id="86"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85">
        <w:r>
          <w:rPr>
            <w:rStyle w:val="Hyperlink"/>
          </w:rPr>
          <w:t xml:space="preserve">https://doi.org/10.1016/j.marpolbul.2022.113598</w:t>
        </w:r>
      </w:hyperlink>
      <w:r>
        <w:t xml:space="preserve">.</w:t>
      </w:r>
    </w:p>
    <w:bookmarkEnd w:id="86"/>
    <w:bookmarkStart w:id="88" w:name="ref-tbep0323"/>
    <w:p>
      <w:pPr>
        <w:pStyle w:val="Bibliography"/>
      </w:pPr>
      <w:r>
        <w:t xml:space="preserve">Beck, M. W., M. C. Burke, and E. T. Sherwood. 2023.</w:t>
      </w:r>
      <w:r>
        <w:t xml:space="preserve"> </w:t>
      </w:r>
      <w:hyperlink r:id="rId87">
        <w:r>
          <w:rPr>
            <w:rStyle w:val="Hyperlink"/>
            <w:iCs/>
            <w:i/>
          </w:rPr>
          <w:t xml:space="preserve">2022</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water quality assessment</w:t>
        </w:r>
      </w:hyperlink>
      <w:r>
        <w:t xml:space="preserve">. 03-23. St. Petersburg, Florida: Tampa Bay Estuary Program.</w:t>
      </w:r>
    </w:p>
    <w:bookmarkEnd w:id="88"/>
    <w:bookmarkStart w:id="90"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89">
        <w:r>
          <w:rPr>
            <w:rStyle w:val="Hyperlink"/>
          </w:rPr>
          <w:t xml:space="preserve">https://doi.org/10.3389/fevo.2023.1070266</w:t>
        </w:r>
      </w:hyperlink>
      <w:r>
        <w:t xml:space="preserve">.</w:t>
      </w:r>
    </w:p>
    <w:bookmarkEnd w:id="90"/>
    <w:bookmarkStart w:id="92"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91">
        <w:r>
          <w:rPr>
            <w:rStyle w:val="Hyperlink"/>
          </w:rPr>
          <w:t xml:space="preserve">https://doi.org/10.21105/joss.03485</w:t>
        </w:r>
      </w:hyperlink>
      <w:r>
        <w:t xml:space="preserve">.</w:t>
      </w:r>
    </w:p>
    <w:bookmarkEnd w:id="92"/>
    <w:bookmarkStart w:id="94"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93">
        <w:r>
          <w:rPr>
            <w:rStyle w:val="Hyperlink"/>
          </w:rPr>
          <w:t xml:space="preserve">https://doi.org/10.1007/s12237-019-00619-w</w:t>
        </w:r>
      </w:hyperlink>
      <w:r>
        <w:t xml:space="preserve">.</w:t>
      </w:r>
    </w:p>
    <w:bookmarkEnd w:id="94"/>
    <w:bookmarkStart w:id="96" w:name="ref-begueria23"/>
    <w:p>
      <w:pPr>
        <w:pStyle w:val="Bibliography"/>
      </w:pPr>
      <w:r>
        <w:t xml:space="preserve">Beguería, S., and S. M. Vicente-Serrano. 2023.</w:t>
      </w:r>
      <w:r>
        <w:t xml:space="preserve"> </w:t>
      </w:r>
      <w:hyperlink r:id="rId95">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96"/>
    <w:bookmarkStart w:id="98"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97">
        <w:r>
          <w:rPr>
            <w:rStyle w:val="Hyperlink"/>
          </w:rPr>
          <w:t xml:space="preserve">https://doi.org/10.1002/joc.3887</w:t>
        </w:r>
      </w:hyperlink>
      <w:r>
        <w:t xml:space="preserve">.</w:t>
      </w:r>
    </w:p>
    <w:bookmarkEnd w:id="98"/>
    <w:bookmarkStart w:id="100"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9">
        <w:r>
          <w:rPr>
            <w:rStyle w:val="Hyperlink"/>
          </w:rPr>
          <w:t xml:space="preserve">https://doi.org/10.3354/meps147277</w:t>
        </w:r>
      </w:hyperlink>
      <w:r>
        <w:t xml:space="preserve">.</w:t>
      </w:r>
    </w:p>
    <w:bookmarkEnd w:id="100"/>
    <w:bookmarkStart w:id="102" w:name="ref-blakesley2001"/>
    <w:p>
      <w:pPr>
        <w:pStyle w:val="Bibliography"/>
      </w:pPr>
      <w:r>
        <w:t xml:space="preserve">Blakesley, B., P. Hall, D. Berns, J. Hyniova, M. Merello, and R. Conroy. 2001.</w:t>
      </w:r>
      <w:r>
        <w:t xml:space="preserve"> </w:t>
      </w:r>
      <w:hyperlink r:id="rId101">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102"/>
    <w:bookmarkStart w:id="104"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03">
        <w:r>
          <w:rPr>
            <w:rStyle w:val="Hyperlink"/>
          </w:rPr>
          <w:t xml:space="preserve">https://doi.org/10.2134/jeq2001.302303x</w:t>
        </w:r>
      </w:hyperlink>
      <w:r>
        <w:t xml:space="preserve">.</w:t>
      </w:r>
    </w:p>
    <w:bookmarkEnd w:id="104"/>
    <w:bookmarkStart w:id="106"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05">
        <w:r>
          <w:rPr>
            <w:rStyle w:val="Hyperlink"/>
          </w:rPr>
          <w:t xml:space="preserve">https://doi.org/10.1111/1365-2664.13169</w:t>
        </w:r>
      </w:hyperlink>
      <w:r>
        <w:t xml:space="preserve">.</w:t>
      </w:r>
    </w:p>
    <w:bookmarkEnd w:id="106"/>
    <w:bookmarkStart w:id="108"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07">
        <w:r>
          <w:rPr>
            <w:rStyle w:val="Hyperlink"/>
          </w:rPr>
          <w:t xml:space="preserve">https://doi.org/10.1016/j.ecolind.2023.111035</w:t>
        </w:r>
      </w:hyperlink>
      <w:r>
        <w:t xml:space="preserve">.</w:t>
      </w:r>
    </w:p>
    <w:bookmarkEnd w:id="108"/>
    <w:bookmarkStart w:id="110"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09">
        <w:r>
          <w:rPr>
            <w:rStyle w:val="Hyperlink"/>
          </w:rPr>
          <w:t xml:space="preserve">https://doi.org/10.2307/1352383</w:t>
        </w:r>
      </w:hyperlink>
      <w:r>
        <w:t xml:space="preserve">.</w:t>
      </w:r>
    </w:p>
    <w:bookmarkEnd w:id="110"/>
    <w:bookmarkStart w:id="112"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11">
        <w:r>
          <w:rPr>
            <w:rStyle w:val="Hyperlink"/>
          </w:rPr>
          <w:t xml:space="preserve">https://doi.org/10.1016/j.jembe.2007.06.024</w:t>
        </w:r>
      </w:hyperlink>
      <w:r>
        <w:t xml:space="preserve">.</w:t>
      </w:r>
    </w:p>
    <w:bookmarkEnd w:id="112"/>
    <w:bookmarkStart w:id="114" w:name="ref-carlson2018"/>
    <w:p>
      <w:pPr>
        <w:pStyle w:val="Bibliography"/>
      </w:pPr>
      <w:r>
        <w:t xml:space="preserve">Carlson, D. F., L. A. Yarbro, S. Scolaro, M. Poniatowski, V. McGee-Absten, and P. R. Carlson. 2018. Sea surface temperatures and seagrass mortality in</w:t>
      </w:r>
      <w:r>
        <w:t xml:space="preserve"> </w:t>
      </w:r>
      <w:r>
        <w:t xml:space="preserve">F</w:t>
      </w:r>
      <w:r>
        <w:t xml:space="preserve">lorida</w:t>
      </w:r>
      <w:r>
        <w:t xml:space="preserve"> </w:t>
      </w:r>
      <w:r>
        <w:t xml:space="preserve">B</w:t>
      </w:r>
      <w:r>
        <w:t xml:space="preserve">ay: Spatial and temporal patterns discerned from</w:t>
      </w:r>
      <w:r>
        <w:t xml:space="preserve"> </w:t>
      </w:r>
      <w:r>
        <w:t xml:space="preserve">MODIS</w:t>
      </w:r>
      <w:r>
        <w:t xml:space="preserve"> </w:t>
      </w:r>
      <w:r>
        <w:t xml:space="preserve">and</w:t>
      </w:r>
      <w:r>
        <w:t xml:space="preserve"> </w:t>
      </w:r>
      <w:r>
        <w:t xml:space="preserve">AVHRR</w:t>
      </w:r>
      <w:r>
        <w:t xml:space="preserve"> </w:t>
      </w:r>
      <w:r>
        <w:t xml:space="preserve">data.</w:t>
      </w:r>
      <w:r>
        <w:t xml:space="preserve"> </w:t>
      </w:r>
      <w:r>
        <w:rPr>
          <w:iCs/>
          <w:i/>
        </w:rPr>
        <w:t xml:space="preserve">Remote Sensing of Environment</w:t>
      </w:r>
      <w:r>
        <w:t xml:space="preserve"> </w:t>
      </w:r>
      <w:r>
        <w:t xml:space="preserve">208: 171–188.</w:t>
      </w:r>
      <w:r>
        <w:t xml:space="preserve"> </w:t>
      </w:r>
      <w:hyperlink r:id="rId113">
        <w:r>
          <w:rPr>
            <w:rStyle w:val="Hyperlink"/>
          </w:rPr>
          <w:t xml:space="preserve">https://doi.org/10.1016/j.rse.2018.02.014</w:t>
        </w:r>
      </w:hyperlink>
      <w:r>
        <w:t xml:space="preserve">.</w:t>
      </w:r>
    </w:p>
    <w:bookmarkEnd w:id="114"/>
    <w:bookmarkStart w:id="116" w:name="ref-chamberlain23"/>
    <w:p>
      <w:pPr>
        <w:pStyle w:val="Bibliography"/>
      </w:pPr>
      <w:r>
        <w:t xml:space="preserve">Chamberlain, S., and D. Hocking. 2023.</w:t>
      </w:r>
      <w:r>
        <w:t xml:space="preserve"> </w:t>
      </w:r>
      <w:hyperlink r:id="rId115">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16"/>
    <w:bookmarkStart w:id="118"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17">
        <w:r>
          <w:rPr>
            <w:rStyle w:val="Hyperlink"/>
          </w:rPr>
          <w:t xml:space="preserve">https://doi.org/10.1016/j.ocecoaman.2023.106490</w:t>
        </w:r>
      </w:hyperlink>
      <w:r>
        <w:t xml:space="preserve">.</w:t>
      </w:r>
    </w:p>
    <w:bookmarkEnd w:id="118"/>
    <w:bookmarkStart w:id="120"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19">
        <w:r>
          <w:rPr>
            <w:rStyle w:val="Hyperlink"/>
          </w:rPr>
          <w:t xml:space="preserve">https://doi.org/10.1016/j.jenvman.2018.01.025</w:t>
        </w:r>
      </w:hyperlink>
      <w:r>
        <w:t xml:space="preserve">.</w:t>
      </w:r>
    </w:p>
    <w:bookmarkEnd w:id="120"/>
    <w:bookmarkStart w:id="122"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21">
        <w:r>
          <w:rPr>
            <w:rStyle w:val="Hyperlink"/>
          </w:rPr>
          <w:t xml:space="preserve">https://doi.org/10.1080/00785236.1995.10422039</w:t>
        </w:r>
      </w:hyperlink>
      <w:r>
        <w:t xml:space="preserve">.</w:t>
      </w:r>
    </w:p>
    <w:bookmarkEnd w:id="122"/>
    <w:bookmarkStart w:id="124"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23">
        <w:r>
          <w:rPr>
            <w:rStyle w:val="Hyperlink"/>
          </w:rPr>
          <w:t xml:space="preserve">https://doi.org/10.1007/s12237-008-9038-7</w:t>
        </w:r>
      </w:hyperlink>
      <w:r>
        <w:t xml:space="preserve">.</w:t>
      </w:r>
    </w:p>
    <w:bookmarkEnd w:id="124"/>
    <w:bookmarkStart w:id="126"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25">
        <w:r>
          <w:rPr>
            <w:rStyle w:val="Hyperlink"/>
          </w:rPr>
          <w:t xml:space="preserve">https://doi.org/10.3389/fpls.2021.612947</w:t>
        </w:r>
      </w:hyperlink>
      <w:r>
        <w:t xml:space="preserve">.</w:t>
      </w:r>
    </w:p>
    <w:bookmarkEnd w:id="126"/>
    <w:bookmarkStart w:id="128"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27">
        <w:r>
          <w:rPr>
            <w:rStyle w:val="Hyperlink"/>
          </w:rPr>
          <w:t xml:space="preserve">https://doi.org/10.1111/gcb.15684</w:t>
        </w:r>
      </w:hyperlink>
      <w:r>
        <w:t xml:space="preserve">.</w:t>
      </w:r>
    </w:p>
    <w:bookmarkEnd w:id="128"/>
    <w:bookmarkStart w:id="130"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29">
        <w:r>
          <w:rPr>
            <w:rStyle w:val="Hyperlink"/>
          </w:rPr>
          <w:t xml:space="preserve">https://doi.org/10.1111/conl.12938</w:t>
        </w:r>
      </w:hyperlink>
      <w:r>
        <w:t xml:space="preserve">.</w:t>
      </w:r>
    </w:p>
    <w:bookmarkEnd w:id="130"/>
    <w:bookmarkStart w:id="132" w:name="ref-fourqurean2003"/>
    <w:p>
      <w:pPr>
        <w:pStyle w:val="Bibliography"/>
      </w:pPr>
      <w:r>
        <w:t xml:space="preserve">Fourqurean, J. W., J. N. Boyer, M. J. Durako, L. N. Hefty, and B. J. Peterson. 2003. Forecasting responses of seagrass distributions to changing water quality using monitoring data.</w:t>
      </w:r>
      <w:r>
        <w:t xml:space="preserve"> </w:t>
      </w:r>
      <w:r>
        <w:rPr>
          <w:iCs/>
          <w:i/>
        </w:rPr>
        <w:t xml:space="preserve">Ecological Applications</w:t>
      </w:r>
      <w:r>
        <w:t xml:space="preserve"> </w:t>
      </w:r>
      <w:r>
        <w:t xml:space="preserve">13: 474–489.</w:t>
      </w:r>
      <w:r>
        <w:t xml:space="preserve"> </w:t>
      </w:r>
      <w:hyperlink r:id="rId131">
        <w:r>
          <w:rPr>
            <w:rStyle w:val="Hyperlink"/>
          </w:rPr>
          <w:t xml:space="preserve">https://doi.org/10.1890/1051-0761(2003)013[0474:frosdt]2.0.co;2</w:t>
        </w:r>
      </w:hyperlink>
      <w:r>
        <w:t xml:space="preserve">.</w:t>
      </w:r>
    </w:p>
    <w:bookmarkEnd w:id="132"/>
    <w:bookmarkStart w:id="134"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33">
        <w:r>
          <w:rPr>
            <w:rStyle w:val="Hyperlink"/>
          </w:rPr>
          <w:t xml:space="preserve">https://doi.org/10.1038/ngeo1477</w:t>
        </w:r>
      </w:hyperlink>
      <w:r>
        <w:t xml:space="preserve">.</w:t>
      </w:r>
    </w:p>
    <w:bookmarkEnd w:id="134"/>
    <w:bookmarkStart w:id="136"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35">
        <w:r>
          <w:rPr>
            <w:rStyle w:val="Hyperlink"/>
          </w:rPr>
          <w:t xml:space="preserve">https://doi.org/10.1016/j.marpolbul.2010.11.017</w:t>
        </w:r>
      </w:hyperlink>
      <w:r>
        <w:t xml:space="preserve">.</w:t>
      </w:r>
    </w:p>
    <w:bookmarkEnd w:id="136"/>
    <w:bookmarkStart w:id="138"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37">
        <w:r>
          <w:rPr>
            <w:rStyle w:val="Hyperlink"/>
          </w:rPr>
          <w:t xml:space="preserve">https://doi.org/10.1007/s00267-005-0079-4</w:t>
        </w:r>
      </w:hyperlink>
      <w:r>
        <w:t xml:space="preserve">.</w:t>
      </w:r>
    </w:p>
    <w:bookmarkEnd w:id="138"/>
    <w:bookmarkStart w:id="140"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39">
        <w:r>
          <w:rPr>
            <w:rStyle w:val="Hyperlink"/>
          </w:rPr>
          <w:t xml:space="preserve">https://doi.org/10.1016/j.ecss.2014.10.003</w:t>
        </w:r>
      </w:hyperlink>
      <w:r>
        <w:t xml:space="preserve">.</w:t>
      </w:r>
    </w:p>
    <w:bookmarkEnd w:id="140"/>
    <w:bookmarkStart w:id="142"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41">
        <w:r>
          <w:rPr>
            <w:rStyle w:val="Hyperlink"/>
          </w:rPr>
          <w:t xml:space="preserve">https://doi.org/10.3389/fmars.2022.767440</w:t>
        </w:r>
      </w:hyperlink>
      <w:r>
        <w:t xml:space="preserve">.</w:t>
      </w:r>
    </w:p>
    <w:bookmarkEnd w:id="142"/>
    <w:bookmarkStart w:id="144"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43">
        <w:r>
          <w:rPr>
            <w:rStyle w:val="Hyperlink"/>
          </w:rPr>
          <w:t xml:space="preserve">https://doi.org/10.2307/1353210</w:t>
        </w:r>
      </w:hyperlink>
      <w:r>
        <w:t xml:space="preserve">.</w:t>
      </w:r>
    </w:p>
    <w:bookmarkEnd w:id="144"/>
    <w:bookmarkStart w:id="146"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45">
        <w:r>
          <w:rPr>
            <w:rStyle w:val="Hyperlink"/>
          </w:rPr>
          <w:t xml:space="preserve">https://doi.org/10.3354/meps11923</w:t>
        </w:r>
      </w:hyperlink>
      <w:r>
        <w:t xml:space="preserve">.</w:t>
      </w:r>
    </w:p>
    <w:bookmarkEnd w:id="146"/>
    <w:bookmarkStart w:id="148"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47">
        <w:r>
          <w:rPr>
            <w:rStyle w:val="Hyperlink"/>
          </w:rPr>
          <w:t xml:space="preserve">https://doi.org/10.1007/s11802-014-2471-2</w:t>
        </w:r>
      </w:hyperlink>
      <w:r>
        <w:t xml:space="preserve">.</w:t>
      </w:r>
    </w:p>
    <w:bookmarkEnd w:id="148"/>
    <w:bookmarkStart w:id="150"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49">
        <w:r>
          <w:rPr>
            <w:rStyle w:val="Hyperlink"/>
          </w:rPr>
          <w:t xml:space="preserve">https://doi.org/10.1073/pnas.2220678120</w:t>
        </w:r>
      </w:hyperlink>
      <w:r>
        <w:t xml:space="preserve">.</w:t>
      </w:r>
    </w:p>
    <w:bookmarkEnd w:id="150"/>
    <w:bookmarkStart w:id="152"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51">
        <w:r>
          <w:rPr>
            <w:rStyle w:val="Hyperlink"/>
          </w:rPr>
          <w:t xml:space="preserve">https://doi.org/10.1029/wr018i001p00107</w:t>
        </w:r>
      </w:hyperlink>
      <w:r>
        <w:t xml:space="preserve">.</w:t>
      </w:r>
    </w:p>
    <w:bookmarkEnd w:id="152"/>
    <w:bookmarkStart w:id="154"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53">
        <w:r>
          <w:rPr>
            <w:rStyle w:val="Hyperlink"/>
          </w:rPr>
          <w:t xml:space="preserve">https://doi.org/10.1101/sqb.1957.022.01.039</w:t>
        </w:r>
      </w:hyperlink>
      <w:r>
        <w:t xml:space="preserve">.</w:t>
      </w:r>
    </w:p>
    <w:bookmarkEnd w:id="154"/>
    <w:bookmarkStart w:id="156" w:name="ref-tbep0696"/>
    <w:p>
      <w:pPr>
        <w:pStyle w:val="Bibliography"/>
      </w:pPr>
      <w:r>
        <w:t xml:space="preserve">Janicki, A. J., and D. L. Wade. 1996.</w:t>
      </w:r>
      <w:r>
        <w:t xml:space="preserve"> </w:t>
      </w:r>
      <w:hyperlink r:id="rId155">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56"/>
    <w:bookmarkStart w:id="158" w:name="ref-jei2022"/>
    <w:p>
      <w:pPr>
        <w:pStyle w:val="Bibliography"/>
      </w:pPr>
      <w:r>
        <w:t xml:space="preserve">Janicki Environmental, Inc. 2022.</w:t>
      </w:r>
      <w:r>
        <w:t xml:space="preserve"> </w:t>
      </w:r>
      <w:hyperlink r:id="rId157">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58"/>
    <w:bookmarkStart w:id="160" w:name="ref-tbep0623"/>
    <w:p>
      <w:pPr>
        <w:pStyle w:val="Bibliography"/>
      </w:pPr>
      <w:r>
        <w:t xml:space="preserve">Janicki Environmental, Inc. 2023.</w:t>
      </w:r>
      <w:r>
        <w:t xml:space="preserve"> </w:t>
      </w:r>
      <w:hyperlink r:id="rId159">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60"/>
    <w:bookmarkStart w:id="162" w:name="ref-tbep0816"/>
    <w:p>
      <w:pPr>
        <w:pStyle w:val="Bibliography"/>
      </w:pPr>
      <w:r>
        <w:t xml:space="preserve">Johansson, J. O. R. 2016.</w:t>
      </w:r>
      <w:r>
        <w:t xml:space="preserve"> </w:t>
      </w:r>
      <w:hyperlink r:id="rId161">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62"/>
    <w:bookmarkStart w:id="164" w:name="ref-johansson15"/>
    <w:p>
      <w:pPr>
        <w:pStyle w:val="Bibliography"/>
      </w:pPr>
      <w:r>
        <w:t xml:space="preserve">Johansson, J. O. R., and Janicki Environmental, Inc. 2015.</w:t>
      </w:r>
      <w:r>
        <w:t xml:space="preserve"> </w:t>
      </w:r>
      <w:hyperlink r:id="rId163">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64"/>
    <w:bookmarkStart w:id="166" w:name="ref-koch2007"/>
    <w:p>
      <w:pPr>
        <w:pStyle w:val="Bibliography"/>
      </w:pPr>
      <w:r>
        <w:t xml:space="preserve">Koch, M. S., S. A. Schopmeyer, O. I. Nielsen, C. Kyhn-Hansen, and C. J. Madden. 2007. Conceptual model of seagrass die-off in</w:t>
      </w:r>
      <w:r>
        <w:t xml:space="preserve"> </w:t>
      </w:r>
      <w:r>
        <w:t xml:space="preserve">F</w:t>
      </w:r>
      <w:r>
        <w:t xml:space="preserve">lorida</w:t>
      </w:r>
      <w:r>
        <w:t xml:space="preserve"> </w:t>
      </w:r>
      <w:r>
        <w:t xml:space="preserve">B</w:t>
      </w:r>
      <w:r>
        <w:t xml:space="preserve">ay: Links to biogeochemical processes.</w:t>
      </w:r>
      <w:r>
        <w:t xml:space="preserve"> </w:t>
      </w:r>
      <w:r>
        <w:rPr>
          <w:iCs/>
          <w:i/>
        </w:rPr>
        <w:t xml:space="preserve">Journal of Experimental Marine Biology and Ecology</w:t>
      </w:r>
      <w:r>
        <w:t xml:space="preserve"> </w:t>
      </w:r>
      <w:r>
        <w:t xml:space="preserve">350: 73–88.</w:t>
      </w:r>
      <w:r>
        <w:t xml:space="preserve"> </w:t>
      </w:r>
      <w:hyperlink r:id="rId165">
        <w:r>
          <w:rPr>
            <w:rStyle w:val="Hyperlink"/>
          </w:rPr>
          <w:t xml:space="preserve">https://doi.org/10.1016/j.jembe.2007.05.031</w:t>
        </w:r>
      </w:hyperlink>
      <w:r>
        <w:t xml:space="preserve">.</w:t>
      </w:r>
    </w:p>
    <w:bookmarkEnd w:id="166"/>
    <w:bookmarkStart w:id="168"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67">
        <w:r>
          <w:rPr>
            <w:rStyle w:val="Hyperlink"/>
          </w:rPr>
          <w:t xml:space="preserve">https://doi.org/10.1073/pnas.1715798115</w:t>
        </w:r>
      </w:hyperlink>
      <w:r>
        <w:t xml:space="preserve">.</w:t>
      </w:r>
    </w:p>
    <w:bookmarkEnd w:id="168"/>
    <w:bookmarkStart w:id="170"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69">
        <w:r>
          <w:rPr>
            <w:rStyle w:val="Hyperlink"/>
          </w:rPr>
          <w:t xml:space="preserve">https://doi.org/10.1111/gcb.13623</w:t>
        </w:r>
      </w:hyperlink>
      <w:r>
        <w:t xml:space="preserve">.</w:t>
      </w:r>
    </w:p>
    <w:bookmarkEnd w:id="170"/>
    <w:bookmarkStart w:id="172" w:name="ref-lewis1985"/>
    <w:p>
      <w:pPr>
        <w:pStyle w:val="Bibliography"/>
      </w:pPr>
      <w:r>
        <w:t xml:space="preserve">Lewis III, R. R., M. Durako, M. Moffler, and R. Phillips. 1985.</w:t>
      </w:r>
      <w:r>
        <w:t xml:space="preserve"> </w:t>
      </w:r>
      <w:hyperlink r:id="rId171">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72"/>
    <w:bookmarkStart w:id="174"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73">
        <w:r>
          <w:rPr>
            <w:rStyle w:val="Hyperlink"/>
          </w:rPr>
          <w:t xml:space="preserve">https://doi.org/10.1007/bf02691700</w:t>
        </w:r>
      </w:hyperlink>
      <w:r>
        <w:t xml:space="preserve">.</w:t>
      </w:r>
    </w:p>
    <w:bookmarkEnd w:id="174"/>
    <w:bookmarkStart w:id="176"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75">
        <w:r>
          <w:rPr>
            <w:rStyle w:val="Hyperlink"/>
          </w:rPr>
          <w:t xml:space="preserve">https://doi.org/10.1016/j.ecss.2022.108134</w:t>
        </w:r>
      </w:hyperlink>
      <w:r>
        <w:t xml:space="preserve">.</w:t>
      </w:r>
    </w:p>
    <w:bookmarkEnd w:id="176"/>
    <w:bookmarkStart w:id="178" w:name="ref-lopez2021"/>
    <w:p>
      <w:pPr>
        <w:pStyle w:val="Bibliography"/>
      </w:pPr>
      <w:r>
        <w:t xml:space="preserve">Lopez, C. B., S. Shankar, S. G. Kaminski, M. Garrett, and K. A. Hubbard. 2021.</w:t>
      </w:r>
      <w:r>
        <w:t xml:space="preserve"> </w:t>
      </w:r>
      <w:hyperlink r:id="rId177">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78"/>
    <w:bookmarkStart w:id="179"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79"/>
    <w:bookmarkStart w:id="181" w:name="ref-luther2022"/>
    <w:p>
      <w:pPr>
        <w:pStyle w:val="Bibliography"/>
      </w:pPr>
      <w:r>
        <w:t xml:space="preserve">Luther, M. E., and S. D. Meyers. 2022.</w:t>
      </w:r>
      <w:r>
        <w:t xml:space="preserve"> </w:t>
      </w:r>
      <w:hyperlink r:id="rId180">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81"/>
    <w:bookmarkStart w:id="183"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82">
        <w:r>
          <w:rPr>
            <w:rStyle w:val="Hyperlink"/>
          </w:rPr>
          <w:t xml:space="preserve">https://doi.org/10.1016/j.seares.2012.03.002</w:t>
        </w:r>
      </w:hyperlink>
      <w:r>
        <w:t xml:space="preserve">.</w:t>
      </w:r>
    </w:p>
    <w:bookmarkEnd w:id="183"/>
    <w:bookmarkStart w:id="185"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84">
        <w:r>
          <w:rPr>
            <w:rStyle w:val="Hyperlink"/>
          </w:rPr>
          <w:t xml:space="preserve">https://doi.org/10.1111/brv.12294</w:t>
        </w:r>
      </w:hyperlink>
      <w:r>
        <w:t xml:space="preserve">.</w:t>
      </w:r>
    </w:p>
    <w:bookmarkEnd w:id="185"/>
    <w:bookmarkStart w:id="187"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86">
        <w:r>
          <w:rPr>
            <w:rStyle w:val="Hyperlink"/>
          </w:rPr>
          <w:t xml:space="preserve">https://doi.org/10.2307/1932688</w:t>
        </w:r>
      </w:hyperlink>
      <w:r>
        <w:t xml:space="preserve">.</w:t>
      </w:r>
    </w:p>
    <w:bookmarkEnd w:id="187"/>
    <w:bookmarkStart w:id="189" w:name="ref-millard13"/>
    <w:p>
      <w:pPr>
        <w:pStyle w:val="Bibliography"/>
      </w:pPr>
      <w:r>
        <w:t xml:space="preserve">Millard, S. P. 2013.</w:t>
      </w:r>
      <w:r>
        <w:t xml:space="preserve"> </w:t>
      </w:r>
      <w:hyperlink r:id="rId188">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189"/>
    <w:bookmarkStart w:id="191"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190">
        <w:r>
          <w:rPr>
            <w:rStyle w:val="Hyperlink"/>
          </w:rPr>
          <w:t xml:space="preserve">https://doi.org/10.1002/lno.10789</w:t>
        </w:r>
      </w:hyperlink>
      <w:r>
        <w:t xml:space="preserve">.</w:t>
      </w:r>
    </w:p>
    <w:bookmarkEnd w:id="191"/>
    <w:bookmarkStart w:id="193"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192">
        <w:r>
          <w:rPr>
            <w:rStyle w:val="Hyperlink"/>
          </w:rPr>
          <w:t xml:space="preserve">https://doi.org/10.1007/bf02798652</w:t>
        </w:r>
      </w:hyperlink>
      <w:r>
        <w:t xml:space="preserve">.</w:t>
      </w:r>
    </w:p>
    <w:bookmarkEnd w:id="193"/>
    <w:bookmarkStart w:id="195"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94">
        <w:r>
          <w:rPr>
            <w:rStyle w:val="Hyperlink"/>
          </w:rPr>
          <w:t xml:space="preserve">https://doi.org/10.1016/j.dsr2.2023.105321</w:t>
        </w:r>
      </w:hyperlink>
      <w:r>
        <w:t xml:space="preserve">.</w:t>
      </w:r>
    </w:p>
    <w:bookmarkEnd w:id="195"/>
    <w:bookmarkStart w:id="197"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96">
        <w:r>
          <w:rPr>
            <w:rStyle w:val="Hyperlink"/>
          </w:rPr>
          <w:t xml:space="preserve">https://doi.org/10.1038/s41467-018-03732-9</w:t>
        </w:r>
      </w:hyperlink>
      <w:r>
        <w:t xml:space="preserve">.</w:t>
      </w:r>
    </w:p>
    <w:bookmarkEnd w:id="197"/>
    <w:bookmarkStart w:id="199"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198">
        <w:r>
          <w:rPr>
            <w:rStyle w:val="Hyperlink"/>
          </w:rPr>
          <w:t xml:space="preserve">https://doi.org/10.1641/0006-3568(2006)56[987:agcfse]2.0.co;2</w:t>
        </w:r>
      </w:hyperlink>
      <w:r>
        <w:t xml:space="preserve">.</w:t>
      </w:r>
    </w:p>
    <w:bookmarkEnd w:id="199"/>
    <w:bookmarkStart w:id="201"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200">
        <w:r>
          <w:rPr>
            <w:rStyle w:val="Hyperlink"/>
          </w:rPr>
          <w:t xml:space="preserve">https://doi.org/10.1093/biosci/bix058</w:t>
        </w:r>
      </w:hyperlink>
      <w:r>
        <w:t xml:space="preserve">.</w:t>
      </w:r>
    </w:p>
    <w:bookmarkEnd w:id="201"/>
    <w:bookmarkStart w:id="203"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202">
        <w:r>
          <w:rPr>
            <w:rStyle w:val="Hyperlink"/>
          </w:rPr>
          <w:t xml:space="preserve">https://doi.org/10.1007/s12237-023-01252-4</w:t>
        </w:r>
      </w:hyperlink>
      <w:r>
        <w:t xml:space="preserve">.</w:t>
      </w:r>
    </w:p>
    <w:bookmarkEnd w:id="203"/>
    <w:bookmarkStart w:id="205"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204">
        <w:r>
          <w:rPr>
            <w:rStyle w:val="Hyperlink"/>
          </w:rPr>
          <w:t xml:space="preserve">https://doi.org/10.1126/sciadv.abc6434</w:t>
        </w:r>
      </w:hyperlink>
      <w:r>
        <w:t xml:space="preserve">.</w:t>
      </w:r>
    </w:p>
    <w:bookmarkEnd w:id="205"/>
    <w:bookmarkStart w:id="207"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206">
        <w:r>
          <w:rPr>
            <w:rStyle w:val="Hyperlink"/>
          </w:rPr>
          <w:t xml:space="preserve">https://doi.org/10.1111/gcb.13084</w:t>
        </w:r>
      </w:hyperlink>
      <w:r>
        <w:t xml:space="preserve">.</w:t>
      </w:r>
    </w:p>
    <w:bookmarkEnd w:id="207"/>
    <w:bookmarkStart w:id="208"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208"/>
    <w:bookmarkStart w:id="209" w:name="ref-phillips88"/>
    <w:p>
      <w:pPr>
        <w:pStyle w:val="Bibliography"/>
      </w:pPr>
      <w:r>
        <w:t xml:space="preserve">Phillips, R., and E. Meñez. 1988.</w:t>
      </w:r>
      <w:r>
        <w:t xml:space="preserve"> </w:t>
      </w:r>
      <w:r>
        <w:rPr>
          <w:iCs/>
          <w:i/>
        </w:rPr>
        <w:t xml:space="preserve">Seagrasses</w:t>
      </w:r>
      <w:r>
        <w:t xml:space="preserve">. Washington, D.C.: Smithsonian Institution Press.</w:t>
      </w:r>
    </w:p>
    <w:bookmarkEnd w:id="209"/>
    <w:bookmarkStart w:id="211"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210">
        <w:r>
          <w:rPr>
            <w:rStyle w:val="Hyperlink"/>
          </w:rPr>
          <w:t xml:space="preserve">https://doi.org/10.3354/meps322099</w:t>
        </w:r>
      </w:hyperlink>
      <w:r>
        <w:t xml:space="preserve">.</w:t>
      </w:r>
    </w:p>
    <w:bookmarkEnd w:id="211"/>
    <w:bookmarkStart w:id="213"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12">
        <w:r>
          <w:rPr>
            <w:rStyle w:val="Hyperlink"/>
          </w:rPr>
          <w:t xml:space="preserve">https://doi.org/10.3354/meps08925</w:t>
        </w:r>
      </w:hyperlink>
      <w:r>
        <w:t xml:space="preserve">.</w:t>
      </w:r>
    </w:p>
    <w:bookmarkEnd w:id="213"/>
    <w:bookmarkStart w:id="214"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14"/>
    <w:bookmarkStart w:id="216"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15">
        <w:r>
          <w:rPr>
            <w:rStyle w:val="Hyperlink"/>
          </w:rPr>
          <w:t xml:space="preserve">https://doi.org/10.1016/j.ecolind.2015.12.007</w:t>
        </w:r>
      </w:hyperlink>
      <w:r>
        <w:t xml:space="preserve">.</w:t>
      </w:r>
    </w:p>
    <w:bookmarkEnd w:id="216"/>
    <w:bookmarkStart w:id="217"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217"/>
    <w:bookmarkStart w:id="219"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18">
        <w:r>
          <w:rPr>
            <w:rStyle w:val="Hyperlink"/>
          </w:rPr>
          <w:t xml:space="preserve">https://doi.org/10.1007/bf02691345</w:t>
        </w:r>
      </w:hyperlink>
      <w:r>
        <w:t xml:space="preserve">.</w:t>
      </w:r>
    </w:p>
    <w:bookmarkEnd w:id="219"/>
    <w:bookmarkStart w:id="221"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20">
        <w:r>
          <w:rPr>
            <w:rStyle w:val="Hyperlink"/>
          </w:rPr>
          <w:t xml:space="preserve">https://doi.org/10.1016/j.ecolind.2020.107310</w:t>
        </w:r>
      </w:hyperlink>
      <w:r>
        <w:t xml:space="preserve">.</w:t>
      </w:r>
    </w:p>
    <w:bookmarkEnd w:id="221"/>
    <w:bookmarkStart w:id="222"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22"/>
    <w:bookmarkStart w:id="224"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23">
        <w:r>
          <w:rPr>
            <w:rStyle w:val="Hyperlink"/>
          </w:rPr>
          <w:t xml:space="preserve">https://doi.org/10.1007/s00267-013-0179-5</w:t>
        </w:r>
      </w:hyperlink>
      <w:r>
        <w:t xml:space="preserve">.</w:t>
      </w:r>
    </w:p>
    <w:bookmarkEnd w:id="224"/>
    <w:bookmarkStart w:id="226" w:name="ref-sherwood2015"/>
    <w:p>
      <w:pPr>
        <w:pStyle w:val="Bibliography"/>
      </w:pPr>
      <w:r>
        <w:t xml:space="preserve">Sherwood, E. T., H. S. Greening, L. Garcia, K. Kaufman, T. Janicki, R. Pribble, B. Cunningham, et al. 2015.</w:t>
      </w:r>
      <w:r>
        <w:t xml:space="preserve"> </w:t>
      </w:r>
      <w:hyperlink r:id="rId225">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26"/>
    <w:bookmarkStart w:id="228"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27">
        <w:r>
          <w:rPr>
            <w:rStyle w:val="Hyperlink"/>
          </w:rPr>
          <w:t xml:space="preserve">https://doi.org/10.1016/j.rsma.2015.05.005</w:t>
        </w:r>
      </w:hyperlink>
      <w:r>
        <w:t xml:space="preserve">.</w:t>
      </w:r>
    </w:p>
    <w:bookmarkEnd w:id="228"/>
    <w:bookmarkStart w:id="230"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29">
        <w:r>
          <w:rPr>
            <w:rStyle w:val="Hyperlink"/>
          </w:rPr>
          <w:t xml:space="preserve">https://doi.org/10.1353/sgo.2017.0026</w:t>
        </w:r>
      </w:hyperlink>
      <w:r>
        <w:t xml:space="preserve">.</w:t>
      </w:r>
    </w:p>
    <w:bookmarkEnd w:id="230"/>
    <w:bookmarkStart w:id="232"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31">
        <w:r>
          <w:rPr>
            <w:rStyle w:val="Hyperlink"/>
          </w:rPr>
          <w:t xml:space="preserve">https://doi.org/10.21203/rs.3.rs-3528678/v1</w:t>
        </w:r>
      </w:hyperlink>
      <w:r>
        <w:t xml:space="preserve">.</w:t>
      </w:r>
    </w:p>
    <w:bookmarkEnd w:id="232"/>
    <w:bookmarkStart w:id="234"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33">
        <w:r>
          <w:rPr>
            <w:rStyle w:val="Hyperlink"/>
          </w:rPr>
          <w:t xml:space="preserve">https://doi.org/10.1016/j.scitotenv.2011.09.088</w:t>
        </w:r>
      </w:hyperlink>
      <w:r>
        <w:t xml:space="preserve">.</w:t>
      </w:r>
    </w:p>
    <w:bookmarkEnd w:id="234"/>
    <w:bookmarkStart w:id="236"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35">
        <w:r>
          <w:rPr>
            <w:rStyle w:val="Hyperlink"/>
          </w:rPr>
          <w:t xml:space="preserve">https://doi.org/10.3389/fevo.2023.1134069</w:t>
        </w:r>
      </w:hyperlink>
      <w:r>
        <w:t xml:space="preserve">.</w:t>
      </w:r>
    </w:p>
    <w:bookmarkEnd w:id="236"/>
    <w:bookmarkStart w:id="238"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37">
        <w:r>
          <w:rPr>
            <w:rStyle w:val="Hyperlink"/>
          </w:rPr>
          <w:t xml:space="preserve">https://doi.org/10.1016/j.rsma.2015.11.010</w:t>
        </w:r>
      </w:hyperlink>
      <w:r>
        <w:t xml:space="preserve">.</w:t>
      </w:r>
    </w:p>
    <w:bookmarkEnd w:id="238"/>
    <w:bookmarkStart w:id="240" w:name="ref-taplin2005"/>
    <w:p>
      <w:pPr>
        <w:pStyle w:val="Bibliography"/>
      </w:pPr>
      <w:r>
        <w:t xml:space="preserve">Taplin, K. A., E. A. Irlandi, and R. Raves. 2005. Interference between the macroalga</w:t>
      </w:r>
      <w:r>
        <w:t xml:space="preserve"> </w:t>
      </w:r>
      <w:r>
        <w:rPr>
          <w:iCs/>
          <w:i/>
        </w:rPr>
        <w:t xml:space="preserve">C</w:t>
      </w:r>
      <w:r>
        <w:rPr>
          <w:iCs/>
          <w:i/>
        </w:rPr>
        <w:t xml:space="preserve">aulerpa</w:t>
      </w:r>
      <w:r>
        <w:rPr>
          <w:iCs/>
          <w:i/>
        </w:rPr>
        <w:t xml:space="preserve"> </w:t>
      </w:r>
      <w:r>
        <w:rPr>
          <w:iCs/>
          <w:i/>
        </w:rPr>
        <w:t xml:space="preserve">p</w:t>
      </w:r>
      <w:r>
        <w:rPr>
          <w:iCs/>
          <w:i/>
        </w:rPr>
        <w:t xml:space="preserve">rolifera</w:t>
      </w:r>
      <w:r>
        <w:t xml:space="preserve"> </w:t>
      </w:r>
      <w:r>
        <w:t xml:space="preserve">and the seagrass</w:t>
      </w:r>
      <w:r>
        <w:t xml:space="preserve"> </w:t>
      </w:r>
      <w:r>
        <w:rPr>
          <w:iCs/>
          <w:i/>
        </w:rPr>
        <w:t xml:space="preserve">H</w:t>
      </w:r>
      <w:r>
        <w:rPr>
          <w:iCs/>
          <w:i/>
        </w:rPr>
        <w:t xml:space="preserve">alodule</w:t>
      </w:r>
      <w:r>
        <w:rPr>
          <w:iCs/>
          <w:i/>
        </w:rPr>
        <w:t xml:space="preserve"> </w:t>
      </w:r>
      <w:r>
        <w:rPr>
          <w:iCs/>
          <w:i/>
        </w:rPr>
        <w:t xml:space="preserve">w</w:t>
      </w:r>
      <w:r>
        <w:rPr>
          <w:iCs/>
          <w:i/>
        </w:rPr>
        <w:t xml:space="preserve">rightii</w:t>
      </w:r>
      <w:r>
        <w:t xml:space="preserve">.</w:t>
      </w:r>
      <w:r>
        <w:t xml:space="preserve"> </w:t>
      </w:r>
      <w:r>
        <w:rPr>
          <w:iCs/>
          <w:i/>
        </w:rPr>
        <w:t xml:space="preserve">Aquatic Botany</w:t>
      </w:r>
      <w:r>
        <w:t xml:space="preserve"> </w:t>
      </w:r>
      <w:r>
        <w:t xml:space="preserve">83: 175–186.</w:t>
      </w:r>
      <w:r>
        <w:t xml:space="preserve"> </w:t>
      </w:r>
      <w:hyperlink r:id="rId239">
        <w:r>
          <w:rPr>
            <w:rStyle w:val="Hyperlink"/>
          </w:rPr>
          <w:t xml:space="preserve">https://doi.org/10.1016/j.aquabot.2005.06.003</w:t>
        </w:r>
      </w:hyperlink>
      <w:r>
        <w:t xml:space="preserve">.</w:t>
      </w:r>
    </w:p>
    <w:bookmarkEnd w:id="240"/>
    <w:bookmarkStart w:id="242" w:name="ref-tbep0923"/>
    <w:p>
      <w:pPr>
        <w:pStyle w:val="Bibliography"/>
      </w:pPr>
      <w:r>
        <w:t xml:space="preserve">Todd, A., H. Walsh, and J. Neville. 2023.</w:t>
      </w:r>
      <w:r>
        <w:t xml:space="preserve"> </w:t>
      </w:r>
      <w:hyperlink r:id="rId241">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42"/>
    <w:bookmarkStart w:id="243"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43"/>
    <w:bookmarkStart w:id="245" w:name="ref-tomasko2020"/>
    <w:p>
      <w:pPr>
        <w:pStyle w:val="Bibliography"/>
      </w:pPr>
      <w:r>
        <w:t xml:space="preserve">Tomasko, D. A., M. Alderson, R. Burnes, J. Hecker, N. Iadevaia, J. Leverone, G. Raulerson, and E. Sherwood. 2020. The effects of Hurricane</w:t>
      </w:r>
      <w:r>
        <w:t xml:space="preserve"> </w:t>
      </w:r>
      <w:r>
        <w:t xml:space="preserve">I</w:t>
      </w:r>
      <w:r>
        <w:t xml:space="preserve">rma on seagrass meadows in previously eutrophic estuaries in Southwest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w:t>
      </w:r>
      <w:r>
        <w:t xml:space="preserve"> </w:t>
      </w:r>
      <w:hyperlink r:id="rId244">
        <w:r>
          <w:rPr>
            <w:rStyle w:val="Hyperlink"/>
          </w:rPr>
          <w:t xml:space="preserve">https://doi.org/10.1016/j.marpolbul.2020.111247</w:t>
        </w:r>
      </w:hyperlink>
      <w:r>
        <w:t xml:space="preserve">.</w:t>
      </w:r>
    </w:p>
    <w:bookmarkEnd w:id="245"/>
    <w:bookmarkStart w:id="247" w:name="ref-tomasko2005"/>
    <w:p>
      <w:pPr>
        <w:pStyle w:val="Bibliography"/>
      </w:pPr>
      <w:r>
        <w:t xml:space="preserve">Tomasko, D. A., C. A. Corbett, H. S. Greening, and G. E. Raulerson. 2005. Spatial and temporal variation in seagrass coverage in Southwest</w:t>
      </w:r>
      <w:r>
        <w:t xml:space="preserve"> </w:t>
      </w:r>
      <w:r>
        <w:t xml:space="preserve">F</w:t>
      </w:r>
      <w:r>
        <w:t xml:space="preserve">lorida: assessing the relative effects of anthropogenic nutrient load reductions and rainfall in four contiguous estuaries.</w:t>
      </w:r>
      <w:r>
        <w:t xml:space="preserve"> </w:t>
      </w:r>
      <w:r>
        <w:rPr>
          <w:iCs/>
          <w:i/>
        </w:rPr>
        <w:t xml:space="preserve">Marine Pollution Bulletin</w:t>
      </w:r>
      <w:r>
        <w:t xml:space="preserve"> </w:t>
      </w:r>
      <w:r>
        <w:t xml:space="preserve">50: 797–805.</w:t>
      </w:r>
      <w:r>
        <w:t xml:space="preserve"> </w:t>
      </w:r>
      <w:hyperlink r:id="rId246">
        <w:r>
          <w:rPr>
            <w:rStyle w:val="Hyperlink"/>
          </w:rPr>
          <w:t xml:space="preserve">https://doi.org/10.1016/j.marpolbul.2005.02.010</w:t>
        </w:r>
      </w:hyperlink>
      <w:r>
        <w:t xml:space="preserve">.</w:t>
      </w:r>
    </w:p>
    <w:bookmarkEnd w:id="247"/>
    <w:bookmarkStart w:id="249"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48">
        <w:r>
          <w:rPr>
            <w:rStyle w:val="Hyperlink"/>
          </w:rPr>
          <w:t xml:space="preserve">https://doi.org/10.1002/nt.2620020503</w:t>
        </w:r>
      </w:hyperlink>
      <w:r>
        <w:t xml:space="preserve">.</w:t>
      </w:r>
    </w:p>
    <w:bookmarkEnd w:id="249"/>
    <w:bookmarkStart w:id="251"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50">
        <w:r>
          <w:rPr>
            <w:rStyle w:val="Hyperlink"/>
          </w:rPr>
          <w:t xml:space="preserve">https://doi.org/10.1002/lol2.10098</w:t>
        </w:r>
      </w:hyperlink>
      <w:r>
        <w:t xml:space="preserve">.</w:t>
      </w:r>
    </w:p>
    <w:bookmarkEnd w:id="251"/>
    <w:bookmarkStart w:id="253"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52">
        <w:r>
          <w:rPr>
            <w:rStyle w:val="Hyperlink"/>
          </w:rPr>
          <w:t xml:space="preserve">https://doi.org/10.1146/annurev.es.03.110172.000543</w:t>
        </w:r>
      </w:hyperlink>
      <w:r>
        <w:t xml:space="preserve">.</w:t>
      </w:r>
    </w:p>
    <w:bookmarkEnd w:id="253"/>
    <w:bookmarkStart w:id="255" w:name="ref-venables2002b"/>
    <w:p>
      <w:pPr>
        <w:pStyle w:val="Bibliography"/>
      </w:pPr>
      <w:r>
        <w:t xml:space="preserve">Venables, W. N., and B. D. Ripley. 2002.</w:t>
      </w:r>
      <w:r>
        <w:t xml:space="preserve"> </w:t>
      </w:r>
      <w:r>
        <w:rPr>
          <w:iCs/>
          <w:i/>
        </w:rPr>
        <w:t xml:space="preserve">Modern applied statistics with</w:t>
      </w:r>
      <w:r>
        <w:rPr>
          <w:iCs/>
          <w:i/>
        </w:rPr>
        <w:t xml:space="preserve"> </w:t>
      </w:r>
      <w:r>
        <w:rPr>
          <w:iCs/>
          <w:i/>
        </w:rPr>
        <w:t xml:space="preserve">S</w:t>
      </w:r>
      <w:r>
        <w:t xml:space="preserve">. New York: Springer.</w:t>
      </w:r>
      <w:r>
        <w:t xml:space="preserve"> </w:t>
      </w:r>
      <w:hyperlink r:id="rId254">
        <w:r>
          <w:rPr>
            <w:rStyle w:val="Hyperlink"/>
          </w:rPr>
          <w:t xml:space="preserve">https://doi.org/10.1007/978-0-387-21706-2</w:t>
        </w:r>
      </w:hyperlink>
      <w:r>
        <w:t xml:space="preserve">.</w:t>
      </w:r>
    </w:p>
    <w:bookmarkEnd w:id="255"/>
    <w:bookmarkStart w:id="257"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56">
        <w:r>
          <w:rPr>
            <w:rStyle w:val="Hyperlink"/>
          </w:rPr>
          <w:t xml:space="preserve">https://doi.org/10.1073/pnas.0905620106</w:t>
        </w:r>
      </w:hyperlink>
      <w:r>
        <w:t xml:space="preserve">.</w:t>
      </w:r>
    </w:p>
    <w:bookmarkEnd w:id="257"/>
    <w:bookmarkStart w:id="259"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58">
        <w:r>
          <w:rPr>
            <w:rStyle w:val="Hyperlink"/>
          </w:rPr>
          <w:t xml:space="preserve">https://doi.org/10.1111/1365-2745.13648</w:t>
        </w:r>
      </w:hyperlink>
      <w:r>
        <w:t xml:space="preserve">.</w:t>
      </w:r>
    </w:p>
    <w:bookmarkEnd w:id="259"/>
    <w:bookmarkStart w:id="261"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60">
        <w:r>
          <w:rPr>
            <w:rStyle w:val="Hyperlink"/>
          </w:rPr>
          <w:t xml:space="preserve">https://doi.org/10.1029/2005jc003067</w:t>
        </w:r>
      </w:hyperlink>
      <w:r>
        <w:t xml:space="preserve">.</w:t>
      </w:r>
    </w:p>
    <w:bookmarkEnd w:id="261"/>
    <w:bookmarkStart w:id="263"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62">
        <w:r>
          <w:rPr>
            <w:rStyle w:val="Hyperlink"/>
          </w:rPr>
          <w:t xml:space="preserve">https://doi.org/10.1002/ehs2.1258</w:t>
        </w:r>
      </w:hyperlink>
      <w:r>
        <w:t xml:space="preserve">.</w:t>
      </w:r>
    </w:p>
    <w:bookmarkEnd w:id="263"/>
    <w:bookmarkStart w:id="264"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64"/>
    <w:bookmarkStart w:id="266"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65">
        <w:r>
          <w:rPr>
            <w:rStyle w:val="Hyperlink"/>
          </w:rPr>
          <w:t xml:space="preserve">https://doi.org/10.1016/j.marpolbul.2023.115043</w:t>
        </w:r>
      </w:hyperlink>
      <w:r>
        <w:t xml:space="preserve">.</w:t>
      </w:r>
    </w:p>
    <w:bookmarkEnd w:id="266"/>
    <w:bookmarkStart w:id="268"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67">
        <w:r>
          <w:rPr>
            <w:rStyle w:val="Hyperlink"/>
          </w:rPr>
          <w:t xml:space="preserve">https://doi.org/10.1016/0304-3770(75)90016-9</w:t>
        </w:r>
      </w:hyperlink>
      <w:r>
        <w:t xml:space="preserve">.</w:t>
      </w:r>
    </w:p>
    <w:bookmarkEnd w:id="268"/>
    <w:bookmarkStart w:id="270"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69">
        <w:r>
          <w:rPr>
            <w:rStyle w:val="Hyperlink"/>
          </w:rPr>
          <w:t xml:space="preserve">https://doi.org/10.1007/978-0-387-87458-6</w:t>
        </w:r>
      </w:hyperlink>
      <w:r>
        <w:t xml:space="preserve">.</w:t>
      </w:r>
    </w:p>
    <w:bookmarkEnd w:id="270"/>
    <w:bookmarkEnd w:id="271"/>
    <w:bookmarkEnd w:id="272"/>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65" Target="media/rId65.png" /><Relationship Type="http://schemas.openxmlformats.org/officeDocument/2006/relationships/hyperlink" Id="rId95" Target="https://CRAN.R-project.org/package=SPEI" TargetMode="External" /><Relationship Type="http://schemas.openxmlformats.org/officeDocument/2006/relationships/hyperlink" Id="rId115"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62" Target="https://doi.org/10.1002/ehs2.1258" TargetMode="External" /><Relationship Type="http://schemas.openxmlformats.org/officeDocument/2006/relationships/hyperlink" Id="rId97" Target="https://doi.org/10.1002/joc.3887" TargetMode="External" /><Relationship Type="http://schemas.openxmlformats.org/officeDocument/2006/relationships/hyperlink" Id="rId190" Target="https://doi.org/10.1002/lno.10789" TargetMode="External" /><Relationship Type="http://schemas.openxmlformats.org/officeDocument/2006/relationships/hyperlink" Id="rId250" Target="https://doi.org/10.1002/lol2.10098" TargetMode="External" /><Relationship Type="http://schemas.openxmlformats.org/officeDocument/2006/relationships/hyperlink" Id="rId248" Target="https://doi.org/10.1002/nt.2620020503" TargetMode="External" /><Relationship Type="http://schemas.openxmlformats.org/officeDocument/2006/relationships/hyperlink" Id="rId254" Target="https://doi.org/10.1007/978-0-387-21706-2" TargetMode="External" /><Relationship Type="http://schemas.openxmlformats.org/officeDocument/2006/relationships/hyperlink" Id="rId269" Target="https://doi.org/10.1007/978-0-387-87458-6" TargetMode="External" /><Relationship Type="http://schemas.openxmlformats.org/officeDocument/2006/relationships/hyperlink" Id="rId218" Target="https://doi.org/10.1007/bf02691345" TargetMode="External" /><Relationship Type="http://schemas.openxmlformats.org/officeDocument/2006/relationships/hyperlink" Id="rId173" Target="https://doi.org/10.1007/bf02691700" TargetMode="External" /><Relationship Type="http://schemas.openxmlformats.org/officeDocument/2006/relationships/hyperlink" Id="rId192" Target="https://doi.org/10.1007/bf02798652" TargetMode="External" /><Relationship Type="http://schemas.openxmlformats.org/officeDocument/2006/relationships/hyperlink" Id="rId137" Target="https://doi.org/10.1007/s00267-005-0079-4" TargetMode="External" /><Relationship Type="http://schemas.openxmlformats.org/officeDocument/2006/relationships/hyperlink" Id="rId223" Target="https://doi.org/10.1007/s00267-013-0179-5" TargetMode="External" /><Relationship Type="http://schemas.openxmlformats.org/officeDocument/2006/relationships/hyperlink" Id="rId147" Target="https://doi.org/10.1007/s11802-014-2471-2" TargetMode="External" /><Relationship Type="http://schemas.openxmlformats.org/officeDocument/2006/relationships/hyperlink" Id="rId123" Target="https://doi.org/10.1007/s12237-008-9038-7" TargetMode="External" /><Relationship Type="http://schemas.openxmlformats.org/officeDocument/2006/relationships/hyperlink" Id="rId93" Target="https://doi.org/10.1007/s12237-019-00619-w" TargetMode="External" /><Relationship Type="http://schemas.openxmlformats.org/officeDocument/2006/relationships/hyperlink" Id="rId202" Target="https://doi.org/10.1007/s12237-023-01252-4" TargetMode="External" /><Relationship Type="http://schemas.openxmlformats.org/officeDocument/2006/relationships/hyperlink" Id="rId267" Target="https://doi.org/10.1016/0304-3770(75)90016-9" TargetMode="External" /><Relationship Type="http://schemas.openxmlformats.org/officeDocument/2006/relationships/hyperlink" Id="rId239" Target="https://doi.org/10.1016/j.aquabot.2005.06.003" TargetMode="External" /><Relationship Type="http://schemas.openxmlformats.org/officeDocument/2006/relationships/hyperlink" Id="rId194" Target="https://doi.org/10.1016/j.dsr2.2023.105321" TargetMode="External" /><Relationship Type="http://schemas.openxmlformats.org/officeDocument/2006/relationships/hyperlink" Id="rId215" Target="https://doi.org/10.1016/j.ecolind.2015.12.007" TargetMode="External" /><Relationship Type="http://schemas.openxmlformats.org/officeDocument/2006/relationships/hyperlink" Id="rId220" Target="https://doi.org/10.1016/j.ecolind.2020.107310" TargetMode="External" /><Relationship Type="http://schemas.openxmlformats.org/officeDocument/2006/relationships/hyperlink" Id="rId107" Target="https://doi.org/10.1016/j.ecolind.2023.111035" TargetMode="External" /><Relationship Type="http://schemas.openxmlformats.org/officeDocument/2006/relationships/hyperlink" Id="rId139" Target="https://doi.org/10.1016/j.ecss.2014.10.003" TargetMode="External" /><Relationship Type="http://schemas.openxmlformats.org/officeDocument/2006/relationships/hyperlink" Id="rId175" Target="https://doi.org/10.1016/j.ecss.2022.108134" TargetMode="External" /><Relationship Type="http://schemas.openxmlformats.org/officeDocument/2006/relationships/hyperlink" Id="rId165" Target="https://doi.org/10.1016/j.jembe.2007.05.031" TargetMode="External" /><Relationship Type="http://schemas.openxmlformats.org/officeDocument/2006/relationships/hyperlink" Id="rId111" Target="https://doi.org/10.1016/j.jembe.2007.06.024" TargetMode="External" /><Relationship Type="http://schemas.openxmlformats.org/officeDocument/2006/relationships/hyperlink" Id="rId119" Target="https://doi.org/10.1016/j.jenvman.2018.01.025" TargetMode="External" /><Relationship Type="http://schemas.openxmlformats.org/officeDocument/2006/relationships/hyperlink" Id="rId246" Target="https://doi.org/10.1016/j.marpolbul.2005.02.010" TargetMode="External" /><Relationship Type="http://schemas.openxmlformats.org/officeDocument/2006/relationships/hyperlink" Id="rId135" Target="https://doi.org/10.1016/j.marpolbul.2010.11.017" TargetMode="External" /><Relationship Type="http://schemas.openxmlformats.org/officeDocument/2006/relationships/hyperlink" Id="rId244" Target="https://doi.org/10.1016/j.marpolbul.2020.111247" TargetMode="External" /><Relationship Type="http://schemas.openxmlformats.org/officeDocument/2006/relationships/hyperlink" Id="rId85" Target="https://doi.org/10.1016/j.marpolbul.2022.113598" TargetMode="External" /><Relationship Type="http://schemas.openxmlformats.org/officeDocument/2006/relationships/hyperlink" Id="rId265" Target="https://doi.org/10.1016/j.marpolbul.2023.115043" TargetMode="External" /><Relationship Type="http://schemas.openxmlformats.org/officeDocument/2006/relationships/hyperlink" Id="rId117" Target="https://doi.org/10.1016/j.ocecoaman.2023.106490" TargetMode="External" /><Relationship Type="http://schemas.openxmlformats.org/officeDocument/2006/relationships/hyperlink" Id="rId75" Target="https://doi.org/10.1016/j.ocecoaman.2023.106929" TargetMode="External" /><Relationship Type="http://schemas.openxmlformats.org/officeDocument/2006/relationships/hyperlink" Id="rId113" Target="https://doi.org/10.1016/j.rse.2018.02.014" TargetMode="External" /><Relationship Type="http://schemas.openxmlformats.org/officeDocument/2006/relationships/hyperlink" Id="rId227" Target="https://doi.org/10.1016/j.rsma.2015.05.005" TargetMode="External" /><Relationship Type="http://schemas.openxmlformats.org/officeDocument/2006/relationships/hyperlink" Id="rId237" Target="https://doi.org/10.1016/j.rsma.2015.11.010" TargetMode="External" /><Relationship Type="http://schemas.openxmlformats.org/officeDocument/2006/relationships/hyperlink" Id="rId233" Target="https://doi.org/10.1016/j.scitotenv.2011.09.088" TargetMode="External" /><Relationship Type="http://schemas.openxmlformats.org/officeDocument/2006/relationships/hyperlink" Id="rId182" Target="https://doi.org/10.1016/j.seares.2012.03.002" TargetMode="External" /><Relationship Type="http://schemas.openxmlformats.org/officeDocument/2006/relationships/hyperlink" Id="rId260" Target="https://doi.org/10.1029/2005jc003067" TargetMode="External" /><Relationship Type="http://schemas.openxmlformats.org/officeDocument/2006/relationships/hyperlink" Id="rId151" Target="https://doi.org/10.1029/wr018i001p00107" TargetMode="External" /><Relationship Type="http://schemas.openxmlformats.org/officeDocument/2006/relationships/hyperlink" Id="rId133" Target="https://doi.org/10.1038/ngeo1477" TargetMode="External" /><Relationship Type="http://schemas.openxmlformats.org/officeDocument/2006/relationships/hyperlink" Id="rId196" Target="https://doi.org/10.1038/s41467-018-03732-9" TargetMode="External" /><Relationship Type="http://schemas.openxmlformats.org/officeDocument/2006/relationships/hyperlink" Id="rId256" Target="https://doi.org/10.1073/pnas.0905620106" TargetMode="External" /><Relationship Type="http://schemas.openxmlformats.org/officeDocument/2006/relationships/hyperlink" Id="rId167" Target="https://doi.org/10.1073/pnas.1715798115" TargetMode="External" /><Relationship Type="http://schemas.openxmlformats.org/officeDocument/2006/relationships/hyperlink" Id="rId149" Target="https://doi.org/10.1073/pnas.2220678120" TargetMode="External" /><Relationship Type="http://schemas.openxmlformats.org/officeDocument/2006/relationships/hyperlink" Id="rId121" Target="https://doi.org/10.1080/00785236.1995.10422039" TargetMode="External" /><Relationship Type="http://schemas.openxmlformats.org/officeDocument/2006/relationships/hyperlink" Id="rId200" Target="https://doi.org/10.1093/biosci/bix058" TargetMode="External" /><Relationship Type="http://schemas.openxmlformats.org/officeDocument/2006/relationships/hyperlink" Id="rId153" Target="https://doi.org/10.1101/sqb.1957.022.01.039" TargetMode="External" /><Relationship Type="http://schemas.openxmlformats.org/officeDocument/2006/relationships/hyperlink" Id="rId105" Target="https://doi.org/10.1111/1365-2664.13169" TargetMode="External" /><Relationship Type="http://schemas.openxmlformats.org/officeDocument/2006/relationships/hyperlink" Id="rId258" Target="https://doi.org/10.1111/1365-2745.13648" TargetMode="External" /><Relationship Type="http://schemas.openxmlformats.org/officeDocument/2006/relationships/hyperlink" Id="rId184" Target="https://doi.org/10.1111/brv.12294" TargetMode="External" /><Relationship Type="http://schemas.openxmlformats.org/officeDocument/2006/relationships/hyperlink" Id="rId129" Target="https://doi.org/10.1111/conl.12938" TargetMode="External" /><Relationship Type="http://schemas.openxmlformats.org/officeDocument/2006/relationships/hyperlink" Id="rId206" Target="https://doi.org/10.1111/gcb.13084" TargetMode="External" /><Relationship Type="http://schemas.openxmlformats.org/officeDocument/2006/relationships/hyperlink" Id="rId169" Target="https://doi.org/10.1111/gcb.13623" TargetMode="External" /><Relationship Type="http://schemas.openxmlformats.org/officeDocument/2006/relationships/hyperlink" Id="rId127" Target="https://doi.org/10.1111/gcb.15684" TargetMode="External" /><Relationship Type="http://schemas.openxmlformats.org/officeDocument/2006/relationships/hyperlink" Id="rId77" Target="https://doi.org/10.1111/j.1365-2699.2006.01584.x" TargetMode="External" /><Relationship Type="http://schemas.openxmlformats.org/officeDocument/2006/relationships/hyperlink" Id="rId204" Target="https://doi.org/10.1126/sciadv.abc6434" TargetMode="External" /><Relationship Type="http://schemas.openxmlformats.org/officeDocument/2006/relationships/hyperlink" Id="rId252" Target="https://doi.org/10.1146/annurev.es.03.110172.000543" TargetMode="External" /><Relationship Type="http://schemas.openxmlformats.org/officeDocument/2006/relationships/hyperlink" Id="rId229" Target="https://doi.org/10.1353/sgo.2017.0026" TargetMode="External" /><Relationship Type="http://schemas.openxmlformats.org/officeDocument/2006/relationships/hyperlink" Id="rId198" Target="https://doi.org/10.1641/0006-3568(2006)56[987:agcfse]2.0.co;2" TargetMode="External" /><Relationship Type="http://schemas.openxmlformats.org/officeDocument/2006/relationships/hyperlink" Id="rId79" Target="https://doi.org/10.18637/jss.v067.i01" TargetMode="External" /><Relationship Type="http://schemas.openxmlformats.org/officeDocument/2006/relationships/hyperlink" Id="rId131" Target="https://doi.org/10.1890/1051-0761(2003)013[0474:frosdt]2.0.co;2" TargetMode="External" /><Relationship Type="http://schemas.openxmlformats.org/officeDocument/2006/relationships/hyperlink" Id="rId91" Target="https://doi.org/10.21105/joss.03485" TargetMode="External" /><Relationship Type="http://schemas.openxmlformats.org/officeDocument/2006/relationships/hyperlink" Id="rId231" Target="https://doi.org/10.21203/rs.3.rs-3528678/v1" TargetMode="External" /><Relationship Type="http://schemas.openxmlformats.org/officeDocument/2006/relationships/hyperlink" Id="rId103" Target="https://doi.org/10.2134/jeq2001.302303x" TargetMode="External" /><Relationship Type="http://schemas.openxmlformats.org/officeDocument/2006/relationships/hyperlink" Id="rId109" Target="https://doi.org/10.2307/1352383" TargetMode="External" /><Relationship Type="http://schemas.openxmlformats.org/officeDocument/2006/relationships/hyperlink" Id="rId143" Target="https://doi.org/10.2307/1353210" TargetMode="External" /><Relationship Type="http://schemas.openxmlformats.org/officeDocument/2006/relationships/hyperlink" Id="rId186" Target="https://doi.org/10.2307/1932688" TargetMode="External" /><Relationship Type="http://schemas.openxmlformats.org/officeDocument/2006/relationships/hyperlink" Id="rId212" Target="https://doi.org/10.3354/meps08925" TargetMode="External" /><Relationship Type="http://schemas.openxmlformats.org/officeDocument/2006/relationships/hyperlink" Id="rId145" Target="https://doi.org/10.3354/meps11923" TargetMode="External" /><Relationship Type="http://schemas.openxmlformats.org/officeDocument/2006/relationships/hyperlink" Id="rId99" Target="https://doi.org/10.3354/meps147277" TargetMode="External" /><Relationship Type="http://schemas.openxmlformats.org/officeDocument/2006/relationships/hyperlink" Id="rId210" Target="https://doi.org/10.3354/meps322099" TargetMode="External" /><Relationship Type="http://schemas.openxmlformats.org/officeDocument/2006/relationships/hyperlink" Id="rId89" Target="https://doi.org/10.3389/fevo.2023.1070266" TargetMode="External" /><Relationship Type="http://schemas.openxmlformats.org/officeDocument/2006/relationships/hyperlink" Id="rId235" Target="https://doi.org/10.3389/fevo.2023.1134069" TargetMode="External" /><Relationship Type="http://schemas.openxmlformats.org/officeDocument/2006/relationships/hyperlink" Id="rId141" Target="https://doi.org/10.3389/fmars.2022.767440" TargetMode="External" /><Relationship Type="http://schemas.openxmlformats.org/officeDocument/2006/relationships/hyperlink" Id="rId125" Target="https://doi.org/10.3389/fpls.2021.612947" TargetMode="External" /><Relationship Type="http://schemas.openxmlformats.org/officeDocument/2006/relationships/hyperlink" Id="rId81" Target="https://doi.org/10.5281/zenodo.3648664" TargetMode="External" /><Relationship Type="http://schemas.openxmlformats.org/officeDocument/2006/relationships/hyperlink" Id="rId83" Target="https://doi.org/10.5281/zenodo.4319936" TargetMode="External" /><Relationship Type="http://schemas.openxmlformats.org/officeDocument/2006/relationships/hyperlink" Id="rId180" Target="https://drive.google.com/file/d/1-1Jq9vly5EvVwEp698brlBucXjSMDbNn/view?usp=sharing" TargetMode="External" /><Relationship Type="http://schemas.openxmlformats.org/officeDocument/2006/relationships/hyperlink" Id="rId241" Target="https://drive.google.com/file/d/15zetRgrFKkWah9KAY1in7q0so8ywHzkA/view?usp=drive_link" TargetMode="External" /><Relationship Type="http://schemas.openxmlformats.org/officeDocument/2006/relationships/hyperlink" Id="rId163" Target="https://drive.google.com/file/d/19bNEs2qy6z0hXa1IE7OtbFTjqk1LarFN/view?usp=drivesdk" TargetMode="External" /><Relationship Type="http://schemas.openxmlformats.org/officeDocument/2006/relationships/hyperlink" Id="rId225" Target="https://drive.google.com/file/d/1BCviGfLykVX-p1tA3b0306deP3pKMagr/view?usp=drivesdk" TargetMode="External" /><Relationship Type="http://schemas.openxmlformats.org/officeDocument/2006/relationships/hyperlink" Id="rId159" Target="https://drive.google.com/file/d/1KARuSC5fGx05MuT1wiOQFWNXysBokkQl/view?usp=share_link" TargetMode="External" /><Relationship Type="http://schemas.openxmlformats.org/officeDocument/2006/relationships/hyperlink" Id="rId87" Target="https://drive.google.com/file/d/1RsRYmaF9ykxhw3L15YqOI9AE--sog6ib/view?usp=sharing" TargetMode="External" /><Relationship Type="http://schemas.openxmlformats.org/officeDocument/2006/relationships/hyperlink" Id="rId161" Target="https://drive.google.com/file/d/1Z_8L9sYQWSl1hon1tP1Y8zBo7MHQK9zC/view?usp=drivesdk" TargetMode="External" /><Relationship Type="http://schemas.openxmlformats.org/officeDocument/2006/relationships/hyperlink" Id="rId177" Target="https://drive.google.com/file/d/1iXX_JZP5fLS3ORIkFb7WwNYv8HjpHyKw/view?usp=sharing" TargetMode="External" /><Relationship Type="http://schemas.openxmlformats.org/officeDocument/2006/relationships/hyperlink" Id="rId155" Target="https://drive.google.com/file/d/1kZkvuprvsMyN9nPS5PHYvXHyo1KQxKTr/view?usp=drivesdk" TargetMode="External" /><Relationship Type="http://schemas.openxmlformats.org/officeDocument/2006/relationships/hyperlink" Id="rId171" Target="https://drive.google.com/file/d/1sNp3FpjdeOjATZ9nDRRAiXEOqQen9W_p/view?usp=sharing" TargetMode="External" /><Relationship Type="http://schemas.openxmlformats.org/officeDocument/2006/relationships/hyperlink" Id="rId101" Target="https://drive.google.com/file/d/1tUkGW7TRAJ_skWj-UemDVIJnUAsy0ITf/view?usp=drivesdk" TargetMode="External" /><Relationship Type="http://schemas.openxmlformats.org/officeDocument/2006/relationships/hyperlink" Id="rId157"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88"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5" Target="https://CRAN.R-project.org/package=SPEI" TargetMode="External" /><Relationship Type="http://schemas.openxmlformats.org/officeDocument/2006/relationships/hyperlink" Id="rId115"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62" Target="https://doi.org/10.1002/ehs2.1258" TargetMode="External" /><Relationship Type="http://schemas.openxmlformats.org/officeDocument/2006/relationships/hyperlink" Id="rId97" Target="https://doi.org/10.1002/joc.3887" TargetMode="External" /><Relationship Type="http://schemas.openxmlformats.org/officeDocument/2006/relationships/hyperlink" Id="rId190" Target="https://doi.org/10.1002/lno.10789" TargetMode="External" /><Relationship Type="http://schemas.openxmlformats.org/officeDocument/2006/relationships/hyperlink" Id="rId250" Target="https://doi.org/10.1002/lol2.10098" TargetMode="External" /><Relationship Type="http://schemas.openxmlformats.org/officeDocument/2006/relationships/hyperlink" Id="rId248" Target="https://doi.org/10.1002/nt.2620020503" TargetMode="External" /><Relationship Type="http://schemas.openxmlformats.org/officeDocument/2006/relationships/hyperlink" Id="rId254" Target="https://doi.org/10.1007/978-0-387-21706-2" TargetMode="External" /><Relationship Type="http://schemas.openxmlformats.org/officeDocument/2006/relationships/hyperlink" Id="rId269" Target="https://doi.org/10.1007/978-0-387-87458-6" TargetMode="External" /><Relationship Type="http://schemas.openxmlformats.org/officeDocument/2006/relationships/hyperlink" Id="rId218" Target="https://doi.org/10.1007/bf02691345" TargetMode="External" /><Relationship Type="http://schemas.openxmlformats.org/officeDocument/2006/relationships/hyperlink" Id="rId173" Target="https://doi.org/10.1007/bf02691700" TargetMode="External" /><Relationship Type="http://schemas.openxmlformats.org/officeDocument/2006/relationships/hyperlink" Id="rId192" Target="https://doi.org/10.1007/bf02798652" TargetMode="External" /><Relationship Type="http://schemas.openxmlformats.org/officeDocument/2006/relationships/hyperlink" Id="rId137" Target="https://doi.org/10.1007/s00267-005-0079-4" TargetMode="External" /><Relationship Type="http://schemas.openxmlformats.org/officeDocument/2006/relationships/hyperlink" Id="rId223" Target="https://doi.org/10.1007/s00267-013-0179-5" TargetMode="External" /><Relationship Type="http://schemas.openxmlformats.org/officeDocument/2006/relationships/hyperlink" Id="rId147" Target="https://doi.org/10.1007/s11802-014-2471-2" TargetMode="External" /><Relationship Type="http://schemas.openxmlformats.org/officeDocument/2006/relationships/hyperlink" Id="rId123" Target="https://doi.org/10.1007/s12237-008-9038-7" TargetMode="External" /><Relationship Type="http://schemas.openxmlformats.org/officeDocument/2006/relationships/hyperlink" Id="rId93" Target="https://doi.org/10.1007/s12237-019-00619-w" TargetMode="External" /><Relationship Type="http://schemas.openxmlformats.org/officeDocument/2006/relationships/hyperlink" Id="rId202" Target="https://doi.org/10.1007/s12237-023-01252-4" TargetMode="External" /><Relationship Type="http://schemas.openxmlformats.org/officeDocument/2006/relationships/hyperlink" Id="rId267" Target="https://doi.org/10.1016/0304-3770(75)90016-9" TargetMode="External" /><Relationship Type="http://schemas.openxmlformats.org/officeDocument/2006/relationships/hyperlink" Id="rId239" Target="https://doi.org/10.1016/j.aquabot.2005.06.003" TargetMode="External" /><Relationship Type="http://schemas.openxmlformats.org/officeDocument/2006/relationships/hyperlink" Id="rId194" Target="https://doi.org/10.1016/j.dsr2.2023.105321" TargetMode="External" /><Relationship Type="http://schemas.openxmlformats.org/officeDocument/2006/relationships/hyperlink" Id="rId215" Target="https://doi.org/10.1016/j.ecolind.2015.12.007" TargetMode="External" /><Relationship Type="http://schemas.openxmlformats.org/officeDocument/2006/relationships/hyperlink" Id="rId220" Target="https://doi.org/10.1016/j.ecolind.2020.107310" TargetMode="External" /><Relationship Type="http://schemas.openxmlformats.org/officeDocument/2006/relationships/hyperlink" Id="rId107" Target="https://doi.org/10.1016/j.ecolind.2023.111035" TargetMode="External" /><Relationship Type="http://schemas.openxmlformats.org/officeDocument/2006/relationships/hyperlink" Id="rId139" Target="https://doi.org/10.1016/j.ecss.2014.10.003" TargetMode="External" /><Relationship Type="http://schemas.openxmlformats.org/officeDocument/2006/relationships/hyperlink" Id="rId175" Target="https://doi.org/10.1016/j.ecss.2022.108134" TargetMode="External" /><Relationship Type="http://schemas.openxmlformats.org/officeDocument/2006/relationships/hyperlink" Id="rId165" Target="https://doi.org/10.1016/j.jembe.2007.05.031" TargetMode="External" /><Relationship Type="http://schemas.openxmlformats.org/officeDocument/2006/relationships/hyperlink" Id="rId111" Target="https://doi.org/10.1016/j.jembe.2007.06.024" TargetMode="External" /><Relationship Type="http://schemas.openxmlformats.org/officeDocument/2006/relationships/hyperlink" Id="rId119" Target="https://doi.org/10.1016/j.jenvman.2018.01.025" TargetMode="External" /><Relationship Type="http://schemas.openxmlformats.org/officeDocument/2006/relationships/hyperlink" Id="rId246" Target="https://doi.org/10.1016/j.marpolbul.2005.02.010" TargetMode="External" /><Relationship Type="http://schemas.openxmlformats.org/officeDocument/2006/relationships/hyperlink" Id="rId135" Target="https://doi.org/10.1016/j.marpolbul.2010.11.017" TargetMode="External" /><Relationship Type="http://schemas.openxmlformats.org/officeDocument/2006/relationships/hyperlink" Id="rId244" Target="https://doi.org/10.1016/j.marpolbul.2020.111247" TargetMode="External" /><Relationship Type="http://schemas.openxmlformats.org/officeDocument/2006/relationships/hyperlink" Id="rId85" Target="https://doi.org/10.1016/j.marpolbul.2022.113598" TargetMode="External" /><Relationship Type="http://schemas.openxmlformats.org/officeDocument/2006/relationships/hyperlink" Id="rId265" Target="https://doi.org/10.1016/j.marpolbul.2023.115043" TargetMode="External" /><Relationship Type="http://schemas.openxmlformats.org/officeDocument/2006/relationships/hyperlink" Id="rId117" Target="https://doi.org/10.1016/j.ocecoaman.2023.106490" TargetMode="External" /><Relationship Type="http://schemas.openxmlformats.org/officeDocument/2006/relationships/hyperlink" Id="rId75" Target="https://doi.org/10.1016/j.ocecoaman.2023.106929" TargetMode="External" /><Relationship Type="http://schemas.openxmlformats.org/officeDocument/2006/relationships/hyperlink" Id="rId113" Target="https://doi.org/10.1016/j.rse.2018.02.014" TargetMode="External" /><Relationship Type="http://schemas.openxmlformats.org/officeDocument/2006/relationships/hyperlink" Id="rId227" Target="https://doi.org/10.1016/j.rsma.2015.05.005" TargetMode="External" /><Relationship Type="http://schemas.openxmlformats.org/officeDocument/2006/relationships/hyperlink" Id="rId237" Target="https://doi.org/10.1016/j.rsma.2015.11.010" TargetMode="External" /><Relationship Type="http://schemas.openxmlformats.org/officeDocument/2006/relationships/hyperlink" Id="rId233" Target="https://doi.org/10.1016/j.scitotenv.2011.09.088" TargetMode="External" /><Relationship Type="http://schemas.openxmlformats.org/officeDocument/2006/relationships/hyperlink" Id="rId182" Target="https://doi.org/10.1016/j.seares.2012.03.002" TargetMode="External" /><Relationship Type="http://schemas.openxmlformats.org/officeDocument/2006/relationships/hyperlink" Id="rId260" Target="https://doi.org/10.1029/2005jc003067" TargetMode="External" /><Relationship Type="http://schemas.openxmlformats.org/officeDocument/2006/relationships/hyperlink" Id="rId151" Target="https://doi.org/10.1029/wr018i001p00107" TargetMode="External" /><Relationship Type="http://schemas.openxmlformats.org/officeDocument/2006/relationships/hyperlink" Id="rId133" Target="https://doi.org/10.1038/ngeo1477" TargetMode="External" /><Relationship Type="http://schemas.openxmlformats.org/officeDocument/2006/relationships/hyperlink" Id="rId196" Target="https://doi.org/10.1038/s41467-018-03732-9" TargetMode="External" /><Relationship Type="http://schemas.openxmlformats.org/officeDocument/2006/relationships/hyperlink" Id="rId256" Target="https://doi.org/10.1073/pnas.0905620106" TargetMode="External" /><Relationship Type="http://schemas.openxmlformats.org/officeDocument/2006/relationships/hyperlink" Id="rId167" Target="https://doi.org/10.1073/pnas.1715798115" TargetMode="External" /><Relationship Type="http://schemas.openxmlformats.org/officeDocument/2006/relationships/hyperlink" Id="rId149" Target="https://doi.org/10.1073/pnas.2220678120" TargetMode="External" /><Relationship Type="http://schemas.openxmlformats.org/officeDocument/2006/relationships/hyperlink" Id="rId121" Target="https://doi.org/10.1080/00785236.1995.10422039" TargetMode="External" /><Relationship Type="http://schemas.openxmlformats.org/officeDocument/2006/relationships/hyperlink" Id="rId200" Target="https://doi.org/10.1093/biosci/bix058" TargetMode="External" /><Relationship Type="http://schemas.openxmlformats.org/officeDocument/2006/relationships/hyperlink" Id="rId153" Target="https://doi.org/10.1101/sqb.1957.022.01.039" TargetMode="External" /><Relationship Type="http://schemas.openxmlformats.org/officeDocument/2006/relationships/hyperlink" Id="rId105" Target="https://doi.org/10.1111/1365-2664.13169" TargetMode="External" /><Relationship Type="http://schemas.openxmlformats.org/officeDocument/2006/relationships/hyperlink" Id="rId258" Target="https://doi.org/10.1111/1365-2745.13648" TargetMode="External" /><Relationship Type="http://schemas.openxmlformats.org/officeDocument/2006/relationships/hyperlink" Id="rId184" Target="https://doi.org/10.1111/brv.12294" TargetMode="External" /><Relationship Type="http://schemas.openxmlformats.org/officeDocument/2006/relationships/hyperlink" Id="rId129" Target="https://doi.org/10.1111/conl.12938" TargetMode="External" /><Relationship Type="http://schemas.openxmlformats.org/officeDocument/2006/relationships/hyperlink" Id="rId206" Target="https://doi.org/10.1111/gcb.13084" TargetMode="External" /><Relationship Type="http://schemas.openxmlformats.org/officeDocument/2006/relationships/hyperlink" Id="rId169" Target="https://doi.org/10.1111/gcb.13623" TargetMode="External" /><Relationship Type="http://schemas.openxmlformats.org/officeDocument/2006/relationships/hyperlink" Id="rId127" Target="https://doi.org/10.1111/gcb.15684" TargetMode="External" /><Relationship Type="http://schemas.openxmlformats.org/officeDocument/2006/relationships/hyperlink" Id="rId77" Target="https://doi.org/10.1111/j.1365-2699.2006.01584.x" TargetMode="External" /><Relationship Type="http://schemas.openxmlformats.org/officeDocument/2006/relationships/hyperlink" Id="rId204" Target="https://doi.org/10.1126/sciadv.abc6434" TargetMode="External" /><Relationship Type="http://schemas.openxmlformats.org/officeDocument/2006/relationships/hyperlink" Id="rId252" Target="https://doi.org/10.1146/annurev.es.03.110172.000543" TargetMode="External" /><Relationship Type="http://schemas.openxmlformats.org/officeDocument/2006/relationships/hyperlink" Id="rId229" Target="https://doi.org/10.1353/sgo.2017.0026" TargetMode="External" /><Relationship Type="http://schemas.openxmlformats.org/officeDocument/2006/relationships/hyperlink" Id="rId198" Target="https://doi.org/10.1641/0006-3568(2006)56[987:agcfse]2.0.co;2" TargetMode="External" /><Relationship Type="http://schemas.openxmlformats.org/officeDocument/2006/relationships/hyperlink" Id="rId79" Target="https://doi.org/10.18637/jss.v067.i01" TargetMode="External" /><Relationship Type="http://schemas.openxmlformats.org/officeDocument/2006/relationships/hyperlink" Id="rId131" Target="https://doi.org/10.1890/1051-0761(2003)013[0474:frosdt]2.0.co;2" TargetMode="External" /><Relationship Type="http://schemas.openxmlformats.org/officeDocument/2006/relationships/hyperlink" Id="rId91" Target="https://doi.org/10.21105/joss.03485" TargetMode="External" /><Relationship Type="http://schemas.openxmlformats.org/officeDocument/2006/relationships/hyperlink" Id="rId231" Target="https://doi.org/10.21203/rs.3.rs-3528678/v1" TargetMode="External" /><Relationship Type="http://schemas.openxmlformats.org/officeDocument/2006/relationships/hyperlink" Id="rId103" Target="https://doi.org/10.2134/jeq2001.302303x" TargetMode="External" /><Relationship Type="http://schemas.openxmlformats.org/officeDocument/2006/relationships/hyperlink" Id="rId109" Target="https://doi.org/10.2307/1352383" TargetMode="External" /><Relationship Type="http://schemas.openxmlformats.org/officeDocument/2006/relationships/hyperlink" Id="rId143" Target="https://doi.org/10.2307/1353210" TargetMode="External" /><Relationship Type="http://schemas.openxmlformats.org/officeDocument/2006/relationships/hyperlink" Id="rId186" Target="https://doi.org/10.2307/1932688" TargetMode="External" /><Relationship Type="http://schemas.openxmlformats.org/officeDocument/2006/relationships/hyperlink" Id="rId212" Target="https://doi.org/10.3354/meps08925" TargetMode="External" /><Relationship Type="http://schemas.openxmlformats.org/officeDocument/2006/relationships/hyperlink" Id="rId145" Target="https://doi.org/10.3354/meps11923" TargetMode="External" /><Relationship Type="http://schemas.openxmlformats.org/officeDocument/2006/relationships/hyperlink" Id="rId99" Target="https://doi.org/10.3354/meps147277" TargetMode="External" /><Relationship Type="http://schemas.openxmlformats.org/officeDocument/2006/relationships/hyperlink" Id="rId210" Target="https://doi.org/10.3354/meps322099" TargetMode="External" /><Relationship Type="http://schemas.openxmlformats.org/officeDocument/2006/relationships/hyperlink" Id="rId89" Target="https://doi.org/10.3389/fevo.2023.1070266" TargetMode="External" /><Relationship Type="http://schemas.openxmlformats.org/officeDocument/2006/relationships/hyperlink" Id="rId235" Target="https://doi.org/10.3389/fevo.2023.1134069" TargetMode="External" /><Relationship Type="http://schemas.openxmlformats.org/officeDocument/2006/relationships/hyperlink" Id="rId141" Target="https://doi.org/10.3389/fmars.2022.767440" TargetMode="External" /><Relationship Type="http://schemas.openxmlformats.org/officeDocument/2006/relationships/hyperlink" Id="rId125" Target="https://doi.org/10.3389/fpls.2021.612947" TargetMode="External" /><Relationship Type="http://schemas.openxmlformats.org/officeDocument/2006/relationships/hyperlink" Id="rId81" Target="https://doi.org/10.5281/zenodo.3648664" TargetMode="External" /><Relationship Type="http://schemas.openxmlformats.org/officeDocument/2006/relationships/hyperlink" Id="rId83" Target="https://doi.org/10.5281/zenodo.4319936" TargetMode="External" /><Relationship Type="http://schemas.openxmlformats.org/officeDocument/2006/relationships/hyperlink" Id="rId180" Target="https://drive.google.com/file/d/1-1Jq9vly5EvVwEp698brlBucXjSMDbNn/view?usp=sharing" TargetMode="External" /><Relationship Type="http://schemas.openxmlformats.org/officeDocument/2006/relationships/hyperlink" Id="rId241" Target="https://drive.google.com/file/d/15zetRgrFKkWah9KAY1in7q0so8ywHzkA/view?usp=drive_link" TargetMode="External" /><Relationship Type="http://schemas.openxmlformats.org/officeDocument/2006/relationships/hyperlink" Id="rId163" Target="https://drive.google.com/file/d/19bNEs2qy6z0hXa1IE7OtbFTjqk1LarFN/view?usp=drivesdk" TargetMode="External" /><Relationship Type="http://schemas.openxmlformats.org/officeDocument/2006/relationships/hyperlink" Id="rId225" Target="https://drive.google.com/file/d/1BCviGfLykVX-p1tA3b0306deP3pKMagr/view?usp=drivesdk" TargetMode="External" /><Relationship Type="http://schemas.openxmlformats.org/officeDocument/2006/relationships/hyperlink" Id="rId159" Target="https://drive.google.com/file/d/1KARuSC5fGx05MuT1wiOQFWNXysBokkQl/view?usp=share_link" TargetMode="External" /><Relationship Type="http://schemas.openxmlformats.org/officeDocument/2006/relationships/hyperlink" Id="rId87" Target="https://drive.google.com/file/d/1RsRYmaF9ykxhw3L15YqOI9AE--sog6ib/view?usp=sharing" TargetMode="External" /><Relationship Type="http://schemas.openxmlformats.org/officeDocument/2006/relationships/hyperlink" Id="rId161" Target="https://drive.google.com/file/d/1Z_8L9sYQWSl1hon1tP1Y8zBo7MHQK9zC/view?usp=drivesdk" TargetMode="External" /><Relationship Type="http://schemas.openxmlformats.org/officeDocument/2006/relationships/hyperlink" Id="rId177" Target="https://drive.google.com/file/d/1iXX_JZP5fLS3ORIkFb7WwNYv8HjpHyKw/view?usp=sharing" TargetMode="External" /><Relationship Type="http://schemas.openxmlformats.org/officeDocument/2006/relationships/hyperlink" Id="rId155" Target="https://drive.google.com/file/d/1kZkvuprvsMyN9nPS5PHYvXHyo1KQxKTr/view?usp=drivesdk" TargetMode="External" /><Relationship Type="http://schemas.openxmlformats.org/officeDocument/2006/relationships/hyperlink" Id="rId171" Target="https://drive.google.com/file/d/1sNp3FpjdeOjATZ9nDRRAiXEOqQen9W_p/view?usp=sharing" TargetMode="External" /><Relationship Type="http://schemas.openxmlformats.org/officeDocument/2006/relationships/hyperlink" Id="rId101" Target="https://drive.google.com/file/d/1tUkGW7TRAJ_skWj-UemDVIJnUAsy0ITf/view?usp=drivesdk" TargetMode="External" /><Relationship Type="http://schemas.openxmlformats.org/officeDocument/2006/relationships/hyperlink" Id="rId157"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88"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conditions for seagrass in a large Gulf coast estuary</dc:title>
  <dc:creator>Marcus W Beck1,✉, Kerry Flaherty-Walia1, Sheila Scolaro1, Maya C Burke1, Bradley T Furman2, David J Karlen3, Chris Pratt3, Chris Anastasiou4, and Edward T Sherwood1</dc:creator>
  <cp:keywords/>
  <dcterms:created xsi:type="dcterms:W3CDTF">2024-02-07T14:17:23Z</dcterms:created>
  <dcterms:modified xsi:type="dcterms:W3CDTF">2024-02-07T14:17:23Z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