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57.png" ContentType="image/png"/>
  <Override PartName="/word/media/rId41.png" ContentType="image/png"/>
  <Override PartName="/word/media/rId53.png" ContentType="image/png"/>
  <Override PartName="/word/media/rId61.png" ContentType="image/png"/>
  <Override PartName="/word/media/rId45.png" ContentType="image/png"/>
  <Override PartName="/word/media/rId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evidence</w:t>
      </w:r>
      <w:r>
        <w:t xml:space="preserve"> </w:t>
      </w:r>
      <w:r>
        <w:t xml:space="preserve">of</w:t>
      </w:r>
      <w:r>
        <w:t xml:space="preserve"> </w:t>
      </w:r>
      <w:r>
        <w:t xml:space="preserve">climate-related</w:t>
      </w:r>
      <w:r>
        <w:t xml:space="preserve"> </w:t>
      </w:r>
      <w:r>
        <w:t xml:space="preserve">suboptimal</w:t>
      </w:r>
      <w:r>
        <w:t xml:space="preserve"> </w:t>
      </w:r>
      <w:r>
        <w:t xml:space="preserve">conditions</w:t>
      </w:r>
      <w:r>
        <w:t xml:space="preserve"> </w:t>
      </w:r>
      <w:r>
        <w:t xml:space="preserve">for</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Bradley T Furman</w:t>
      </w:r>
      <w:r>
        <w:rPr>
          <w:vertAlign w:val="superscript"/>
        </w:rPr>
        <w:t xml:space="preserve">2</w:t>
      </w:r>
      <w:r>
        <w:t xml:space="preserve">,</w:t>
      </w:r>
      <w:r>
        <w:t xml:space="preserve"> </w:t>
      </w:r>
      <w:r>
        <w:t xml:space="preserve">David J Karlen</w:t>
      </w:r>
      <w:r>
        <w:rPr>
          <w:vertAlign w:val="superscript"/>
        </w:rPr>
        <w:t xml:space="preserve">3</w:t>
      </w:r>
      <w:r>
        <w:t xml:space="preserve">,</w:t>
      </w:r>
      <w:r>
        <w:t xml:space="preserve"> </w:t>
      </w:r>
      <w:r>
        <w:t xml:space="preserve">Chris Pratt</w:t>
      </w:r>
      <w:r>
        <w:rPr>
          <w:vertAlign w:val="superscript"/>
        </w:rPr>
        <w:t xml:space="preserve">3</w:t>
      </w:r>
      <w:r>
        <w:t xml:space="preserve">,</w:t>
      </w:r>
      <w:r>
        <w:t xml:space="preserve"> </w:t>
      </w:r>
      <w:r>
        <w:t xml:space="preserve">Chris Anastasiou</w:t>
      </w:r>
      <w:r>
        <w:rPr>
          <w:vertAlign w:val="superscript"/>
        </w:rPr>
        <w:t xml:space="preserve">4</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Florida Fish and Wildlife Conservation Commission, Florida Fish and Wildlife Research Institute, 100 8th Avenue SE, St. Petersburg, FL 33701, USA</w:t>
      </w:r>
      <w:r>
        <w:br/>
      </w:r>
      <w:r>
        <w:rPr>
          <w:vertAlign w:val="superscript"/>
        </w:rPr>
        <w:t xml:space="preserve">3</w:t>
      </w:r>
      <w:r>
        <w:t xml:space="preserve"> </w:t>
      </w:r>
      <w:r>
        <w:t xml:space="preserve">Environmental Protection Commission of Hillsborough County, 3629 Queen Palm Drive, Tampa, FL 33619, USA</w:t>
      </w:r>
      <w:r>
        <w:br/>
      </w:r>
      <w:r>
        <w:rPr>
          <w:vertAlign w:val="superscript"/>
        </w:rPr>
        <w:t xml:space="preserve">4</w:t>
      </w:r>
      <w:r>
        <w:t xml:space="preserve"> </w:t>
      </w:r>
      <w:r>
        <w:t xml:space="preserve">Southwest Florida Water Management District, 7601 US Highway 301 North, Tampa, FL 33637,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Seagrasses have long been a focal point for management efforts aimed at restoring ecosystem health in estuaries worldwide. In Tampa Bay, Florida (USA), seagrass coverage has declined since 2016 by nearly a third (11,518 acres), despite sustained reductions of nitrogen loads supportive of light environments for growth. Changing physical water quality conditions related to climate change may be stressing seagrasses beyond their optimal growth ranges, requiring an assessment to determine if this decline can be linked to climate stress. Three ambient water quality datasets of varying sampling design and coverage were evaluated to characterize physicochemical environments in Tampa Bay and the potential relationships with seagrass change. Over the last fifty years, Tampa Bay has become hotter and fresher with water temperature increasing by 0.03 - 0.07</w:t>
      </w:r>
      <w:r>
        <w:t xml:space="preserve"> </w:t>
      </w:r>
      <m:oMath>
        <m:sSup>
          <m:e>
            <m:r>
              <m:t>​</m:t>
            </m:r>
          </m:e>
          <m:sup>
            <m:r>
              <m:rPr>
                <m:sty m:val="p"/>
              </m:rPr>
              <m:t>∘</m:t>
            </m:r>
          </m:sup>
        </m:sSup>
      </m:oMath>
      <w:r>
        <w:t xml:space="preserve">C per year and salinity decreasing by 0.04 - 0.2 ppt per year. These changes varied spatially and seasonally, with the most dramatic changes observed in the upper bay during the summer months. Simple linear models provided a weight-of-evidence that recent seagrass declines are somewhat associated with hotter and fresher conditions. Trends in warming and increased precipitation in the region are likely to continue, further creating suboptimal conditions for seagrasses in Tampa Bay. These results should compel resource managers to consider the likelihood that reduced resilience of estuarine resources due to shifting ecological baselines driven by additional climate change drivers will complicate long-standing management paradigms. While conventional management approaches that focus on limiting nutrient loads should be continued, their future effectiveness may be confounded by other cliamte change drivers and warrant additional, complementary interventions to maintain ecosystem health into the future.</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at a global scale. Seagrasses are fundamental indicators of coastal ecosystem health</w:t>
      </w:r>
      <w:r>
        <w:t xml:space="preserve"> </w:t>
      </w:r>
      <w:r>
        <w:t xml:space="preserve">(Roca et al. 2016; Orth et al. 2017)</w:t>
      </w:r>
      <w:r>
        <w:t xml:space="preserve">, while also serving as foundational species that provide numerous ecosystem services</w:t>
      </w:r>
      <w:r>
        <w:t xml:space="preserve"> </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to, if not more significant than, other interconnected critical coastal environments such as mangroves and salt marshes</w:t>
      </w:r>
      <w:r>
        <w:t xml:space="preserve"> </w:t>
      </w:r>
      <w:r>
        <w:t xml:space="preserve">(Duarte et al. 2008)</w:t>
      </w:r>
      <w:r>
        <w:t xml:space="preserve">, which threatens the natural and economic services that these habitats provide. Losses have been attributed to numerous stressors including decline in light environments with nutrient enrichment, sedimentation, and physical disturbance primarily from human activities</w:t>
      </w:r>
      <w:r>
        <w:t xml:space="preserve"> </w:t>
      </w:r>
      <w:r>
        <w:t xml:space="preserve">(Duarte 1995; Margaret O. Hall et al. 1999; Orth et al. 2006; Burkholder et al. 2007)</w:t>
      </w:r>
      <w:r>
        <w:t xml:space="preserve">. Furthermore, natural disturbances such as storm events and disease have also been implicated</w:t>
      </w:r>
      <w:r>
        <w:t xml:space="preserve"> </w:t>
      </w:r>
      <w:r>
        <w:t xml:space="preserve">(Robblee et al. 1991; Tomasko et al. 2020)</w:t>
      </w:r>
      <w:r>
        <w:t xml:space="preserve">. Contemporary management actions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coastal environments requires environmental conditions that support vegetative growth, reproduction, and coverage expansion. A long-standing approach adopted by numerous management entities has been the control of external nutrient inputs in systems where excessive algal growth has created poor light environments for seagrasses</w:t>
      </w:r>
      <w:r>
        <w:t xml:space="preserve"> </w:t>
      </w:r>
      <w:r>
        <w:t xml:space="preserve">(Boesch et al. 2001; Greening and Janicki 2006; Greening et al. 2014; Han and Liu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external nutrient loads.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Complementary management actions, in addition to nutrient reductions, are needed in these situations.</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increased temperature and altered precipitation patterns. These changes will profoundly alter physicochemical habitats, creating suboptimal or uninhabitable conditions for many species</w:t>
      </w:r>
      <w:r>
        <w:t xml:space="preserve"> </w:t>
      </w:r>
      <w:r>
        <w:t xml:space="preserve">(Madeira et al. 2012; Lefcheck et al. 2017;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effects of decreased water clarity for seagrasses in shallow habitats were exacerbated by acute warming related to climate change, demonstrating a concerning synergy of stressors most likely to affect Tampa Bay.</w:t>
      </w:r>
      <w:r>
        <w:t xml:space="preserve"> </w:t>
      </w:r>
      <w:r>
        <w:t xml:space="preserve">Moreno-Marín et al. (2018)</w:t>
      </w:r>
      <w:r>
        <w:t xml:space="preserve"> </w:t>
      </w:r>
      <w:r>
        <w:t xml:space="preserve">produced similar results using a multifactorial experiment that considered temperature, light, and nutrient (nitrogen) availability for North Sea eelgrass (</w:t>
      </w:r>
      <w:r>
        <w:rPr>
          <w:iCs/>
          <w:i/>
        </w:rPr>
        <w:t xml:space="preserve">Zostera marina</w:t>
      </w:r>
      <w:r>
        <w:t xml:space="preserve">). Species shifts are also expected to occur as changing physical conditions decrease the competitive advantages of historically abundant species. In Chesapeake Bay, the abundance of widgeongrass (</w:t>
      </w:r>
      <w:r>
        <w:rPr>
          <w:iCs/>
          <w:i/>
        </w:rPr>
        <w:t xml:space="preserve">Ruppia maritima</w:t>
      </w:r>
      <w:r>
        <w:t xml:space="preserve">) has responded positively to nutrient reduction and is replacing the formerly dominant but now heat-stressed</w:t>
      </w:r>
      <w:r>
        <w:t xml:space="preserve"> </w:t>
      </w:r>
      <w:r>
        <w:t xml:space="preserve">(</w:t>
      </w:r>
      <w:r>
        <w:rPr>
          <w:iCs/>
          <w:i/>
        </w:rPr>
        <w:t xml:space="preserve">Z. marina</w:t>
      </w:r>
      <w:r>
        <w:t xml:space="preserve">, Hensel et al. 2023)</w:t>
      </w:r>
      <w:r>
        <w:t xml:space="preserve">. Changing frequency and severity of precipitation patterns may further alter salinity regimes and with it the distribution and abundance of seagrasses throughout the estuary</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 species may respond differently under individual or multiple stressors and each watershed will respond differently to climate change</w:t>
      </w:r>
      <w:r>
        <w:t xml:space="preserve"> </w:t>
      </w:r>
      <w:r>
        <w:t xml:space="preserve">(Lefcheck et al. 2017; Zhang et al. 2023)</w:t>
      </w:r>
      <w:r>
        <w:t xml:space="preserve">, suggesting place-based empirical assessments will be needed to properly inform management decisions.</w:t>
      </w:r>
    </w:p>
    <w:p>
      <w:pPr>
        <w:pStyle w:val="BodyText"/>
      </w:pPr>
      <w:r>
        <w:t xml:space="preserve">In Tampa Bay, Florida, seagrasses are a primary indicator of bay health and have been the focus of management efforts for the last thirty years</w:t>
      </w:r>
      <w:r>
        <w:t xml:space="preserve"> </w:t>
      </w:r>
      <w:r>
        <w:t xml:space="preserve">(Sherwood et al. 2017)</w:t>
      </w:r>
      <w:r>
        <w:t xml:space="preserve">. Through successful reduction of external nitrogen loads, seagrasses have recovered from a low, system-wide coverage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w:t>
      </w:r>
      <w:r>
        <w:t xml:space="preserve"> </w:t>
      </w:r>
      <w:r>
        <w:t xml:space="preserve">(Janicki and Wade 1996; Beck 2020a)</w:t>
      </w:r>
      <w:r>
        <w:t xml:space="preserve">. Factors that have influenced this recent decline are unknown and the effects of climate change drivers on physical water quality conditions have been implicated as potential stressors.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sampling designs and temporal coverage were used to assess the primary hypothesis that Tampa Bay is trending towards hotter and fresher conditions that are likely stressing seagrasses beyond their optimal tolerance ranges, particularly in upper bay segments where marginal light environments exist. This hypothesis was generated from preliminary assessments of datasets used herein and discussions with the regional scientific and management community, despite information in the primary literature suggesting the contrary for salinity</w:t>
      </w:r>
      <w:r>
        <w:t xml:space="preserve"> </w:t>
      </w:r>
      <w:r>
        <w:t xml:space="preserve">(e.g., Costa et al. 2023)</w:t>
      </w:r>
      <w:r>
        <w:t xml:space="preserve">. The analysis was supported by 30-year seagrass datasets describing approximate biennial coverage of all seagrasses, annual transect monitoring describing cover of individual species, and synoptic seagrass data collected with routine biotic and water quality surveys. Specific focus was on the periods prior to and after 2016, when seagrasses recovered baywide and then declined despite water quality conditions remaining relatively stable.</w:t>
      </w:r>
    </w:p>
    <w:bookmarkEnd w:id="22"/>
    <w:bookmarkStart w:id="33"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that contribute to a majority of freshwater inflow to the bay. Tampa Bay straddles the tropical and temperate boundary of central Florida characterized by warm, humid conditions and a distinct rainy season during the summer</w:t>
      </w:r>
      <w:r>
        <w:t xml:space="preserve"> </w:t>
      </w:r>
      <w:r>
        <w:t xml:space="preserve">(Morrison et al. 2006)</w:t>
      </w:r>
      <w:r>
        <w:t xml:space="preserve">. El Niño weather events have also been associated with prolonged periods of heavy rainfall contributing to seagrass reductions through increased stormwater nutrient loads</w:t>
      </w:r>
      <w:r>
        <w:t xml:space="preserve"> </w:t>
      </w:r>
      <w:r>
        <w:t xml:space="preserve">(Schmidt and Luther 2002; Greening and Janicki 2006; Morrison et al. 2006)</w:t>
      </w:r>
      <w:r>
        <w:t xml:space="preserve">. The watershed is heavily developed and includes over 3 million people</w:t>
      </w:r>
      <w:r>
        <w:t xml:space="preserve"> </w:t>
      </w:r>
      <w:r>
        <w:t xml:space="preserve">(Todd et al. 2023)</w:t>
      </w:r>
      <w:r>
        <w:t xml:space="preserve"> </w:t>
      </w:r>
      <w:r>
        <w:t xml:space="preserve">with 42% of the land as urban or suburban contributing substantial inputs of wastewater and stormwater runoff that can stress bay resources</w:t>
      </w:r>
      <w:r>
        <w:t xml:space="preserve"> </w:t>
      </w:r>
      <w:r>
        <w:t xml:space="preserve">(Beck, Robison,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direct external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channelized tributaries and manmade flood control conveyances</w:t>
      </w:r>
      <w:r>
        <w:t xml:space="preserve"> </w:t>
      </w:r>
      <w:r>
        <w:t xml:space="preserve">(Janicki Environmental, Inc. 2023)</w:t>
      </w:r>
      <w:r>
        <w:t xml:space="preserve">. Notably, Old Tampa Bay has restricted circulation from multiple land bridges associated with causeways that traverse the bay</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of a successful management paradigm through the EPA-administered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The greatest areal coverage expansions were observed in the upper bay segments (OTB, HB, and MTB; Figure</w:t>
      </w:r>
      <w:r>
        <w:t xml:space="preserve"> </w:t>
      </w:r>
      <w:hyperlink w:anchor="fig-seagrasschg">
        <w:r>
          <w:rPr>
            <w:rStyle w:val="Hyperlink"/>
          </w:rPr>
          <w:t xml:space="preserve">2</w:t>
        </w:r>
      </w:hyperlink>
      <w:r>
        <w:t xml:space="preserve">a). Throughout this same period, external nitrogen load estimates decreased by about 2/3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and additional stormwater control projects implemented in the watershed</w:t>
      </w:r>
      <w:r>
        <w:t xml:space="preserve"> </w:t>
      </w:r>
      <w:r>
        <w:t xml:space="preserve">(Greening et al. 2014; Beck et al. 2019)</w:t>
      </w:r>
      <w:r>
        <w:t xml:space="preserve">.</w:t>
      </w:r>
    </w:p>
    <w:p>
      <w:pPr>
        <w:pStyle w:val="BodyText"/>
      </w:pPr>
      <w:r>
        <w:t xml:space="preserve">From 2016 to present, dramatic losses of seagrasses have been observed in Tampa Bay, despite nutrient loading and light attenuation remaining relatively stable (Figure</w:t>
      </w:r>
      <w:r>
        <w:t xml:space="preserve"> </w:t>
      </w:r>
      <w:hyperlink w:anchor="fig-seagrasschg">
        <w:r>
          <w:rPr>
            <w:rStyle w:val="Hyperlink"/>
          </w:rPr>
          <w:t xml:space="preserve">2</w:t>
        </w:r>
      </w:hyperlink>
      <w:r>
        <w:t xml:space="preserve">a). Total cover in Tampa Bay has decreased by 28% (11,518 acres/4,661 ha) from the 2016 peak to a total baywide coverage of 30,137 acres (12,196 ha).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that is likely within the range of mapping error for the coverage estimates.</w:t>
      </w:r>
    </w:p>
    <w:bookmarkEnd w:id="24"/>
    <w:bookmarkStart w:id="27"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5">
        <w:r>
          <w:rPr>
            <w:rStyle w:val="Hyperlink"/>
          </w:rPr>
          <w:t xml:space="preserve">https://data-swfwmd.opendata.arcgis.com/</w:t>
        </w:r>
      </w:hyperlink>
      <w:r>
        <w:t xml:space="preserve">). These maps are created by photointerpretation of aerial images obtained at the end of the growing season, typically during November-February. No species information is provided. A more detailed, but spatially-specific, data source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cover-abundance, frequency occurrence, and condition, collected at fixed meter marks along a transect extending from the shoreline to the deepwater edge of the seagrass bed. Although the areal maps provide the standard for assessment of restoration goals, the transect data allow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7"/>
    <w:bookmarkStart w:id="29"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fixed stations in the major bay segments since the early 1970s (Figure</w:t>
      </w:r>
      <w:r>
        <w:t xml:space="preserve"> </w:t>
      </w:r>
      <w:hyperlink w:anchor="fig-map">
        <w:r>
          <w:rPr>
            <w:rStyle w:val="Hyperlink"/>
          </w:rPr>
          <w:t xml:space="preserve">1</w:t>
        </w:r>
      </w:hyperlink>
      <w:r>
        <w:t xml:space="preserve">b). The 45 stations with the longest and most complete temporal record from 1975 to present were used herein. Water quality samples are collected at each station from surface water grabs (e.g., nutrients, biological, and chemical constituents) or</w:t>
      </w:r>
      <w:r>
        <w:t xml:space="preserve"> </w:t>
      </w:r>
      <w:r>
        <w:rPr>
          <w:iCs/>
          <w:i/>
        </w:rPr>
        <w:t xml:space="preserve">in situ</w:t>
      </w:r>
      <w:r>
        <w:t xml:space="preserve"> </w:t>
      </w:r>
      <w:r>
        <w:t xml:space="preserve">measurements of physical parameters (e.g., salinity, temperature) collected at the surface, mid-depth, and bottom. Most analyses herein used only bottom water measurements given the shallow depth and mixed water column of most of Tampa Bay</w:t>
      </w:r>
      <w:r>
        <w:t xml:space="preserve"> </w:t>
      </w:r>
      <w:r>
        <w:t xml:space="preserve">(Weisberg and Zheng 2006)</w:t>
      </w:r>
      <w:r>
        <w:t xml:space="preserve">. Time of sampling can vary, although most samples are collected from mid-morning to early afternoon. Compared to the additional datasets described below, the monitoring stations are generally in deeper water beyond where seagrasses occur along the shallow margins of the bay.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gear types that target different habitats</w:t>
      </w:r>
      <w:r>
        <w:t xml:space="preserve"> </w:t>
      </w:r>
      <w:r>
        <w:t xml:space="preserve">(Schrandt et al. 2021)</w:t>
      </w:r>
      <w:r>
        <w:t xml:space="preserve">. A stratified sampling design is used to select sites for 21.3 meter center-bag seines that target shallow habitats (&lt;1.5 m)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In addition to collecting fish and selected invertebrates,</w:t>
      </w:r>
      <w:r>
        <w:t xml:space="preserve"> </w:t>
      </w:r>
      <w:r>
        <w:rPr>
          <w:iCs/>
          <w:i/>
        </w:rPr>
        <w:t xml:space="preserve">in situ</w:t>
      </w:r>
      <w:r>
        <w:t xml:space="preserve"> </w:t>
      </w:r>
      <w:r>
        <w:t xml:space="preserve">physical measurements for water temperature and salinity are collected at the bag, and at the surface and at 1 m intervals to the bottom. Only measurements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upon request.</w:t>
      </w:r>
    </w:p>
    <w:p>
      <w:pPr>
        <w:pStyle w:val="BodyText"/>
      </w:pPr>
      <w:r>
        <w:t xml:space="preserve">The third and final dataset evaluated was from the Pinellas County Department of Environmental Management (PDEM). Data were obtained by request to PDEM staff for the western portion of Old Tampa Bay where sampling occurred from 2003 to present (Figure</w:t>
      </w:r>
      <w:r>
        <w:t xml:space="preserve"> </w:t>
      </w:r>
      <w:hyperlink w:anchor="fig-map">
        <w:r>
          <w:rPr>
            <w:rStyle w:val="Hyperlink"/>
          </w:rPr>
          <w:t xml:space="preserve">1</w:t>
        </w:r>
      </w:hyperlink>
      <w:r>
        <w:t xml:space="preserve">d, also available at</w:t>
      </w:r>
      <w:r>
        <w:t xml:space="preserve"> </w:t>
      </w:r>
      <w:hyperlink r:id="rId28">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Water quality samples at each site are similar to those collected by EPC but can occur in shallower locations.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w:t>
      </w:r>
      <w:r>
        <w:t xml:space="preserve"> </w:t>
      </w:r>
      <w:r>
        <w:t xml:space="preserve">(Sherwood et al. 2016)</w:t>
      </w:r>
      <w:r>
        <w:t xml:space="preserve">. This</w:t>
      </w:r>
      <w:r>
        <w:t xml:space="preserve"> </w:t>
      </w:r>
      <w:r>
        <w:rPr>
          <w:iCs/>
          <w:i/>
        </w:rPr>
        <w:t xml:space="preserve">ad hoc</w:t>
      </w:r>
      <w:r>
        <w:t xml:space="preserve"> </w:t>
      </w:r>
      <w:r>
        <w:t xml:space="preserve">group meets quarterly to ensure similar standards and methods are used for the collection and processing of surface water quality monitoring data in the region.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9"/>
    <w:bookmarkStart w:id="30"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drivers. For comparison to water quality conditions, daily air temperature (Tampa International Airport [TIA] National Weather Service site) and precipitation (SWFWMD area-weighted watershed summaries) were used to characterize regional conditions for the most consistent period of record covered by the water quality samples (i.e., 1975 to present for the EPC data). The rnoaa R package</w:t>
      </w:r>
      <w:r>
        <w:t xml:space="preserve"> </w:t>
      </w:r>
      <w:r>
        <w:t xml:space="preserve">(Chamberlain and Hocking 2023)</w:t>
      </w:r>
      <w:r>
        <w:t xml:space="preserve"> </w:t>
      </w:r>
      <w:r>
        <w:t xml:space="preserve">was used to obtain the TIA temperature data. Regional precipitation summaries were obtained directly from the SWFWMD (https://www.swfwmd.state.fl.us/resources/data-maps/rainfall-summary-data-region). Only rainfall data for the wet season (June to September) were evaluated for trends, whereas the complete record was used to calculate the Standardized Precipitation Index</w:t>
      </w:r>
      <w:r>
        <w:t xml:space="preserve"> </w:t>
      </w:r>
      <w:r>
        <w:t xml:space="preserve">(SPI, Beguería et al. 2013)</w:t>
      </w:r>
      <w:r>
        <w:t xml:space="preserve"> </w:t>
      </w:r>
      <w:r>
        <w:t xml:space="preserve">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All climate data were evaluated annually with simple linear regression trends to assess change over time. Water temperature and salinity trends using the EPC, FIM, and PDEM data were similarly evaluated by averaging the monthly data each year for each bay segment.</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Kendall tests were also used to evaluate changes over time for each month across years to determine when the trends were most pronounced seasonally (e.g., all January estimates across years, all February estimates, etc.). The percentage of stations in each bay segment with significantly increasing temperature or decreasing salinity trends were evaluated for each month.</w:t>
      </w:r>
    </w:p>
    <w:bookmarkEnd w:id="30"/>
    <w:bookmarkStart w:id="31"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The conceptual model for evaluating these changes describes the fundamental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within a range of values for a single parameter,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fundamental niche space can be defined in multiple dimensions for many parameters, we focus on water temperature and salinity given that other dominant forcing factors, i.e., light availability, have been relatively stable in recent years</w:t>
      </w:r>
      <w:r>
        <w:t xml:space="preserve"> </w:t>
      </w:r>
      <w:r>
        <w:t xml:space="preserve">(Beck, Burke, et al. 2023)</w:t>
      </w:r>
      <w:r>
        <w:t xml:space="preserve">.</w:t>
      </w:r>
    </w:p>
    <w:p>
      <w:pPr>
        <w:pStyle w:val="BodyText"/>
      </w:pPr>
      <w:r>
        <w:t xml:space="preserve">A fundamental challenge describing niche space is identifying the boundaries for optimal conditions. In Tampa Bay, three dominant seagrass species occur:</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 R. Phillips and Meñez 1988)</w:t>
      </w:r>
      <w:r>
        <w:t xml:space="preserve">.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(R. C. Phillips 1960; McMillan and Moseley 1967; Zieman 1975; Lewis III et al. 1985)</w:t>
      </w:r>
      <w:r>
        <w:t xml:space="preserve">, although most studies place lower limits of salinity in the range of 15-25 ppt. Optimal temperature ranges are similar between these temperate-tropical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w:t>
      </w:r>
      <w:r>
        <w:t xml:space="preserve"> </w:t>
      </w:r>
      <w:r>
        <w:rPr>
          <w:iCs/>
          <w:i/>
        </w:rPr>
        <w:t xml:space="preserve">in situ</w:t>
      </w:r>
      <w:r>
        <w:t xml:space="preserve"> </w:t>
      </w:r>
      <w:r>
        <w:t xml:space="preserve">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as well as challenges of modeling fundamental and realized niche spaces between competing species</w:t>
      </w:r>
      <w:r>
        <w:t xml:space="preserve"> </w:t>
      </w:r>
      <w:r>
        <w:t xml:space="preserve">(Araújo and Guisan 2006)</w:t>
      </w:r>
      <w:r>
        <w:t xml:space="preserve">.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or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(Wood 2017)</w:t>
      </w:r>
      <w:r>
        <w:t xml:space="preserve">. Model fit for each station was considered sufficient to calculate daily predictions to assess potential stressor metrics (Figure S5, R</w:t>
      </w:r>
      <m:oMath>
        <m:sSup>
          <m:e>
            <m:r>
              <m:t>​</m:t>
            </m:r>
          </m:e>
          <m:sup>
            <m:r>
              <m:t>2</m:t>
            </m:r>
          </m:sup>
        </m:sSup>
      </m:oMath>
      <w:r>
        <w:t xml:space="preserve"> </w:t>
      </w:r>
      <w:r>
        <w:t xml:space="preserve">ranged from 0.85 to 0.95 for temperature models, 0.71 to 0.96 for salinity models, Tables S1, S2).</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w:t>
      </w:r>
    </w:p>
    <w:bookmarkEnd w:id="31"/>
    <w:bookmarkStart w:id="32" w:name="links-to-seagrass"/>
    <w:p>
      <w:pPr>
        <w:pStyle w:val="Heading3"/>
      </w:pPr>
      <w:r>
        <w:t xml:space="preserve">2.7 Links to seagrass</w:t>
      </w:r>
    </w:p>
    <w:p>
      <w:pPr>
        <w:pStyle w:val="FirstParagraph"/>
      </w:pPr>
      <w:r>
        <w:t xml:space="preserve">For comparison to seagrass, the annual metrics calculated from the EPC data were referenced to approximate periods of time between the annual seagrass transect surveys, as opposed to the calendar year for describing trends above.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from 1998 to 2022. The stressor metrics were compared to frequency occurrence (all species) each year by bay segment. Generalized Linear regression Models (GLMs) were used to evaluate frequency occurrence in response to the independent variables, where the latter were the stressor metrics for temperature, salinity, both, bay segment, and time period (recovery pre 2016, decline post 2016). Two models were evaluated, one with the temperature and salinity metrics together and another with the both metric. Interactions were included between temperature, salinity, and time period or the both metric and time period, depending on the model. Bay segment was included as a main effect without interactions. The most parsimonious models were identified by forward and backward selection of the independent variables and comparison with AIC values</w:t>
      </w:r>
      <w:r>
        <w:t xml:space="preserve"> </w:t>
      </w:r>
      <w:r>
        <w:t xml:space="preserve">(Sakamoto et al. 1986; Venables and Ripley 2002)</w:t>
      </w:r>
      <w:r>
        <w:t xml:space="preserve">. All models excluded Lower Tampa Bay because of minimal seagrass change over time.</w:t>
      </w:r>
    </w:p>
    <w:p>
      <w:pPr>
        <w:pStyle w:val="BodyText"/>
      </w:pPr>
      <w:r>
        <w:t xml:space="preserve">Separate models were constructed to provide an additional weight-of-evidence for the FIM and PDEM temperature and salinity datasets relative to seagrass change. These models used direct measurements of salinity and temperature as independent variables because the stressor metrics could not be calculated using the sampling designs from these monitoring programs.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due to spatial limitations of the data and the seagrass response variable was presence/absence (i.e., a binomial distribution was used) to model the probability of observing seagrass. Model input data were further subset to include only months from July to November to describe seagrasses during the growing season and to reduce potential seasonal effects.</w:t>
      </w:r>
    </w:p>
    <w:bookmarkEnd w:id="32"/>
    <w:bookmarkEnd w:id="33"/>
    <w:bookmarkStart w:id="37" w:name="results"/>
    <w:p>
      <w:pPr>
        <w:pStyle w:val="Heading2"/>
      </w:pPr>
      <w:r>
        <w:t xml:space="preserve">3 Results</w:t>
      </w:r>
    </w:p>
    <w:bookmarkStart w:id="34" w:name="temperature-and-salinity-trends"/>
    <w:p>
      <w:pPr>
        <w:pStyle w:val="Heading3"/>
      </w:pPr>
      <w:r>
        <w:t xml:space="preserve">3.1 Temperature and salinity trends</w:t>
      </w:r>
    </w:p>
    <w:p>
      <w:pPr>
        <w:pStyle w:val="FirstParagraph"/>
      </w:pPr>
      <w:r>
        <w:t xml:space="preserve">Long-term meteorological data showed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during the rainy season has increased by 10.67 mm per year, although the model was not significant (p = 0.11). Removing September from the rainy season showed a significantly increasing trend of 11.44 mm per year (p &lt; 0.05,</w:t>
      </w:r>
      <w:r>
        <w:t xml:space="preserve"> </w:t>
      </w:r>
      <m:oMath>
        <m:sSup>
          <m:e>
            <m:r>
              <m:t>R</m:t>
            </m:r>
          </m:e>
          <m:sup>
            <m:r>
              <m:t>2</m:t>
            </m:r>
          </m:sup>
        </m:sSup>
      </m:oMath>
      <w:r>
        <w:t xml:space="preserve"> </w:t>
      </w:r>
      <w:r>
        <w:t xml:space="preserve">= 0.07; September alone did not have a significant trend, p = 0.87). Using this model, mean precipitation in 1975 was 2829.9 (+/-150.44 st. err.) mm, whereas current mean precipitation in 2022 was 3367.5 (+/-150.44 st. err.) mm, showing an overall increase in the period of record of 537.6 mm. Notably, trends for the dry season (October through May) were not significant (p = 0.35), except April which had a significantly increasing trend (p &lt; 0.05,</w:t>
      </w:r>
      <w:r>
        <w:t xml:space="preserve"> </w:t>
      </w:r>
      <m:oMath>
        <m:sSup>
          <m:e>
            <m:r>
              <m:t>R</m:t>
            </m:r>
          </m:e>
          <m:sup>
            <m:r>
              <m:t>2</m:t>
            </m:r>
          </m:sup>
        </m:sSup>
      </m:oMath>
      <w:r>
        <w:t xml:space="preserve"> </w:t>
      </w:r>
      <w:r>
        <w:t xml:space="preserve">= 0.08). The SPI showed notable anomalies in precipitation, with pronounced rainy periods in the early 1980s, late 1990s, 2005, and 2015-2020.</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 Tables</w:t>
      </w:r>
      <w:r>
        <w:t xml:space="preserve"> </w:t>
      </w:r>
      <w:hyperlink w:anchor="tbl-temptrndtab">
        <w:r>
          <w:rPr>
            <w:rStyle w:val="Hyperlink"/>
          </w:rPr>
          <w:t xml:space="preserve">1</w:t>
        </w:r>
      </w:hyperlink>
      <w:r>
        <w:t xml:space="preserve">,</w:t>
      </w:r>
      <w:r>
        <w:t xml:space="preserve"> </w:t>
      </w:r>
      <w:hyperlink w:anchor="tbl-saltrndtab">
        <w:r>
          <w:rPr>
            <w:rStyle w:val="Hyperlink"/>
          </w:rPr>
          <w:t xml:space="preserve">2</w:t>
        </w:r>
      </w:hyperlink>
      <w:r>
        <w:t xml:space="preserve">, Figures S1, S2, S3). Note that for tables</w:t>
      </w:r>
      <w:r>
        <w:t xml:space="preserve"> </w:t>
      </w:r>
      <w:hyperlink w:anchor="tbl-temptrndtab">
        <w:r>
          <w:rPr>
            <w:rStyle w:val="Hyperlink"/>
          </w:rPr>
          <w:t xml:space="preserve">1</w:t>
        </w:r>
      </w:hyperlink>
      <w:r>
        <w:t xml:space="preserve"> </w:t>
      </w:r>
      <w:r>
        <w:t xml:space="preserve">and</w:t>
      </w:r>
      <w:r>
        <w:t xml:space="preserve"> </w:t>
      </w:r>
      <w:hyperlink w:anchor="tbl-saltrndtab">
        <w:r>
          <w:rPr>
            <w:rStyle w:val="Hyperlink"/>
          </w:rPr>
          <w:t xml:space="preserve">2</w:t>
        </w:r>
      </w:hyperlink>
      <w:r>
        <w:t xml:space="preserve">, comparable time periods were evaluated between the datasets when possible given the different sample sizes, and therefore power, to detect trends. The strongest trends were observed for the EPC dataset. The top and bottom water temperature or salinity changes were similar across bay segments (</w:t>
      </w:r>
      <w:hyperlink w:anchor="fig-meteowqraw">
        <w:r>
          <w:rPr>
            <w:rStyle w:val="Hyperlink"/>
          </w:rPr>
          <w:t xml:space="preserve">Figure 4</w:t>
        </w:r>
      </w:hyperlink>
      <w:r>
        <w:t xml:space="preserve">). Trends in water temperature were similar across bay segments with significant increases varying from 0.03 to 0.04</w:t>
      </w:r>
      <w:r>
        <w:t xml:space="preserve"> </w:t>
      </w:r>
      <m:oMath>
        <m:sSup>
          <m:e>
            <m:r>
              <m:t>​</m:t>
            </m:r>
          </m:e>
          <m:sup>
            <m:r>
              <m:rPr>
                <m:sty m:val="p"/>
              </m:rPr>
              <m:t>∘</m:t>
            </m:r>
          </m:sup>
        </m:sSup>
      </m:oMath>
      <w:r>
        <w:t xml:space="preserve">C per year, with a total increase of 1.4 (OTB) to 2.0 (HB)</w:t>
      </w:r>
      <w:r>
        <w:t xml:space="preserve"> </w:t>
      </w:r>
      <m:oMath>
        <m:sSup>
          <m:e>
            <m:r>
              <m:t>​</m:t>
            </m:r>
          </m:e>
          <m:sup>
            <m:r>
              <m:rPr>
                <m:sty m:val="p"/>
              </m:rPr>
              <m:t>∘</m:t>
            </m:r>
          </m:sup>
        </m:sSup>
      </m:oMath>
      <w:r>
        <w:t xml:space="preserve">C from 1975 to present (</w:t>
      </w:r>
      <w:hyperlink w:anchor="tbl-temptrndtab">
        <w:r>
          <w:rPr>
            <w:rStyle w:val="Hyperlink"/>
          </w:rPr>
          <w:t xml:space="preserve">Table 1</w:t>
        </w:r>
      </w:hyperlink>
      <w:r>
        <w:t xml:space="preserve">). Salinity trends were also similar between bay segments, although overall salinity was predictably higher for bay segments closer to the Gulf of Mexico. Only Old Tampa Bay and Lower Tampa Bay had significantly decreasing trends, with decreases of 0.06 (OTB) and 0.04 (LTB) ppt per year, with a total decrease of 2.7 (OTB) and 2.1 (LTB) ppt from 1975 to present.</w:t>
      </w:r>
    </w:p>
    <w:p>
      <w:pPr>
        <w:pStyle w:val="BodyText"/>
      </w:pPr>
      <w:r>
        <w:t xml:space="preserve">Significant increasing temperature trends were also observed for the FIM dataset from 1996 to present in OTB and from 2004 to present in OTB and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nor from 2004 to present (Figures S2, S3).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see Figure S4 for 1998 to 2022). All stations had significantly increasing temperature and decreasing salinity from 1975 to present, excluding one station in HB that did not have significantly decreasing bottom salinity (Figure</w:t>
      </w:r>
      <w:r>
        <w:t xml:space="preserve"> </w:t>
      </w:r>
      <w:hyperlink w:anchor="fig-kendall">
        <w:r>
          <w:rPr>
            <w:rStyle w:val="Hyperlink"/>
          </w:rPr>
          <w:t xml:space="preserve">5</w:t>
        </w:r>
      </w:hyperlink>
      <w:r>
        <w:t xml:space="preserve">a). Seasonally, most bay segments had more significant stations during the summer, early fall period for both temperature and salinity (Figure</w:t>
      </w:r>
      <w:r>
        <w:t xml:space="preserve"> </w:t>
      </w:r>
      <w:hyperlink w:anchor="fig-kendall">
        <w:r>
          <w:rPr>
            <w:rStyle w:val="Hyperlink"/>
          </w:rPr>
          <w:t xml:space="preserve">5</w:t>
        </w:r>
      </w:hyperlink>
      <w:r>
        <w:t xml:space="preserve">b, c), although some variation was observed throughout the bay. Temperature trends were more often observed in the summer or early fall for the upper bay segments (OTB, HB), whereas the lower bay segments (MTB, LTB) had more seasonally homogeneous trends. Seasonal trends in salinity did not vary as much between segments, although OTB and LTB had more stations with significantly decreasing trends than the other bay segments.</w:t>
      </w:r>
    </w:p>
    <w:bookmarkEnd w:id="34"/>
    <w:bookmarkStart w:id="35" w:name="stressor-metrics"/>
    <w:p>
      <w:pPr>
        <w:pStyle w:val="Heading3"/>
      </w:pPr>
      <w:r>
        <w:t xml:space="preserve">3.2 Stressor metrics</w:t>
      </w:r>
    </w:p>
    <w:p>
      <w:pPr>
        <w:pStyle w:val="FirstParagraph"/>
      </w:pPr>
      <w:r>
        <w:t xml:space="preserve">Linear mixed-effects models for the EPC data showed similar trends in each bay segment for the number of days when temperature was above different thresholds. All of the temperature models for each of the three thresholds (29, 30, 31</w:t>
      </w:r>
      <w:r>
        <w:t xml:space="preserve"> </w:t>
      </w:r>
      <m:oMath>
        <m:sSup>
          <m:e>
            <m:r>
              <m:t>​</m:t>
            </m:r>
          </m:e>
          <m:sup>
            <m:r>
              <m:rPr>
                <m:sty m:val="p"/>
              </m:rPr>
              <m:t>∘</m:t>
            </m:r>
          </m:sup>
        </m:sSup>
      </m:oMath>
      <w:r>
        <w:t xml:space="preserve">C) showed increasing trends for each bay segment, with the largest slope of 1.4 days per year in OTB when temperature was above 29</w:t>
      </w:r>
      <w:r>
        <w:t xml:space="preserve"> </w:t>
      </w:r>
      <m:oMath>
        <m:sSup>
          <m:e>
            <m:r>
              <m:t>​</m:t>
            </m:r>
          </m:e>
          <m:sup>
            <m:r>
              <m:rPr>
                <m:sty m:val="p"/>
              </m:rPr>
              <m:t>∘</m:t>
            </m:r>
          </m:sup>
        </m:sSup>
      </m:oMath>
      <w:r>
        <w:t xml:space="preserve">C (Table S3). The estimated slopes for the number of days when temperature was above 30</w:t>
      </w:r>
      <w:r>
        <w:t xml:space="preserve"> </w:t>
      </w:r>
      <m:oMath>
        <m:sSup>
          <m:e>
            <m:r>
              <m:t>​</m:t>
            </m:r>
          </m:e>
          <m:sup>
            <m:r>
              <m:rPr>
                <m:sty m:val="p"/>
              </m:rPr>
              <m:t>∘</m:t>
            </m:r>
          </m:sup>
        </m:sSup>
      </m:oMath>
      <w:r>
        <w:t xml:space="preserve">C varied from 0.9 days per year in LTB to 1.1 days per year in MTB. Likewise, the mean number of days when temperature was above 30</w:t>
      </w:r>
      <w:r>
        <w:t xml:space="preserve"> </w:t>
      </w:r>
      <m:oMath>
        <m:sSup>
          <m:e>
            <m:r>
              <m:t>​</m:t>
            </m:r>
          </m:e>
          <m:sup>
            <m:r>
              <m:rPr>
                <m:sty m:val="p"/>
              </m:rPr>
              <m:t>∘</m:t>
            </m:r>
          </m:sup>
        </m:sSup>
      </m:oMath>
      <w:r>
        <w:t xml:space="preserve">C at the beginning and end of the period of record varied from 8 (OTB, HB) to 21 (LTB) days in 1975 to 55 (HB) to 63 (LTB) days in 2022 (Table S5, see Table S6 for 1998 to 2022). Trends for the other two temperature thresholds were similar.</w:t>
      </w:r>
    </w:p>
    <w:p>
      <w:pPr>
        <w:pStyle w:val="BodyText"/>
      </w:pPr>
      <w:r>
        <w:t xml:space="preserve">The salinity models were less similar between bay segments compared to the temperature models, primarily because of the natural salinity gradient along the bay’s longitudinal axis (Tables S3, S4). None of the bay segments had significantly increasing number of days per year when salinity was below 15 ppt. The only significant model for MTB was the number of days when salinity was below 25 ppt, which was increasing at a rate of 0.7 days per year. Both HB and OTB had significantly increasing number of days per year when salinity was below 20 and 25 ppt, although the slopes varied such that the rates in OTB were nearly double those in HB. The number of days per year when salinity was below 25 ppt in OTB increased by 2 days per year, whereas the number of days in HB increased by 0.9 days per year from 1975 to present. Likewise, the mean number of days per year when salinity was continuously below 25 ppt at the beginning and end of the period of record was 128 (OTB) and 131 (HB) days in 1975 and 171 (HB) and 219 (OTB) days in 2022 (Table S5, see Table S6 for 1998 to 2022).</w:t>
      </w:r>
    </w:p>
    <w:p>
      <w:pPr>
        <w:pStyle w:val="BodyText"/>
      </w:pPr>
      <w:r>
        <w:t xml:space="preserve">The number of days when both temperature was above and salinity was below a threshold also varied by bay segment (Table S3). The number of days when temperature was above 29</w:t>
      </w:r>
      <w:r>
        <w:t xml:space="preserve"> </w:t>
      </w:r>
      <m:oMath>
        <m:sSup>
          <m:e>
            <m:r>
              <m:t>​</m:t>
            </m:r>
          </m:e>
          <m:sup>
            <m:r>
              <m:rPr>
                <m:sty m:val="p"/>
              </m:rPr>
              <m:t>∘</m:t>
            </m:r>
          </m:sup>
        </m:sSup>
      </m:oMath>
      <w:r>
        <w:t xml:space="preserve">C and salinity was below 25 ppt had the largest slopes of 1.4, 1.2,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of record varied from 6, 12, and 1 day(s) in 1975 to 72, 68, and 34 days in 2022 for OTB, HB, and MTB, respectively.</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from 1975 to present when temperature was above 30</w:t>
      </w:r>
      <m:oMath>
        <m:sSup>
          <m:e>
            <m:r>
              <m:t>​</m:t>
            </m:r>
          </m:e>
          <m:sup>
            <m:r>
              <m:rPr>
                <m:sty m:val="p"/>
              </m:rPr>
              <m:t>∘</m:t>
            </m:r>
          </m:sup>
        </m:sSup>
      </m:oMath>
      <w:r>
        <w:t xml:space="preserve">, salinity was below 25 ppt, and when both occurred (see Figure S6 for 1998 to 2022). Temperature trends were similar among segments, whereas the number of days when salinity was below the threshold decreased with proximity to the Gulf of Mexico (</w:t>
      </w:r>
      <w:hyperlink w:anchor="tbl-mixdaytab">
        <w:r>
          <w:rPr>
            <w:rStyle w:val="Hyperlink"/>
          </w:rPr>
          <w:t xml:space="preserve">Table 3</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more rigorously develop seagrass response models and the chosen thresholds were based primarily on statistical considerations.</w:t>
      </w:r>
    </w:p>
    <w:bookmarkEnd w:id="35"/>
    <w:bookmarkStart w:id="36" w:name="seagrass-response"/>
    <w:p>
      <w:pPr>
        <w:pStyle w:val="Heading3"/>
      </w:pPr>
      <w:r>
        <w:t xml:space="preserve">3.3 Seagrass response</w:t>
      </w:r>
    </w:p>
    <w:p>
      <w:pPr>
        <w:pStyle w:val="FirstParagraph"/>
      </w:pPr>
      <w:r>
        <w:t xml:space="preserve">Linear models to assess the potential effects of temperature and salinity on seagrass change provided modest evidence that seagrass loss after 2016 was influenced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12.82, df = 9, 65, p &lt; 0.005). An interaction of the metrics with time period was also observed, with notable differences by predictor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(interaction term between salinity and time period was marginally significant, p &lt; 0.1,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The interaction between the temperature and salinity metric was included in the most parsimonious model (marginally significant, p &lt; 0.1), although the strength of the relationship of temperature or salinity with time period did not noticeably change using different conditional values for salinity or temperature, respectively.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29.17, df = 4, 70, p &lt; 0.005), although the interaction term with time period was not included in the most parsimonious model, suggesting no effect of this metric in describing seagrass change after 2016 (</w:t>
      </w:r>
      <w:hyperlink w:anchor="tbl-modtab">
        <w:r>
          <w:rPr>
            <w:rStyle w:val="Hyperlink"/>
          </w:rPr>
          <w:t xml:space="preserve">Table 4</w:t>
        </w:r>
      </w:hyperlink>
      <w:r>
        <w:t xml:space="preserve">). Note that</w:t>
      </w:r>
      <w:r>
        <w:t xml:space="preserve"> </w:t>
      </w:r>
      <w:hyperlink w:anchor="fig-sgmod">
        <w:r>
          <w:rPr>
            <w:rStyle w:val="Hyperlink"/>
          </w:rPr>
          <w:t xml:space="preserve">Figure 7</w:t>
        </w:r>
      </w:hyperlink>
      <w:r>
        <w:t xml:space="preserve"> </w:t>
      </w:r>
      <w:r>
        <w:t xml:space="preserve">shows model predictions for OTB only, although the shape of the relationships do not change for other bay segments other than as additive shifts of the curves up or down.</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or salinity with time period, respectively, Figure</w:t>
      </w:r>
      <w:r>
        <w:t xml:space="preserve"> </w:t>
      </w:r>
      <w:hyperlink w:anchor="fig-sgmod">
        <w:r>
          <w:rPr>
            <w:rStyle w:val="Hyperlink"/>
          </w:rPr>
          <w:t xml:space="preserve">7</w:t>
        </w:r>
      </w:hyperlink>
      <w:r>
        <w:t xml:space="preserve">b,</w:t>
      </w:r>
      <w:r>
        <w:t xml:space="preserve"> </w:t>
      </w:r>
      <w:hyperlink w:anchor="tbl-modtab">
        <w:r>
          <w:rPr>
            <w:rStyle w:val="Hyperlink"/>
          </w:rPr>
          <w:t xml:space="preserve">Table 4</w:t>
        </w:r>
      </w:hyperlink>
      <w:r>
        <w:t xml:space="preserve">). The interaction between salinity and temperature was not included as a significant term in the final FIM model. Lastly, the most parsimonious model for the PDEM dataset only included time period as a marginally significant variable and the overall model fit was not significant (</w:t>
      </w:r>
      <w:hyperlink w:anchor="tbl-modtab">
        <w:r>
          <w:rPr>
            <w:rStyle w:val="Hyperlink"/>
          </w:rPr>
          <w:t xml:space="preserve">Table 4</w:t>
        </w:r>
      </w:hyperlink>
      <w:r>
        <w:t xml:space="preserve">).</w:t>
      </w:r>
    </w:p>
    <w:bookmarkEnd w:id="36"/>
    <w:bookmarkEnd w:id="37"/>
    <w:bookmarkStart w:id="39" w:name="discussion"/>
    <w:p>
      <w:pPr>
        <w:pStyle w:val="Heading2"/>
      </w:pPr>
      <w:r>
        <w:t xml:space="preserve">4 Discussion</w:t>
      </w:r>
    </w:p>
    <w:p>
      <w:pPr>
        <w:pStyle w:val="FirstParagraph"/>
      </w:pPr>
      <w:r>
        <w:t xml:space="preserve">Global increases in temperature and altered precipitation patterns related to climate change have had measurable affects on the structure and functioning of a wide range of natural environments</w:t>
      </w:r>
      <w:r>
        <w:t xml:space="preserve"> </w:t>
      </w:r>
      <w:r>
        <w:t xml:space="preserve">(Osland et al. 2015; Oliver et al. 2018)</w:t>
      </w:r>
      <w:r>
        <w:t xml:space="preserve">. For Tampa Bay, these changes have been demonstrated using long-term trends in water temperature and salinity, which mirrored long-term changes in air temperature and precipitation. Over the previous fifty years, Tampa Bay has gotten hotter and fresher; water temperature has increased by 0.03 - 0.07</w:t>
      </w:r>
      <w:r>
        <w:t xml:space="preserve"> </w:t>
      </w:r>
      <m:oMath>
        <m:sSup>
          <m:e>
            <m:r>
              <m:t>​</m:t>
            </m:r>
          </m:e>
          <m:sup>
            <m:r>
              <m:rPr>
                <m:sty m:val="p"/>
              </m:rPr>
              <m:t>∘</m:t>
            </m:r>
          </m:sup>
        </m:sSup>
      </m:oMath>
      <w:r>
        <w:t xml:space="preserve">C per year and salinity has decreased by 0.04 - 0.2 ppt per year. These changes were demonstrated in three long-term datasets with different sampling methods and periods of record. Understandably, the trends were most cearly observed in the dataset with the longest period of record (EPC), covering nearly fifty years of monthly observations, with the most dramatic changes occurring during the summer rainy season at locations farther from the mouth of the Bay. These long-term changes manifested into consistent trends in known seagrass stressors; the continuous number of days increased each year when temperature, salinity, or both crossed thresholds.</w:t>
      </w:r>
    </w:p>
    <w:p>
      <w:pPr>
        <w:pStyle w:val="BodyText"/>
      </w:pPr>
      <w:r>
        <w:t xml:space="preserve">Similar regional, long-term changes in coastal waters and estuaries have been observed by others [</w:t>
      </w:r>
      <w:r>
        <w:t xml:space="preserve">Carlson et al. (2018)</w:t>
      </w:r>
      <w:r>
        <w:t xml:space="preserve">; r@nickerson2023;</w:t>
      </w:r>
      <w:r>
        <w:t xml:space="preserve"> </w:t>
      </w:r>
      <w:r>
        <w:t xml:space="preserve">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to those herein for Tampa Bay (the EPC dataset was also used).</w:t>
      </w:r>
      <w:r>
        <w:t xml:space="preserve"> </w:t>
      </w:r>
      <w:r>
        <w:t xml:space="preserve">Nickerson et al. (2023)</w:t>
      </w:r>
      <w:r>
        <w:t xml:space="preserve"> </w:t>
      </w:r>
      <w:r>
        <w:t xml:space="preserve">also noted that temperature increases in Tampa Bay were most pronounced in the winter, although they rightfully acknowledge the sensitivity of their results to conditions at the start and end of the time series. Our assessment evaluated non-parametric trends (i.e., Kendall tests, less sensitive to outliers) at individual EPC stations and bay segments, whereas</w:t>
      </w:r>
      <w:r>
        <w:t xml:space="preserve"> </w:t>
      </w:r>
      <w:r>
        <w:t xml:space="preserve">Nickerson et al. (2023)</w:t>
      </w:r>
      <w:r>
        <w:t xml:space="preserve"> </w:t>
      </w:r>
      <w:r>
        <w:t xml:space="preserve">evaluated the EPC data as an average for the entire bay for consistency of comparison to their larger spatial area and model domain. Our results showing increases in temperature and decreases in salinity for OTB and HB for the summer months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 Notably,</w:t>
      </w:r>
      <w:r>
        <w:t xml:space="preserve"> </w:t>
      </w:r>
      <w:r>
        <w:t xml:space="preserve">Carlson et al. (2018)</w:t>
      </w:r>
      <w:r>
        <w:t xml:space="preserve"> </w:t>
      </w:r>
      <w:r>
        <w:t xml:space="preserve">suggest a link betwen historical seagrass losses in Florida Bay and rapid warming in shallow areas with low surface reflectance.</w:t>
      </w:r>
    </w:p>
    <w:p>
      <w:pPr>
        <w:pStyle w:val="BodyText"/>
      </w:pPr>
      <w:r>
        <w:t xml:space="preserve">Our relatively simple modeling approach provided some evidence that climate-related stressors impart some effect on recent seagrass losses in Tampa Bay. The models did not provide a consistent, nor statistically powerful, explanation that increasing temperature and decreasing salinity were key (or the sole) drivers. However, evaluating all models together as weight-of-evidence suggests there is value in considering multiple datasets and models to interpret noisy patterns and compounding ecological processes. Model results for the EPC and FIM datasets both suggested that increasing temperature and decreasing salinity were associated with potential seagrass loss post 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between seagrass and salinity stress was observed post 2016 as compared to pre 2016. Likewise, the FIM models had a significant interaction term for the association of temperature with time period and a marginally significant interaction term for the association of salinity with time period. An important distinction between the EPC and FIM models is that the former evaluated the number of days above/below thresholds each year to quantify annual temperature or salinity stress,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 These differences highlight challenges describing autecological relationships in long-term datasets, while also demonstrating the utility of our weight-of-evidence approach to describe such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That is, sufficient change and variation in the independent variables for the models of seagrass change were needed to statistically describe potential relationships. These thresholds are likely not ecologically significant since most of the reported values in tropical and sub-tropical environments suggest that the limits of the ecological niche for seagrasses are higher for temperature and lower for salinity</w:t>
      </w:r>
      <w:r>
        <w:t xml:space="preserve"> </w:t>
      </w:r>
      <w:r>
        <w:t xml:space="preserve">(R. C. Phillips 1960; McMillan and Moseley 1967; Zieman 1975; Lirman and Cropper 2003)</w:t>
      </w:r>
      <w:r>
        <w:t xml:space="preserve">. Because we did not see a dramatic increase in the number of days each year when the thresholds were crossed at more stressful values, conditions in Tampa Bay in recent years are generally within the ecological niche for seagrasses. This does not suggest that these factors are unimportant, both currently and in the future. Our models suggested that temperature and salinity are potentially associated with seagrass loss and the consistent long-term trend in both imply that these conditions are likely to become more stressful in the future, further confounding seagrass recovery efforts in the region.</w:t>
      </w:r>
    </w:p>
    <w:p>
      <w:pPr>
        <w:pStyle w:val="BodyText"/>
      </w:pPr>
      <w:r>
        <w:t xml:space="preserve">Additional limitations of our models may relate to an incomplete description of factors influencing seagrass growth. This relates to the inclusion of additional drivers as well as issues related to correlation/causation. For the former, the primary management paradigm in Tampa Bay for the past three decades has relied on the role of external nitrogen inputs in affecting light environments for seagrass growth</w:t>
      </w:r>
      <w:r>
        <w:t xml:space="preserve"> </w:t>
      </w:r>
      <w:r>
        <w:t xml:space="preserve">(Greening et al. 2014; Sherwood et al. 2017)</w:t>
      </w:r>
      <w:r>
        <w:t xml:space="preserve">. As such, light attenuation or water clarity could have been included in our models to more completely describe factors influencing growth, i.e., the residual differences after accounting for light attenuation could additionally be explained by temperature or salinity. Our use of time period (pre/post 2016) as a categorical variable partially addressed this issue. Modeling seagrass change as related to temperature or salinity for the entire record would have shown a spurious correlation of both with seagrass given the long-term recovery of seagrass. Thus, time period was necessary to control for these confounding relationships. Additionally, light attenuation has been relatively consistent since 2016 and within the limits estimated to be supportive of seagrass growth in Tampa Bay, particularly in OTB where the most loss occurred</w:t>
      </w:r>
      <w:r>
        <w:t xml:space="preserve"> </w:t>
      </w:r>
      <w:r>
        <w:t xml:space="preserve">(Janicki and Wade 1996; Beck 2020a)</w:t>
      </w:r>
      <w:r>
        <w:t xml:space="preserve">. A final consideration for our models relates to how seagrasses may influence their environment, particularly for the PDEM and FIM datasets where temperature and salinity were measured at the same locations as seagrass. For example, temperature may simply be lower in locations where seagrasses are present and can absorb solar radiation, i.e., seagrasses may be influencing their environment rather than the environment influencing seagrasses. This explanation cannot be ruled out with the existing datasets, although the trend analyses and models suggest that climate-related stressors driving seagrass loss is a more likely scenario. This is especially true for water temperature trends captured by the EPC dataset which includes deeper, fixed sites adjacent to shallow seagrass flats.</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 These regional losses suggest that large-scale stressors are driving these changes, leading us to our initial hypothesis that climate-related stressors could partially explain the change in Tampa Bay. Based on our results, the losses elsewhere may potentially be explained by temperature and salinity and are worth exploring in other southwest Florida coastal regions where long-term datasets exist. Additional factors that could explain these changes are also likely co-occurring with climate stress, some of which are unique to Tampa Bay and others that are more likely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water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(e.g., Stelling et al. 2023)</w:t>
      </w:r>
      <w:r>
        <w:t xml:space="preserve">, and ultimately contribute to changes in the light environment affecting seagrass resources in this bay segment.</w:t>
      </w:r>
    </w:p>
    <w:p>
      <w:pPr>
        <w:pStyle w:val="BodyText"/>
      </w:pPr>
      <w:r>
        <w:t xml:space="preserve">Additional biotic factors could be influencing regional patterns in seagrass growth. In Tampa Bay and elsewhere, enhanced macroalgal production may also influence seagrass growth and recovery in Florida estuaries</w:t>
      </w:r>
      <w:r>
        <w:t xml:space="preserve"> </w:t>
      </w:r>
      <w:r>
        <w:t xml:space="preserve">(L. M. Hall et al. 2022; Janicki Environmental, Inc. 2022; Brewton and Lapointe 2023; Scolaro et al. 2023)</w:t>
      </w:r>
      <w:r>
        <w:t xml:space="preserve">. Attached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 Brewton and Lapointe 2023)</w:t>
      </w:r>
      <w:r>
        <w:t xml:space="preserve">, in addition to insufficient macroalgae data in Tampa Bay that cannot clearly describe seasonal growth, distribution patterns, and nutrient cycling. Discrete pollutant loading events in Tampa Bay have been documented to promote both phytoplankton and macroalgae growth</w:t>
      </w:r>
      <w:r>
        <w:t xml:space="preserve"> </w:t>
      </w:r>
      <w:r>
        <w:t xml:space="preserve">(Beck et al. 2022; Scolaro et al. 2023; Tomasko 2023)</w:t>
      </w:r>
      <w:r>
        <w:t xml:space="preserve">. The role that evolving nutrient loading and changing climatic conditions may have on Tampa Bay’s primary producers – particularly algal and seagrass growth and interactions in recent years – is now well understood.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testudinium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 More research should be directed towards the influence of climate stressors on seagrass pathogen vulnerability.</w:t>
      </w:r>
    </w:p>
    <w:p>
      <w:pPr>
        <w:pStyle w:val="BodyText"/>
      </w:pPr>
      <w:r>
        <w:t xml:space="preserve">Lastly, our result showing that salinity has decreased in Tampa Bay is generally contrary to expectations for coastal systems consistent with sea-level rise projections</w:t>
      </w:r>
      <w:r>
        <w:t xml:space="preserve"> </w:t>
      </w:r>
      <w:r>
        <w:t xml:space="preserve">(Costa et al. 2023; Alarcon et al. 2024)</w:t>
      </w:r>
      <w:r>
        <w:t xml:space="preserve">. Salinity changes with sea-level rise have caused numerous alterations of subtidal and nearshore habitats</w:t>
      </w:r>
      <w:r>
        <w:t xml:space="preserve"> </w:t>
      </w:r>
      <w:r>
        <w:t xml:space="preserve">(Brinson et al. 1995; White and Kaplan 2017)</w:t>
      </w:r>
      <w:r>
        <w:t xml:space="preserve">. In southwest Florida, the most common ecological example is the expansion of mangroves upland as porewater salinity and water levels have gradually increased over the past few decades</w:t>
      </w:r>
      <w:r>
        <w:t xml:space="preserve"> </w:t>
      </w:r>
      <w:r>
        <w:t xml:space="preserve">(Borchert et al. 2018)</w:t>
      </w:r>
      <w:r>
        <w:t xml:space="preserve">. Alteration of salinity regimes for surface and groundwater resources are also well documented. In Florida Bay, for example, widespread decline of</w:t>
      </w:r>
      <w:r>
        <w:t xml:space="preserve"> </w:t>
      </w:r>
      <w:r>
        <w:rPr>
          <w:iCs/>
          <w:i/>
        </w:rPr>
        <w:t xml:space="preserve">Thalassia testudinium</w:t>
      </w:r>
      <w:r>
        <w:t xml:space="preserve"> </w:t>
      </w:r>
      <w:r>
        <w:t xml:space="preserve">has been partially attributed to elevated salinity levels beyond the optimal range for the species</w:t>
      </w:r>
      <w:r>
        <w:t xml:space="preserve"> </w:t>
      </w:r>
      <w:r>
        <w:t xml:space="preserve">(Margaret O. Hall et al. 2016)</w:t>
      </w:r>
      <w:r>
        <w:t xml:space="preserve">. Sea level rise is further altering salinity dynamics in the region.</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surface waters. In Tampa Bay, the long-term trends of decreasing salinity, especially in the upper bay segments, suggest that the hydrologic load into the system has had a greater influence on salinity regimes than the effects of sea-level rise. This hypothesis is supported by our assessment of precipitation patterns over time, where the long-term increase is inversely associated with the decrease in salinity.</w:t>
      </w:r>
    </w:p>
    <w:bookmarkStart w:id="38"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are additively affecting seagrasses, rather than multiplicatively, as evidenced by lack of significant interactions of these stressors. Future analyses may show more significant associations between physicochemical habitat conditions and seagrass change as the trends are very likely to continue to push seagrasses further outside of their tolerance ranges. These analyses should be supported by additional data collection efforts, particularly high-resolution continuous monitoring data that provide a more precise assessment of diurnal stress across multiple time-scales.</w:t>
      </w:r>
    </w:p>
    <w:p>
      <w:pPr>
        <w:pStyle w:val="BodyText"/>
      </w:pPr>
      <w:r>
        <w:t xml:space="preserve">Natural resource managers should consider how these climate-related stressors may alter the effectiveness of intervention activities aimed at protecting ecological resources in Tampa Bay. Management actions that have historically been effective may have inadequate capacity to maintain ecosystem status due to changing resilience of ecological resources affected by climate change. For example, nitrogen load reductions have been effective at restoring seagrass in Tampa Bay</w:t>
      </w:r>
      <w:r>
        <w:t xml:space="preserve"> </w:t>
      </w:r>
      <w:r>
        <w:t xml:space="preserve">(Greening and Janicki 2006; Greening et al. 2014)</w:t>
      </w:r>
      <w:r>
        <w:t xml:space="preserve">. As Tampa Bay becomes hotter and fresher, similar load allocations may no longer be effectively assimilated and algal and seagrass ecology dynamics may shift. Strategies that mimic or restore pre-development hydrology or that further reduce allowable load inputs from regulated entities (e.g., additional stormwater controls, hydrological modifications) may be needed to confer additional resilience and adaptive capacity for seagrass in Tampa Bay. These considerations are especially critical for upper parts of Tampa Bay where a majority of seagrass loss has occurred and where temperature and salinity trends have been most pronounced. Reversal of recent trends may be more likely to occur if aggressive actions and controls are pursued sooner rather than later, given the challenges of restoring degraded estuarine ecosystems due to hysteresis.</w:t>
      </w:r>
    </w:p>
    <w:bookmarkEnd w:id="38"/>
    <w:bookmarkEnd w:id="39"/>
    <w:bookmarkStart w:id="40" w:name="acknowledgments"/>
    <w:p>
      <w:pPr>
        <w:pStyle w:val="Heading2"/>
      </w:pPr>
      <w:r>
        <w:t xml:space="preserve">5 Acknowledgments</w:t>
      </w:r>
    </w:p>
    <w:p>
      <w:pPr>
        <w:pStyle w:val="FirstParagraph"/>
      </w:pPr>
      <w:r>
        <w:t xml:space="preserve">This work benefited from constructive discussions with the Technical Advisory Committee of the Tampa Bay Estuary Program (TBEP), in particular Mike Wessel, Ray Pribble, and Dave Tomasko. TBEP funding for this work stems from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 We are indebted to the community of field and technical staff that have routinely collected and maintained the valuable long-term monitoring data used in this study.</w:t>
      </w:r>
    </w:p>
    <w:p>
      <w:r>
        <w:br w:type="page"/>
      </w:r>
    </w:p>
    <w:bookmarkEnd w:id="40"/>
    <w:bookmarkStart w:id="69"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4" w:name="fig-map"/>
          <w:p>
            <w:pPr>
              <w:pStyle w:val="Compact"/>
              <w:jc w:val="center"/>
            </w:pPr>
            <w:r>
              <w:drawing>
                <wp:inline>
                  <wp:extent cx="3669832" cy="5963478"/>
                  <wp:effectExtent b="0" l="0" r="0" t="0"/>
                  <wp:docPr descr="" title="" id="42" name="Picture"/>
                  <a:graphic>
                    <a:graphicData uri="http://schemas.openxmlformats.org/drawingml/2006/picture">
                      <pic:pic>
                        <pic:nvPicPr>
                          <pic:cNvPr descr="figs/map.png" id="43" name="Picture"/>
                          <pic:cNvPicPr>
                            <a:picLocks noChangeArrowheads="1" noChangeAspect="1"/>
                          </pic:cNvPicPr>
                        </pic:nvPicPr>
                        <pic:blipFill>
                          <a:blip r:embed="rId41"/>
                          <a:stretch>
                            <a:fillRect/>
                          </a:stretch>
                        </pic:blipFill>
                        <pic:spPr bwMode="auto">
                          <a:xfrm>
                            <a:off x="0" y="0"/>
                            <a:ext cx="3669832" cy="596347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Tampa Bay and the three datasets used for trend analysis, including (a) bay segments, 2022 seagrass coverage (green), and transect starting points (black), (b) Environmental Protection Commission (EPC) long-term monitoring sites, (c) Fisheries Independent Monitoring (FIM) random sampling for seine hauls, and (d) OTB portion of Pinellas County Department of Environmental Management (PDEM) random sampling. Date ranges for each dataset are shown in the title. OTB: Old Tampa Bay, HB: Hillsborough Bay, MTB: Middle Tampa Bay, LTB: Lower Tampa Bay.</w:t>
            </w:r>
          </w:p>
          <w:bookmarkEnd w:id="4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8" w:name="fig-seagrasschg"/>
          <w:p>
            <w:pPr>
              <w:pStyle w:val="Compact"/>
              <w:jc w:val="center"/>
            </w:pPr>
            <w:r>
              <w:drawing>
                <wp:inline>
                  <wp:extent cx="5943600" cy="4457699"/>
                  <wp:effectExtent b="0" l="0" r="0" t="0"/>
                  <wp:docPr descr="" title="" id="46" name="Picture"/>
                  <a:graphic>
                    <a:graphicData uri="http://schemas.openxmlformats.org/drawingml/2006/picture">
                      <pic:pic>
                        <pic:nvPicPr>
                          <pic:cNvPr descr="figs/seagrasschg.png" id="47" name="Picture"/>
                          <pic:cNvPicPr>
                            <a:picLocks noChangeArrowheads="1" noChangeAspect="1"/>
                          </pic:cNvPicPr>
                        </pic:nvPicPr>
                        <pic:blipFill>
                          <a:blip r:embed="rId45"/>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Seagrass changes over time in Tampa Bay for (a) areal coverage 1988 - 2022 from mapping and (b) frequency occurrence of major species 1998 - 2022 from annual transect monitoring. Changes are shown for major bay segments. Red lines in (a) show approximate capacity of seagrass coverage based on the baywide target of 40,000 acres. OTB: Old Tampa Bay, HB: Hillsborough Bay, MTB: Middle Tampa Bay, LTB: Lower Tampa Bay.</w:t>
            </w:r>
          </w:p>
          <w:bookmarkEnd w:id="4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2" w:name="fig-concept"/>
          <w:p>
            <w:pPr>
              <w:pStyle w:val="Compact"/>
              <w:jc w:val="center"/>
            </w:pPr>
            <w:r>
              <w:drawing>
                <wp:inline>
                  <wp:extent cx="4905519" cy="5002796"/>
                  <wp:effectExtent b="0" l="0" r="0" t="0"/>
                  <wp:docPr descr="" title="" id="50" name="Picture"/>
                  <a:graphic>
                    <a:graphicData uri="http://schemas.openxmlformats.org/drawingml/2006/picture">
                      <pic:pic>
                        <pic:nvPicPr>
                          <pic:cNvPr descr="figs/concept.png" id="51" name="Picture"/>
                          <pic:cNvPicPr>
                            <a:picLocks noChangeArrowheads="1" noChangeAspect="1"/>
                          </pic:cNvPicPr>
                        </pic:nvPicPr>
                        <pic:blipFill>
                          <a:blip r:embed="rId49"/>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 demonstrating a two-dimensional niche space for temperature and salinity. Tampa Bay is trending towards the bottom right.</w:t>
            </w:r>
          </w:p>
          <w:bookmarkEnd w:id="5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6" w:name="fig-meteowqraw"/>
          <w:p>
            <w:pPr>
              <w:pStyle w:val="Compact"/>
              <w:jc w:val="center"/>
            </w:pPr>
            <w:r>
              <w:drawing>
                <wp:inline>
                  <wp:extent cx="5943600" cy="6368142"/>
                  <wp:effectExtent b="0" l="0" r="0" t="0"/>
                  <wp:docPr descr="" title="" id="54" name="Picture"/>
                  <a:graphic>
                    <a:graphicData uri="http://schemas.openxmlformats.org/drawingml/2006/picture">
                      <pic:pic>
                        <pic:nvPicPr>
                          <pic:cNvPr descr="figs/meteowqraw.png" id="55" name="Picture"/>
                          <pic:cNvPicPr>
                            <a:picLocks noChangeArrowheads="1" noChangeAspect="1"/>
                          </pic:cNvPicPr>
                        </pic:nvPicPr>
                        <pic:blipFill>
                          <a:blip r:embed="rId53"/>
                          <a:stretch>
                            <a:fillRect/>
                          </a:stretch>
                        </pic:blipFill>
                        <pic:spPr bwMode="auto">
                          <a:xfrm>
                            <a:off x="0" y="0"/>
                            <a:ext cx="5943600" cy="63681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Long-term air temperature, precipitation (Jun-Aug), Standard Precipitation Index (SPI), water temperature, and salinity trends from 1975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bookmarkEnd w:id="5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0" w:name="fig-kendall"/>
          <w:p>
            <w:pPr>
              <w:pStyle w:val="Compact"/>
              <w:jc w:val="center"/>
            </w:pPr>
            <w:r>
              <w:drawing>
                <wp:inline>
                  <wp:extent cx="5943600" cy="2815389"/>
                  <wp:effectExtent b="0" l="0" r="0" t="0"/>
                  <wp:docPr descr="" title="" id="58" name="Picture"/>
                  <a:graphic>
                    <a:graphicData uri="http://schemas.openxmlformats.org/drawingml/2006/picture">
                      <pic:pic>
                        <pic:nvPicPr>
                          <pic:cNvPr descr="figs/kendall.png" id="59" name="Picture"/>
                          <pic:cNvPicPr>
                            <a:picLocks noChangeArrowheads="1" noChangeAspect="1"/>
                          </pic:cNvPicPr>
                        </pic:nvPicPr>
                        <pic:blipFill>
                          <a:blip r:embed="rId57"/>
                          <a:stretch>
                            <a:fillRect/>
                          </a:stretch>
                        </pic:blipFill>
                        <pic:spPr bwMode="auto">
                          <a:xfrm>
                            <a:off x="0" y="0"/>
                            <a:ext cx="5943600" cy="28153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Trends from 1975 to 2022 for bottom water temperature and salinity measurements at long-term monitoring stations in Tampa Bay. Results for seasonal Kendall tests by station are shown in (a) with color and shape corresponding to the estimated annual slope as change per year (yr</w:t>
            </w:r>
            <m:oMath>
              <m:sSup>
                <m:e>
                  <m:r>
                    <m:t>​</m:t>
                  </m:r>
                </m:e>
                <m:sup>
                  <m:r>
                    <m:rPr>
                      <m:sty m:val="p"/>
                    </m:rPr>
                    <m:t>−</m:t>
                  </m:r>
                  <m:r>
                    <m:t>1</m:t>
                  </m:r>
                </m:sup>
              </m:sSup>
            </m:oMath>
            <w:r>
              <w:t xml:space="preserve">). Summarized seasonal trends by month are shown as (b) the percent of stations in each bay segment with significant increasing (temperature) or decreasing (salinity) trends. Bay segment outlines are shown in (a); OTB: Old Tampa Bay, HB: Hillsborough Bay, MTB: Middle Tampa Bay, LTB: Lower Tampa Bay.</w:t>
            </w:r>
          </w:p>
          <w:bookmarkEnd w:id="6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4" w:name="fig-mixeff"/>
          <w:p>
            <w:pPr>
              <w:pStyle w:val="Compact"/>
              <w:jc w:val="center"/>
            </w:pPr>
            <w:r>
              <w:drawing>
                <wp:inline>
                  <wp:extent cx="5943600" cy="5094514"/>
                  <wp:effectExtent b="0" l="0" r="0" t="0"/>
                  <wp:docPr descr="" title="" id="62" name="Picture"/>
                  <a:graphic>
                    <a:graphicData uri="http://schemas.openxmlformats.org/drawingml/2006/picture">
                      <pic:pic>
                        <pic:nvPicPr>
                          <pic:cNvPr descr="figs/mixeff.png" id="63" name="Picture"/>
                          <pic:cNvPicPr>
                            <a:picLocks noChangeArrowheads="1" noChangeAspect="1"/>
                          </pic:cNvPicPr>
                        </pic:nvPicPr>
                        <pic:blipFill>
                          <a:blip r:embed="rId61"/>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Example of mixed effects models for the estimated number of days per year that temperature (red) or salinity (blue) were above or below thresholds of 30</w:t>
            </w:r>
            <w:r>
              <w:t xml:space="preserve"> </w:t>
            </w:r>
            <m:oMath>
              <m:sSup>
                <m:e>
                  <m:r>
                    <m:t>​</m:t>
                  </m:r>
                </m:e>
                <m:sup>
                  <m:r>
                    <m:rPr>
                      <m:sty m:val="p"/>
                    </m:rPr>
                    <m:t>∘</m:t>
                  </m:r>
                </m:sup>
              </m:sSup>
            </m:oMath>
            <w:r>
              <w:t xml:space="preserve">C or 25 ppt, respectively, from the EPC data. The bottom row (black) shows the number of days when both temperature was above and salinity was below the thresholds. The models included station as a random effect for each bay segment, with grey lines indicating individual station trends, grey points as actual number of days, and thicker lines indicating the overall model fit. Slopes for significant models are shown in the bottom left of each facet. OTB: Old Tampa Bay, HB: Hillsborough Bay, MTB: Middle Tampa Bay, LTB: Lower Tampa Bay.</w:t>
            </w:r>
          </w:p>
          <w:bookmarkEnd w:id="6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8" w:name="fig-sgmod"/>
          <w:p>
            <w:pPr>
              <w:pStyle w:val="Compact"/>
              <w:jc w:val="center"/>
            </w:pPr>
            <w:r>
              <w:drawing>
                <wp:inline>
                  <wp:extent cx="5943600" cy="5094514"/>
                  <wp:effectExtent b="0" l="0" r="0" t="0"/>
                  <wp:docPr descr="" title="" id="66" name="Picture"/>
                  <a:graphic>
                    <a:graphicData uri="http://schemas.openxmlformats.org/drawingml/2006/picture">
                      <pic:pic>
                        <pic:nvPicPr>
                          <pic:cNvPr descr="figs/sgmods.png" id="67" name="Picture"/>
                          <pic:cNvPicPr>
                            <a:picLocks noChangeArrowheads="1" noChangeAspect="1"/>
                          </pic:cNvPicPr>
                        </pic:nvPicPr>
                        <pic:blipFill>
                          <a:blip r:embed="rId65"/>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changes versus temperature or salinity predictors for the (a) EPC and (b) FIM datasets. Results are shown only for OTB, although the shape of the relationships do not change between bay segments. The predictors for (a) were the number of days when temperature was above the threshold and the number of days when salinity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8"/>
        </w:tc>
      </w:tr>
    </w:tbl>
    <w:p>
      <w:r>
        <w:br w:type="page"/>
      </w:r>
    </w:p>
    <w:bookmarkEnd w:id="69"/>
    <w:bookmarkStart w:id="74"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70" w:name="tbl-temptrndtab"/>
          <w:p>
            <w:pPr>
              <w:jc w:val="center"/>
            </w:pPr>
            <w:pPr>
              <w:jc w:val="start"/>
              <w:spacing w:before="200"/>
              <w:pStyle w:val="Imag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24.7</w:t>
                  </w:r>
                </w:p>
              </w:tc>
              <w:tc>
                <w:tcPr/>
                <w:p>
                  <w:pPr>
                    <w:pStyle w:val="Compact"/>
                    <w:jc w:val="right"/>
                    <w:jc w:val="center"/>
                  </w:pPr>
                  <w:r>
                    <w:t xml:space="preserve">1.4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23.2</w:t>
                  </w:r>
                </w:p>
              </w:tc>
              <w:tc>
                <w:tcPr/>
                <w:p>
                  <w:pPr>
                    <w:pStyle w:val="Compact"/>
                    <w:jc w:val="right"/>
                    <w:jc w:val="center"/>
                  </w:pPr>
                  <w:r>
                    <w:t xml:space="preserve">25.2</w:t>
                  </w:r>
                </w:p>
              </w:tc>
              <w:tc>
                <w:tcPr/>
                <w:p>
                  <w:pPr>
                    <w:pStyle w:val="Compact"/>
                    <w:jc w:val="right"/>
                    <w:jc w:val="center"/>
                  </w:pPr>
                  <w:r>
                    <w:t xml:space="preserve">2.0</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23.3</w:t>
                  </w:r>
                </w:p>
              </w:tc>
              <w:tc>
                <w:tcPr/>
                <w:p>
                  <w:pPr>
                    <w:pStyle w:val="Compact"/>
                    <w:jc w:val="right"/>
                    <w:jc w:val="center"/>
                  </w:pPr>
                  <w:r>
                    <w:t xml:space="preserve">24.9</w:t>
                  </w:r>
                </w:p>
              </w:tc>
              <w:tc>
                <w:tcPr/>
                <w:p>
                  <w:pPr>
                    <w:pStyle w:val="Compact"/>
                    <w:jc w:val="right"/>
                    <w:jc w:val="center"/>
                  </w:pPr>
                  <w:r>
                    <w:t xml:space="preserve">1.6</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23.6</w:t>
                  </w:r>
                </w:p>
              </w:tc>
              <w:tc>
                <w:tcPr/>
                <w:p>
                  <w:pPr>
                    <w:pStyle w:val="Compact"/>
                    <w:jc w:val="right"/>
                    <w:jc w:val="center"/>
                  </w:pPr>
                  <w:r>
                    <w:t xml:space="preserve">24.8</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23.5</w:t>
                  </w:r>
                </w:p>
              </w:tc>
              <w:tc>
                <w:tcPr/>
                <w:p>
                  <w:pPr>
                    <w:pStyle w:val="Compact"/>
                    <w:jc w:val="right"/>
                    <w:jc w:val="center"/>
                  </w:pPr>
                  <w:r>
                    <w:t xml:space="preserve">24.7</w:t>
                  </w:r>
                </w:p>
              </w:tc>
              <w:tc>
                <w:tcPr/>
                <w:p>
                  <w:pPr>
                    <w:pStyle w:val="Compact"/>
                    <w:jc w:val="right"/>
                    <w:jc w:val="center"/>
                  </w:pPr>
                  <w:r>
                    <w:t xml:space="preserve">1.2</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25.3</w:t>
                  </w:r>
                </w:p>
              </w:tc>
              <w:tc>
                <w:tcPr/>
                <w:p>
                  <w:pPr>
                    <w:pStyle w:val="Compact"/>
                    <w:jc w:val="right"/>
                    <w:jc w:val="center"/>
                  </w:pPr>
                  <w:r>
                    <w:t xml:space="preserve">1.5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0.04</w:t>
                  </w:r>
                </w:p>
              </w:tc>
              <w:tc>
                <w:tcPr/>
                <w:p>
                  <w:pPr>
                    <w:pStyle w:val="Compact"/>
                    <w:jc w:val="right"/>
                    <w:jc w:val="center"/>
                  </w:pPr>
                  <w:r>
                    <w:t xml:space="preserve">24.1</w:t>
                  </w:r>
                </w:p>
              </w:tc>
              <w:tc>
                <w:tcPr/>
                <w:p>
                  <w:pPr>
                    <w:pStyle w:val="Compact"/>
                    <w:jc w:val="right"/>
                    <w:jc w:val="center"/>
                  </w:pPr>
                  <w:r>
                    <w:t xml:space="preserve">25.0</w:t>
                  </w:r>
                </w:p>
              </w:tc>
              <w:tc>
                <w:tcPr/>
                <w:p>
                  <w:pPr>
                    <w:pStyle w:val="Compact"/>
                    <w:jc w:val="right"/>
                    <w:jc w:val="center"/>
                  </w:pPr>
                  <w:r>
                    <w:t xml:space="preserve">0.9</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23.8</w:t>
                  </w:r>
                </w:p>
              </w:tc>
              <w:tc>
                <w:tcPr/>
                <w:p>
                  <w:pPr>
                    <w:pStyle w:val="Compact"/>
                    <w:jc w:val="right"/>
                    <w:jc w:val="center"/>
                  </w:pPr>
                  <w:r>
                    <w:t xml:space="preserve">24.8</w:t>
                  </w:r>
                </w:p>
              </w:tc>
              <w:tc>
                <w:tcPr/>
                <w:p>
                  <w:pPr>
                    <w:pStyle w:val="Compact"/>
                    <w:jc w:val="right"/>
                    <w:jc w:val="center"/>
                  </w:pPr>
                  <w:r>
                    <w:t xml:space="preserve">1.0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w:t>
                  </w:r>
                </w:p>
              </w:tc>
              <w:tc>
                <w:tcPr/>
                <w:p>
                  <w:pPr>
                    <w:pStyle w:val="Compact"/>
                    <w:jc w:val="right"/>
                    <w:jc w:val="center"/>
                  </w:pPr>
                  <w:r>
                    <w:t xml:space="preserve">24.0</w:t>
                  </w:r>
                </w:p>
              </w:tc>
              <w:tc>
                <w:tcPr/>
                <w:p>
                  <w:pPr>
                    <w:pStyle w:val="Compact"/>
                    <w:jc w:val="right"/>
                    <w:jc w:val="center"/>
                  </w:pPr>
                  <w:r>
                    <w:t xml:space="preserve">24.7</w:t>
                  </w:r>
                </w:p>
              </w:tc>
              <w:tc>
                <w:tcPr/>
                <w:p>
                  <w:pPr>
                    <w:pStyle w:val="Compact"/>
                    <w:jc w:val="right"/>
                    <w:jc w:val="center"/>
                  </w:pPr>
                  <w:r>
                    <w:t xml:space="preserve">0.7</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w:t>
                  </w:r>
                </w:p>
              </w:tc>
              <w:tc>
                <w:tcPr/>
                <w:p>
                  <w:pPr>
                    <w:pStyle w:val="Compact"/>
                    <w:jc w:val="right"/>
                    <w:jc w:val="center"/>
                  </w:pPr>
                  <w:r>
                    <w:t xml:space="preserve">24.0</w:t>
                  </w:r>
                </w:p>
              </w:tc>
              <w:tc>
                <w:tcPr/>
                <w:p>
                  <w:pPr>
                    <w:pStyle w:val="Compact"/>
                    <w:jc w:val="right"/>
                    <w:jc w:val="center"/>
                  </w:pPr>
                  <w:r>
                    <w:t xml:space="preserve">24.6</w:t>
                  </w:r>
                </w:p>
              </w:tc>
              <w:tc>
                <w:tcPr/>
                <w:p>
                  <w:pPr>
                    <w:pStyle w:val="Compact"/>
                    <w:jc w:val="right"/>
                    <w:jc w:val="center"/>
                  </w:pPr>
                  <w:r>
                    <w:t xml:space="preserve">0.6</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w:t>
                  </w:r>
                </w:p>
              </w:tc>
              <w:tc>
                <w:tcPr/>
                <w:p>
                  <w:pPr>
                    <w:pStyle w:val="Compact"/>
                    <w:jc w:val="right"/>
                    <w:jc w:val="center"/>
                  </w:pPr>
                  <w:r>
                    <w:t xml:space="preserve">23.6</w:t>
                  </w:r>
                </w:p>
              </w:tc>
              <w:tc>
                <w:tcPr/>
                <w:p>
                  <w:pPr>
                    <w:pStyle w:val="Compact"/>
                    <w:jc w:val="right"/>
                    <w:jc w:val="center"/>
                  </w:pPr>
                  <w:r>
                    <w:t xml:space="preserve">24.9</w:t>
                  </w:r>
                </w:p>
              </w:tc>
              <w:tc>
                <w:tcPr/>
                <w:p>
                  <w:pPr>
                    <w:pStyle w:val="Compact"/>
                    <w:jc w:val="right"/>
                    <w:jc w:val="center"/>
                  </w:pPr>
                  <w:r>
                    <w:t xml:space="preserve">1.3</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0.05</w:t>
                  </w:r>
                </w:p>
              </w:tc>
              <w:tc>
                <w:tcPr/>
                <w:p>
                  <w:pPr>
                    <w:pStyle w:val="Compact"/>
                    <w:jc w:val="right"/>
                    <w:jc w:val="center"/>
                  </w:pPr>
                  <w:r>
                    <w:t xml:space="preserve">24.4</w:t>
                  </w:r>
                </w:p>
              </w:tc>
              <w:tc>
                <w:tcPr/>
                <w:p>
                  <w:pPr>
                    <w:pStyle w:val="Compact"/>
                    <w:jc w:val="right"/>
                    <w:jc w:val="center"/>
                  </w:pPr>
                  <w:r>
                    <w:t xml:space="preserve">25.2</w:t>
                  </w:r>
                </w:p>
              </w:tc>
              <w:tc>
                <w:tcPr/>
                <w:p>
                  <w:pPr>
                    <w:pStyle w:val="Compact"/>
                    <w:jc w:val="right"/>
                    <w:jc w:val="center"/>
                  </w:pPr>
                  <w:r>
                    <w:t xml:space="preserve">0.8</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0.09**</w:t>
                  </w:r>
                </w:p>
              </w:tc>
              <w:tc>
                <w:tcPr/>
                <w:p>
                  <w:pPr>
                    <w:pStyle w:val="Compact"/>
                    <w:jc w:val="right"/>
                    <w:jc w:val="center"/>
                  </w:pPr>
                  <w:r>
                    <w:t xml:space="preserve">23.9</w:t>
                  </w:r>
                </w:p>
              </w:tc>
              <w:tc>
                <w:tcPr/>
                <w:p>
                  <w:pPr>
                    <w:pStyle w:val="Compact"/>
                    <w:jc w:val="right"/>
                    <w:jc w:val="center"/>
                  </w:pPr>
                  <w:r>
                    <w:t xml:space="preserve">25.5</w:t>
                  </w:r>
                </w:p>
              </w:tc>
              <w:tc>
                <w:tcPr/>
                <w:p>
                  <w:pPr>
                    <w:pStyle w:val="Compact"/>
                    <w:jc w:val="right"/>
                    <w:jc w:val="center"/>
                  </w:pPr>
                  <w:r>
                    <w:t xml:space="preserve">1.6</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w:t>
                  </w:r>
                </w:p>
              </w:tc>
              <w:tc>
                <w:tcPr/>
                <w:p>
                  <w:pPr>
                    <w:pStyle w:val="Compact"/>
                    <w:jc w:val="right"/>
                    <w:jc w:val="center"/>
                  </w:pPr>
                  <w:r>
                    <w:t xml:space="preserve">23.7</w:t>
                  </w:r>
                </w:p>
              </w:tc>
              <w:tc>
                <w:tcPr/>
                <w:p>
                  <w:pPr>
                    <w:pStyle w:val="Compact"/>
                    <w:jc w:val="right"/>
                    <w:jc w:val="center"/>
                  </w:pPr>
                  <w:r>
                    <w:t xml:space="preserve">25.4</w:t>
                  </w:r>
                </w:p>
              </w:tc>
              <w:tc>
                <w:tcPr/>
                <w:p>
                  <w:pPr>
                    <w:pStyle w:val="Compact"/>
                    <w:jc w:val="right"/>
                    <w:jc w:val="center"/>
                  </w:pPr>
                  <w:r>
                    <w:t xml:space="preserve">1.7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bl>
          <w:bookmarkEnd w:id="70"/>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1" w:name="tbl-saltrndtab"/>
          <w:p>
            <w:pPr>
              <w:jc w:val="center"/>
            </w:pPr>
            <w:pPr>
              <w:jc w:val="start"/>
              <w:spacing w:before="200"/>
              <w:pStyle w:val="ImageCaption"/>
            </w:pPr>
            <w:r>
              <w:t xml:space="preserve">Table 2: Bottom salinity trends (ppt) by bay segments and datasets. Start year describes the range of the trend test to the present year (2022). The starting value is the estimated salinity at the start year and the end value is the estimated salinity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25.8</w:t>
                  </w:r>
                </w:p>
              </w:tc>
              <w:tc>
                <w:tcPr/>
                <w:p>
                  <w:pPr>
                    <w:pStyle w:val="Compact"/>
                    <w:jc w:val="right"/>
                    <w:jc w:val="center"/>
                  </w:pPr>
                  <w:r>
                    <w:t xml:space="preserve">23.1</w:t>
                  </w:r>
                </w:p>
              </w:tc>
              <w:tc>
                <w:tcPr/>
                <w:p>
                  <w:pPr>
                    <w:pStyle w:val="Compact"/>
                    <w:jc w:val="right"/>
                    <w:jc w:val="center"/>
                  </w:pPr>
                  <w:r>
                    <w:t xml:space="preserve">-2.7</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-0.02</w:t>
                  </w:r>
                </w:p>
              </w:tc>
              <w:tc>
                <w:tcPr/>
                <w:p>
                  <w:pPr>
                    <w:pStyle w:val="Compact"/>
                    <w:jc w:val="right"/>
                    <w:jc w:val="center"/>
                  </w:pPr>
                  <w:r>
                    <w:t xml:space="preserve">25.6</w:t>
                  </w:r>
                </w:p>
              </w:tc>
              <w:tc>
                <w:tcPr/>
                <w:p>
                  <w:pPr>
                    <w:pStyle w:val="Compact"/>
                    <w:jc w:val="right"/>
                    <w:jc w:val="center"/>
                  </w:pPr>
                  <w:r>
                    <w:t xml:space="preserve">24.6</w:t>
                  </w:r>
                </w:p>
              </w:tc>
              <w:tc>
                <w:tcPr/>
                <w:p>
                  <w:pPr>
                    <w:pStyle w:val="Compact"/>
                    <w:jc w:val="right"/>
                    <w:jc w:val="center"/>
                  </w:pPr>
                  <w:r>
                    <w:t xml:space="preserve">-1.0</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28.2</w:t>
                  </w:r>
                </w:p>
              </w:tc>
              <w:tc>
                <w:tcPr/>
                <w:p>
                  <w:pPr>
                    <w:pStyle w:val="Compact"/>
                    <w:jc w:val="right"/>
                    <w:jc w:val="center"/>
                  </w:pPr>
                  <w:r>
                    <w:t xml:space="preserve">26.6</w:t>
                  </w:r>
                </w:p>
              </w:tc>
              <w:tc>
                <w:tcPr/>
                <w:p>
                  <w:pPr>
                    <w:pStyle w:val="Compact"/>
                    <w:jc w:val="right"/>
                    <w:jc w:val="center"/>
                  </w:pPr>
                  <w:r>
                    <w:t xml:space="preserve">-1.6</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33.4</w:t>
                  </w:r>
                </w:p>
              </w:tc>
              <w:tc>
                <w:tcPr/>
                <w:p>
                  <w:pPr>
                    <w:pStyle w:val="Compact"/>
                    <w:jc w:val="right"/>
                    <w:jc w:val="center"/>
                  </w:pPr>
                  <w:r>
                    <w:t xml:space="preserve">31.3</w:t>
                  </w:r>
                </w:p>
              </w:tc>
              <w:tc>
                <w:tcPr/>
                <w:p>
                  <w:pPr>
                    <w:pStyle w:val="Compact"/>
                    <w:jc w:val="right"/>
                    <w:jc w:val="center"/>
                  </w:pPr>
                  <w:r>
                    <w:t xml:space="preserve">-2.1</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24.9</w:t>
                  </w:r>
                </w:p>
              </w:tc>
              <w:tc>
                <w:tcPr/>
                <w:p>
                  <w:pPr>
                    <w:pStyle w:val="Compact"/>
                    <w:jc w:val="right"/>
                    <w:jc w:val="center"/>
                  </w:pPr>
                  <w:r>
                    <w:t xml:space="preserve">22.8</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-0.06</w:t>
                  </w:r>
                </w:p>
              </w:tc>
              <w:tc>
                <w:tcPr/>
                <w:p>
                  <w:pPr>
                    <w:pStyle w:val="Compact"/>
                    <w:jc w:val="right"/>
                    <w:jc w:val="center"/>
                  </w:pPr>
                  <w:r>
                    <w:t xml:space="preserve">24.1</w:t>
                  </w:r>
                </w:p>
              </w:tc>
              <w:tc>
                <w:tcPr/>
                <w:p>
                  <w:pPr>
                    <w:pStyle w:val="Compact"/>
                    <w:jc w:val="right"/>
                    <w:jc w:val="center"/>
                  </w:pPr>
                  <w:r>
                    <w:t xml:space="preserve">22.6</w:t>
                  </w:r>
                </w:p>
              </w:tc>
              <w:tc>
                <w:tcPr/>
                <w:p>
                  <w:pPr>
                    <w:pStyle w:val="Compact"/>
                    <w:jc w:val="right"/>
                    <w:jc w:val="center"/>
                  </w:pPr>
                  <w:r>
                    <w:t xml:space="preserve">-1.5</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26.1</w:t>
                  </w:r>
                </w:p>
              </w:tc>
              <w:tc>
                <w:tcPr/>
                <w:p>
                  <w:pPr>
                    <w:pStyle w:val="Compact"/>
                    <w:jc w:val="right"/>
                    <w:jc w:val="center"/>
                  </w:pPr>
                  <w:r>
                    <w:t xml:space="preserve">23.9</w:t>
                  </w:r>
                </w:p>
              </w:tc>
              <w:tc>
                <w:tcPr/>
                <w:p>
                  <w:pPr>
                    <w:pStyle w:val="Compact"/>
                    <w:jc w:val="right"/>
                    <w:jc w:val="center"/>
                  </w:pPr>
                  <w:r>
                    <w:t xml:space="preserve">-2.2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w:t>
                  </w:r>
                </w:p>
              </w:tc>
              <w:tc>
                <w:tcPr/>
                <w:p>
                  <w:pPr>
                    <w:pStyle w:val="Compact"/>
                    <w:jc w:val="right"/>
                    <w:jc w:val="center"/>
                  </w:pPr>
                  <w:r>
                    <w:t xml:space="preserve">24.0</w:t>
                  </w:r>
                </w:p>
              </w:tc>
              <w:tc>
                <w:tcPr/>
                <w:p>
                  <w:pPr>
                    <w:pStyle w:val="Compact"/>
                    <w:jc w:val="right"/>
                    <w:jc w:val="center"/>
                  </w:pPr>
                  <w:r>
                    <w:t xml:space="preserve">24.0</w:t>
                  </w:r>
                </w:p>
              </w:tc>
              <w:tc>
                <w:tcPr/>
                <w:p>
                  <w:pPr>
                    <w:pStyle w:val="Compact"/>
                    <w:jc w:val="right"/>
                    <w:jc w:val="center"/>
                  </w:pPr>
                  <w:r>
                    <w:t xml:space="preserve">0.0</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28.0</w:t>
                  </w:r>
                </w:p>
              </w:tc>
              <w:tc>
                <w:tcPr/>
                <w:p>
                  <w:pPr>
                    <w:pStyle w:val="Compact"/>
                    <w:jc w:val="right"/>
                    <w:jc w:val="center"/>
                  </w:pPr>
                  <w:r>
                    <w:t xml:space="preserve">26.3</w:t>
                  </w:r>
                </w:p>
              </w:tc>
              <w:tc>
                <w:tcPr/>
                <w:p>
                  <w:pPr>
                    <w:pStyle w:val="Compact"/>
                    <w:jc w:val="right"/>
                    <w:jc w:val="center"/>
                  </w:pPr>
                  <w:r>
                    <w:t xml:space="preserve">-1.7</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w:t>
                  </w:r>
                </w:p>
              </w:tc>
              <w:tc>
                <w:tcPr/>
                <w:p>
                  <w:pPr>
                    <w:pStyle w:val="Compact"/>
                    <w:jc w:val="right"/>
                    <w:jc w:val="center"/>
                  </w:pPr>
                  <w:r>
                    <w:t xml:space="preserve">26.6</w:t>
                  </w:r>
                </w:p>
              </w:tc>
              <w:tc>
                <w:tcPr/>
                <w:p>
                  <w:pPr>
                    <w:pStyle w:val="Compact"/>
                    <w:jc w:val="right"/>
                    <w:jc w:val="center"/>
                  </w:pPr>
                  <w:r>
                    <w:t xml:space="preserve">25.8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32.5</w:t>
                  </w:r>
                </w:p>
              </w:tc>
              <w:tc>
                <w:tcPr/>
                <w:p>
                  <w:pPr>
                    <w:pStyle w:val="Compact"/>
                    <w:jc w:val="right"/>
                    <w:jc w:val="center"/>
                  </w:pPr>
                  <w:r>
                    <w:t xml:space="preserve">31.4</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0.01</w:t>
                  </w:r>
                </w:p>
              </w:tc>
              <w:tc>
                <w:tcPr/>
                <w:p>
                  <w:pPr>
                    <w:pStyle w:val="Compact"/>
                    <w:jc w:val="right"/>
                    <w:jc w:val="center"/>
                  </w:pPr>
                  <w:r>
                    <w:t xml:space="preserve">31.6</w:t>
                  </w:r>
                </w:p>
              </w:tc>
              <w:tc>
                <w:tcPr/>
                <w:p>
                  <w:pPr>
                    <w:pStyle w:val="Compact"/>
                    <w:jc w:val="right"/>
                    <w:jc w:val="center"/>
                  </w:pPr>
                  <w:r>
                    <w:t xml:space="preserve">32.0</w:t>
                  </w:r>
                </w:p>
              </w:tc>
              <w:tc>
                <w:tcPr/>
                <w:p>
                  <w:pPr>
                    <w:pStyle w:val="Compact"/>
                    <w:jc w:val="right"/>
                    <w:jc w:val="center"/>
                  </w:pPr>
                  <w:r>
                    <w:t xml:space="preserve">0.4</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-0.2*</w:t>
                  </w:r>
                </w:p>
              </w:tc>
              <w:tc>
                <w:tcPr/>
                <w:p>
                  <w:pPr>
                    <w:pStyle w:val="Compact"/>
                    <w:jc w:val="right"/>
                    <w:jc w:val="center"/>
                  </w:pPr>
                  <w:r>
                    <w:t xml:space="preserve">25.5</w:t>
                  </w:r>
                </w:p>
              </w:tc>
              <w:tc>
                <w:tcPr/>
                <w:p>
                  <w:pPr>
                    <w:pStyle w:val="Compact"/>
                    <w:jc w:val="right"/>
                    <w:jc w:val="center"/>
                  </w:pPr>
                  <w:r>
                    <w:t xml:space="preserve">22.0</w:t>
                  </w:r>
                </w:p>
              </w:tc>
              <w:tc>
                <w:tcPr/>
                <w:p>
                  <w:pPr>
                    <w:pStyle w:val="Compact"/>
                    <w:jc w:val="right"/>
                    <w:jc w:val="center"/>
                  </w:pPr>
                  <w:r>
                    <w:t xml:space="preserve">-3.5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-0.15</w:t>
                  </w:r>
                </w:p>
              </w:tc>
              <w:tc>
                <w:tcPr/>
                <w:p>
                  <w:pPr>
                    <w:pStyle w:val="Compact"/>
                    <w:jc w:val="right"/>
                    <w:jc w:val="center"/>
                  </w:pPr>
                  <w:r>
                    <w:t xml:space="preserve">24.7</w:t>
                  </w:r>
                </w:p>
              </w:tc>
              <w:tc>
                <w:tcPr/>
                <w:p>
                  <w:pPr>
                    <w:pStyle w:val="Compact"/>
                    <w:jc w:val="right"/>
                    <w:jc w:val="center"/>
                  </w:pPr>
                  <w:r>
                    <w:t xml:space="preserve">21.9</w:t>
                  </w:r>
                </w:p>
              </w:tc>
              <w:tc>
                <w:tcPr/>
                <w:p>
                  <w:pPr>
                    <w:pStyle w:val="Compact"/>
                    <w:jc w:val="right"/>
                    <w:jc w:val="center"/>
                  </w:pPr>
                  <w:r>
                    <w:t xml:space="preserve">-2.8</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-0.19</w:t>
                  </w:r>
                </w:p>
              </w:tc>
              <w:tc>
                <w:tcPr/>
                <w:p>
                  <w:pPr>
                    <w:pStyle w:val="Compact"/>
                    <w:jc w:val="right"/>
                    <w:jc w:val="center"/>
                  </w:pPr>
                  <w:r>
                    <w:t xml:space="preserve">24.3</w:t>
                  </w:r>
                </w:p>
              </w:tc>
              <w:tc>
                <w:tcPr/>
                <w:p>
                  <w:pPr>
                    <w:pStyle w:val="Compact"/>
                    <w:jc w:val="right"/>
                    <w:jc w:val="center"/>
                  </w:pPr>
                  <w:r>
                    <w:t xml:space="preserve">20.9</w:t>
                  </w:r>
                </w:p>
              </w:tc>
              <w:tc>
                <w:tcPr/>
                <w:p>
                  <w:pPr>
                    <w:pStyle w:val="Compact"/>
                    <w:jc w:val="right"/>
                    <w:jc w:val="center"/>
                  </w:pPr>
                  <w:r>
                    <w:t xml:space="preserve">-3.4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-0.19*</w:t>
                  </w:r>
                </w:p>
              </w:tc>
              <w:tc>
                <w:tcPr/>
                <w:p>
                  <w:pPr>
                    <w:pStyle w:val="Compact"/>
                    <w:jc w:val="right"/>
                    <w:jc w:val="center"/>
                  </w:pPr>
                  <w:r>
                    <w:t xml:space="preserve">26.5</w:t>
                  </w:r>
                </w:p>
              </w:tc>
              <w:tc>
                <w:tcPr/>
                <w:p>
                  <w:pPr>
                    <w:pStyle w:val="Compact"/>
                    <w:jc w:val="right"/>
                    <w:jc w:val="center"/>
                  </w:pPr>
                  <w:r>
                    <w:t xml:space="preserve">23.1</w:t>
                  </w:r>
                </w:p>
              </w:tc>
              <w:tc>
                <w:tcPr/>
                <w:p>
                  <w:pPr>
                    <w:pStyle w:val="Compact"/>
                    <w:jc w:val="right"/>
                    <w:jc w:val="center"/>
                  </w:pPr>
                  <w:r>
                    <w:t xml:space="preserve">-3.4</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-0.08</w:t>
                  </w:r>
                </w:p>
              </w:tc>
              <w:tc>
                <w:tcPr/>
                <w:p>
                  <w:pPr>
                    <w:pStyle w:val="Compact"/>
                    <w:jc w:val="right"/>
                    <w:jc w:val="center"/>
                  </w:pPr>
                  <w:r>
                    <w:t xml:space="preserve">24.8</w:t>
                  </w:r>
                </w:p>
              </w:tc>
              <w:tc>
                <w:tcPr/>
                <w:p>
                  <w:pPr>
                    <w:pStyle w:val="Compact"/>
                    <w:jc w:val="right"/>
                    <w:jc w:val="center"/>
                  </w:pPr>
                  <w:r>
                    <w:t xml:space="preserve">23.4</w:t>
                  </w:r>
                </w:p>
              </w:tc>
              <w:tc>
                <w:tcPr/>
                <w:p>
                  <w:pPr>
                    <w:pStyle w:val="Compact"/>
                    <w:jc w:val="right"/>
                    <w:jc w:val="center"/>
                  </w:pPr>
                  <w:r>
                    <w:t xml:space="preserve">-1.4</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-0.17*</w:t>
                  </w:r>
                </w:p>
              </w:tc>
              <w:tc>
                <w:tcPr/>
                <w:p>
                  <w:pPr>
                    <w:pStyle w:val="Compact"/>
                    <w:jc w:val="right"/>
                    <w:jc w:val="center"/>
                  </w:pPr>
                  <w:r>
                    <w:t xml:space="preserve">28.6</w:t>
                  </w:r>
                </w:p>
              </w:tc>
              <w:tc>
                <w:tcPr/>
                <w:p>
                  <w:pPr>
                    <w:pStyle w:val="Compact"/>
                    <w:jc w:val="right"/>
                    <w:jc w:val="center"/>
                  </w:pPr>
                  <w:r>
                    <w:t xml:space="preserve">25.6</w:t>
                  </w:r>
                </w:p>
              </w:tc>
              <w:tc>
                <w:tcPr/>
                <w:p>
                  <w:pPr>
                    <w:pStyle w:val="Compact"/>
                    <w:jc w:val="right"/>
                    <w:jc w:val="center"/>
                  </w:pPr>
                  <w:r>
                    <w:t xml:space="preserve">-3.0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-0.11</w:t>
                  </w:r>
                </w:p>
              </w:tc>
              <w:tc>
                <w:tcPr/>
                <w:p>
                  <w:pPr>
                    <w:pStyle w:val="Compact"/>
                    <w:jc w:val="right"/>
                    <w:jc w:val="center"/>
                  </w:pPr>
                  <w:r>
                    <w:t xml:space="preserve">27.2</w:t>
                  </w:r>
                </w:p>
              </w:tc>
              <w:tc>
                <w:tcPr/>
                <w:p>
                  <w:pPr>
                    <w:pStyle w:val="Compact"/>
                    <w:jc w:val="right"/>
                    <w:jc w:val="center"/>
                  </w:pPr>
                  <w:r>
                    <w:t xml:space="preserve">25.2</w:t>
                  </w:r>
                </w:p>
              </w:tc>
              <w:tc>
                <w:tcPr/>
                <w:p>
                  <w:pPr>
                    <w:pStyle w:val="Compact"/>
                    <w:jc w:val="right"/>
                    <w:jc w:val="center"/>
                  </w:pPr>
                  <w:r>
                    <w:t xml:space="preserve">-2.0</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-0.12*</w:t>
                  </w:r>
                </w:p>
              </w:tc>
              <w:tc>
                <w:tcPr/>
                <w:p>
                  <w:pPr>
                    <w:pStyle w:val="Compact"/>
                    <w:jc w:val="right"/>
                    <w:jc w:val="center"/>
                  </w:pPr>
                  <w:r>
                    <w:t xml:space="preserve">33.0</w:t>
                  </w:r>
                </w:p>
              </w:tc>
              <w:tc>
                <w:tcPr/>
                <w:p>
                  <w:pPr>
                    <w:pStyle w:val="Compact"/>
                    <w:jc w:val="right"/>
                    <w:jc w:val="center"/>
                  </w:pPr>
                  <w:r>
                    <w:t xml:space="preserve">30.9</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32.5</w:t>
                  </w:r>
                </w:p>
              </w:tc>
              <w:tc>
                <w:tcPr/>
                <w:p>
                  <w:pPr>
                    <w:pStyle w:val="Compact"/>
                    <w:jc w:val="right"/>
                    <w:jc w:val="center"/>
                  </w:pPr>
                  <w:r>
                    <w:t xml:space="preserve">31.5</w:t>
                  </w:r>
                </w:p>
              </w:tc>
              <w:tc>
                <w:tcPr/>
                <w:p>
                  <w:pPr>
                    <w:pStyle w:val="Compact"/>
                    <w:jc w:val="right"/>
                    <w:jc w:val="center"/>
                  </w:pPr>
                  <w:r>
                    <w:t xml:space="preserve">-1.0</w:t>
                  </w:r>
                </w:p>
              </w:tc>
            </w:tr>
          </w:tbl>
          <w:bookmarkEnd w:id="71"/>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2" w:name="tbl-mixdaytab"/>
          <w:p>
            <w:pPr>
              <w:jc w:val="center"/>
            </w:pPr>
            <w:pPr>
              <w:jc w:val="start"/>
              <w:spacing w:before="200"/>
              <w:pStyle w:val="ImageCaption"/>
            </w:pPr>
            <w:r>
              <w:t xml:space="preserve">Table 3: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Bay Segment</w:t>
                  </w:r>
                </w:p>
              </w:tc>
              <w:tc>
                <w:tcPr/>
                <w:p>
                  <w:pPr>
                    <w:pStyle w:val="Compact"/>
                    <w:jc w:val="left"/>
                    <w:jc w:val="center"/>
                  </w:pPr>
                  <w:r>
                    <w:t xml:space="preserve">Threshold</w:t>
                  </w:r>
                </w:p>
              </w:tc>
              <w:tc>
                <w:tcPr/>
                <w:p>
                  <w:pPr>
                    <w:pStyle w:val="Compact"/>
                    <w:jc w:val="left"/>
                    <w:jc w:val="center"/>
                  </w:pPr>
                  <w:r>
                    <w:t xml:space="preserve">Slope</w:t>
                  </w:r>
                </w:p>
              </w:tc>
              <w:tc>
                <w:tcPr/>
                <w:p>
                  <w:pPr>
                    <w:pStyle w:val="Compact"/>
                    <w:jc w:val="left"/>
                    <w:jc w:val="center"/>
                  </w:pPr>
                  <w:r>
                    <w:t xml:space="preserve">Start</w:t>
                  </w:r>
                </w:p>
              </w:tc>
              <w:tc>
                <w:tcPr/>
                <w:p>
                  <w:pPr>
                    <w:pStyle w:val="Compact"/>
                    <w:jc w:val="left"/>
                    <w:jc w:val="center"/>
                  </w:pPr>
                  <w:r>
                    <w:t xml:space="preserve">End</w:t>
                  </w:r>
                </w:p>
              </w:tc>
            </w:tr>
            <w:tr>
              <w:tc>
                <w:tcPr/>
                <w:p>
                  <w:pPr>
                    <w:pStyle w:val="Compact"/>
                    <w:jc w:val="left"/>
                    <w:jc w:val="center"/>
                  </w:pPr>
                  <w:r>
                    <w:t xml:space="preserve">OTB</w:t>
                  </w:r>
                </w:p>
              </w:tc>
              <w:tc>
                <w:tcPr/>
                <w:p>
                  <w:pPr>
                    <w:pStyle w:val="Compact"/>
                    <w:jc w:val="left"/>
                    <w:jc w:val="center"/>
                  </w:pPr>
                  <w:r>
                    <w:t xml:space="preserve">Temperature &gt; 30</w:t>
                  </w:r>
                </w:p>
              </w:tc>
              <w:tc>
                <w:tcPr/>
                <w:p>
                  <w:pPr>
                    <w:pStyle w:val="Compact"/>
                    <w:jc w:val="left"/>
                    <w:jc w:val="center"/>
                  </w:pPr>
                  <w:r>
                    <w:t xml:space="preserve">1.04**</w:t>
                  </w:r>
                </w:p>
              </w:tc>
              <w:tc>
                <w:tcPr/>
                <w:p>
                  <w:pPr>
                    <w:pStyle w:val="Compact"/>
                    <w:jc w:val="left"/>
                    <w:jc w:val="center"/>
                  </w:pPr>
                  <w:r>
                    <w:t xml:space="preserve">8 (3.3)</w:t>
                  </w:r>
                </w:p>
              </w:tc>
              <w:tc>
                <w:tcPr/>
                <w:p>
                  <w:pPr>
                    <w:pStyle w:val="Compact"/>
                    <w:jc w:val="left"/>
                    <w:jc w:val="center"/>
                  </w:pPr>
                  <w:r>
                    <w:t xml:space="preserve">56 (3.3)</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1.96**</w:t>
                  </w:r>
                </w:p>
              </w:tc>
              <w:tc>
                <w:tcPr/>
                <w:p>
                  <w:pPr>
                    <w:pStyle w:val="Compact"/>
                    <w:jc w:val="left"/>
                    <w:jc w:val="center"/>
                  </w:pPr>
                  <w:r>
                    <w:t xml:space="preserve">128 (13.2)</w:t>
                  </w:r>
                </w:p>
              </w:tc>
              <w:tc>
                <w:tcPr/>
                <w:p>
                  <w:pPr>
                    <w:pStyle w:val="Compact"/>
                    <w:jc w:val="left"/>
                    <w:jc w:val="center"/>
                  </w:pPr>
                  <w:r>
                    <w:t xml:space="preserve">219 (13.2)</w:t>
                  </w:r>
                </w:p>
              </w:tc>
            </w:tr>
            <w:tr>
              <w:tc>
                <w:tcPr/>
                <w:p>
                  <w:pPr>
                    <w:pStyle w:val="Compact"/>
                  </w:pPr>
                </w:p>
              </w:tc>
              <w:tc>
                <w:tcPr/>
                <w:p>
                  <w:pPr>
                    <w:pStyle w:val="Compact"/>
                    <w:jc w:val="left"/>
                    <w:jc w:val="center"/>
                  </w:pPr>
                  <w:r>
                    <w:t xml:space="preserve">Both</w:t>
                  </w:r>
                </w:p>
              </w:tc>
              <w:tc>
                <w:tcPr/>
                <w:p>
                  <w:pPr>
                    <w:pStyle w:val="Compact"/>
                    <w:jc w:val="left"/>
                    <w:jc w:val="center"/>
                  </w:pPr>
                  <w:r>
                    <w:t xml:space="preserve">0.81**</w:t>
                  </w:r>
                </w:p>
              </w:tc>
              <w:tc>
                <w:tcPr/>
                <w:p>
                  <w:pPr>
                    <w:pStyle w:val="Compact"/>
                    <w:jc w:val="left"/>
                    <w:jc w:val="center"/>
                  </w:pPr>
                  <w:r>
                    <w:t xml:space="preserve">0 (2.8)</w:t>
                  </w:r>
                </w:p>
              </w:tc>
              <w:tc>
                <w:tcPr/>
                <w:p>
                  <w:pPr>
                    <w:pStyle w:val="Compact"/>
                    <w:jc w:val="left"/>
                    <w:jc w:val="center"/>
                  </w:pPr>
                  <w:r>
                    <w:t xml:space="preserve">37 (2.7)</w:t>
                  </w:r>
                </w:p>
              </w:tc>
            </w:tr>
            <w:tr>
              <w:tc>
                <w:tcPr/>
                <w:p>
                  <w:pPr>
                    <w:pStyle w:val="Compact"/>
                    <w:jc w:val="left"/>
                    <w:jc w:val="center"/>
                  </w:pPr>
                  <w:r>
                    <w:t xml:space="preserve">HB</w:t>
                  </w:r>
                </w:p>
              </w:tc>
              <w:tc>
                <w:tcPr/>
                <w:p>
                  <w:pPr>
                    <w:pStyle w:val="Compact"/>
                    <w:jc w:val="left"/>
                    <w:jc w:val="center"/>
                  </w:pPr>
                  <w:r>
                    <w:t xml:space="preserve">Temperature &gt; 30</w:t>
                  </w:r>
                </w:p>
              </w:tc>
              <w:tc>
                <w:tcPr/>
                <w:p>
                  <w:pPr>
                    <w:pStyle w:val="Compact"/>
                    <w:jc w:val="left"/>
                    <w:jc w:val="center"/>
                  </w:pPr>
                  <w:r>
                    <w:t xml:space="preserve">1.01**</w:t>
                  </w:r>
                </w:p>
              </w:tc>
              <w:tc>
                <w:tcPr/>
                <w:p>
                  <w:pPr>
                    <w:pStyle w:val="Compact"/>
                    <w:jc w:val="left"/>
                    <w:jc w:val="center"/>
                  </w:pPr>
                  <w:r>
                    <w:t xml:space="preserve">8 (4.9)</w:t>
                  </w:r>
                </w:p>
              </w:tc>
              <w:tc>
                <w:tcPr/>
                <w:p>
                  <w:pPr>
                    <w:pStyle w:val="Compact"/>
                    <w:jc w:val="left"/>
                    <w:jc w:val="center"/>
                  </w:pPr>
                  <w:r>
                    <w:t xml:space="preserve">55 (4.8)</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0.86*</w:t>
                  </w:r>
                </w:p>
              </w:tc>
              <w:tc>
                <w:tcPr/>
                <w:p>
                  <w:pPr>
                    <w:pStyle w:val="Compact"/>
                    <w:jc w:val="left"/>
                    <w:jc w:val="center"/>
                  </w:pPr>
                  <w:r>
                    <w:t xml:space="preserve">131 (12.5)</w:t>
                  </w:r>
                </w:p>
              </w:tc>
              <w:tc>
                <w:tcPr/>
                <w:p>
                  <w:pPr>
                    <w:pStyle w:val="Compact"/>
                    <w:jc w:val="left"/>
                    <w:jc w:val="center"/>
                  </w:pPr>
                  <w:r>
                    <w:t xml:space="preserve">171 (11.8)</w:t>
                  </w:r>
                </w:p>
              </w:tc>
            </w:tr>
            <w:tr>
              <w:tc>
                <w:tcPr/>
                <w:p>
                  <w:pPr>
                    <w:pStyle w:val="Compact"/>
                  </w:pPr>
                </w:p>
              </w:tc>
              <w:tc>
                <w:tcPr/>
                <w:p>
                  <w:pPr>
                    <w:pStyle w:val="Compact"/>
                    <w:jc w:val="left"/>
                    <w:jc w:val="center"/>
                  </w:pPr>
                  <w:r>
                    <w:t xml:space="preserve">Both</w:t>
                  </w:r>
                </w:p>
              </w:tc>
              <w:tc>
                <w:tcPr/>
                <w:p>
                  <w:pPr>
                    <w:pStyle w:val="Compact"/>
                    <w:jc w:val="left"/>
                    <w:jc w:val="center"/>
                  </w:pPr>
                  <w:r>
                    <w:t xml:space="preserve">0.8**</w:t>
                  </w:r>
                </w:p>
              </w:tc>
              <w:tc>
                <w:tcPr/>
                <w:p>
                  <w:pPr>
                    <w:pStyle w:val="Compact"/>
                    <w:jc w:val="left"/>
                    <w:jc w:val="center"/>
                  </w:pPr>
                  <w:r>
                    <w:t xml:space="preserve">-2 (2.8)</w:t>
                  </w:r>
                </w:p>
              </w:tc>
              <w:tc>
                <w:tcPr/>
                <w:p>
                  <w:pPr>
                    <w:pStyle w:val="Compact"/>
                    <w:jc w:val="left"/>
                    <w:jc w:val="center"/>
                  </w:pPr>
                  <w:r>
                    <w:t xml:space="preserve">35 (2.7)</w:t>
                  </w:r>
                </w:p>
              </w:tc>
            </w:tr>
            <w:tr>
              <w:tc>
                <w:tcPr/>
                <w:p>
                  <w:pPr>
                    <w:pStyle w:val="Compact"/>
                    <w:jc w:val="left"/>
                    <w:jc w:val="center"/>
                  </w:pPr>
                  <w:r>
                    <w:t xml:space="preserve">MTB</w:t>
                  </w:r>
                </w:p>
              </w:tc>
              <w:tc>
                <w:tcPr/>
                <w:p>
                  <w:pPr>
                    <w:pStyle w:val="Compact"/>
                    <w:jc w:val="left"/>
                    <w:jc w:val="center"/>
                  </w:pPr>
                  <w:r>
                    <w:t xml:space="preserve">Temperature &gt; 30</w:t>
                  </w:r>
                </w:p>
              </w:tc>
              <w:tc>
                <w:tcPr/>
                <w:p>
                  <w:pPr>
                    <w:pStyle w:val="Compact"/>
                    <w:jc w:val="left"/>
                    <w:jc w:val="center"/>
                  </w:pPr>
                  <w:r>
                    <w:t xml:space="preserve">1.06**</w:t>
                  </w:r>
                </w:p>
              </w:tc>
              <w:tc>
                <w:tcPr/>
                <w:p>
                  <w:pPr>
                    <w:pStyle w:val="Compact"/>
                    <w:jc w:val="left"/>
                    <w:jc w:val="center"/>
                  </w:pPr>
                  <w:r>
                    <w:t xml:space="preserve">9 (3.1)</w:t>
                  </w:r>
                </w:p>
              </w:tc>
              <w:tc>
                <w:tcPr/>
                <w:p>
                  <w:pPr>
                    <w:pStyle w:val="Compact"/>
                    <w:jc w:val="left"/>
                    <w:jc w:val="center"/>
                  </w:pPr>
                  <w:r>
                    <w:t xml:space="preserve">57 (3.1)</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0.67**</w:t>
                  </w:r>
                </w:p>
              </w:tc>
              <w:tc>
                <w:tcPr/>
                <w:p>
                  <w:pPr>
                    <w:pStyle w:val="Compact"/>
                    <w:jc w:val="left"/>
                    <w:jc w:val="center"/>
                  </w:pPr>
                  <w:r>
                    <w:t xml:space="preserve">51 (11)</w:t>
                  </w:r>
                </w:p>
              </w:tc>
              <w:tc>
                <w:tcPr/>
                <w:p>
                  <w:pPr>
                    <w:pStyle w:val="Compact"/>
                    <w:jc w:val="left"/>
                    <w:jc w:val="center"/>
                  </w:pPr>
                  <w:r>
                    <w:t xml:space="preserve">82 (11)</w:t>
                  </w:r>
                </w:p>
              </w:tc>
            </w:tr>
            <w:tr>
              <w:tc>
                <w:tcPr/>
                <w:p>
                  <w:pPr>
                    <w:pStyle w:val="Compact"/>
                  </w:pPr>
                </w:p>
              </w:tc>
              <w:tc>
                <w:tcPr/>
                <w:p>
                  <w:pPr>
                    <w:pStyle w:val="Compact"/>
                    <w:jc w:val="left"/>
                    <w:jc w:val="center"/>
                  </w:pPr>
                  <w:r>
                    <w:t xml:space="preserve">Both</w:t>
                  </w:r>
                </w:p>
              </w:tc>
              <w:tc>
                <w:tcPr/>
                <w:p>
                  <w:pPr>
                    <w:pStyle w:val="Compact"/>
                    <w:jc w:val="left"/>
                    <w:jc w:val="center"/>
                  </w:pPr>
                  <w:r>
                    <w:t xml:space="preserve">0.37**</w:t>
                  </w:r>
                </w:p>
              </w:tc>
              <w:tc>
                <w:tcPr/>
                <w:p>
                  <w:pPr>
                    <w:pStyle w:val="Compact"/>
                    <w:jc w:val="left"/>
                    <w:jc w:val="center"/>
                  </w:pPr>
                  <w:r>
                    <w:t xml:space="preserve">-1 (1.7)</w:t>
                  </w:r>
                </w:p>
              </w:tc>
              <w:tc>
                <w:tcPr/>
                <w:p>
                  <w:pPr>
                    <w:pStyle w:val="Compact"/>
                    <w:jc w:val="left"/>
                    <w:jc w:val="center"/>
                  </w:pPr>
                  <w:r>
                    <w:t xml:space="preserve">16 (1.7)</w:t>
                  </w:r>
                </w:p>
              </w:tc>
            </w:tr>
            <w:tr>
              <w:tc>
                <w:tcPr/>
                <w:p>
                  <w:pPr>
                    <w:pStyle w:val="Compact"/>
                    <w:jc w:val="left"/>
                    <w:jc w:val="center"/>
                  </w:pPr>
                  <w:r>
                    <w:t xml:space="preserve">LTB</w:t>
                  </w:r>
                </w:p>
              </w:tc>
              <w:tc>
                <w:tcPr/>
                <w:p>
                  <w:pPr>
                    <w:pStyle w:val="Compact"/>
                    <w:jc w:val="left"/>
                    <w:jc w:val="center"/>
                  </w:pPr>
                  <w:r>
                    <w:t xml:space="preserve">Temperature &gt; 30</w:t>
                  </w:r>
                </w:p>
              </w:tc>
              <w:tc>
                <w:tcPr/>
                <w:p>
                  <w:pPr>
                    <w:pStyle w:val="Compact"/>
                    <w:jc w:val="left"/>
                    <w:jc w:val="center"/>
                  </w:pPr>
                  <w:r>
                    <w:t xml:space="preserve">0.92**</w:t>
                  </w:r>
                </w:p>
              </w:tc>
              <w:tc>
                <w:tcPr/>
                <w:p>
                  <w:pPr>
                    <w:pStyle w:val="Compact"/>
                    <w:jc w:val="left"/>
                    <w:jc w:val="center"/>
                  </w:pPr>
                  <w:r>
                    <w:t xml:space="preserve">21 (3.5)</w:t>
                  </w:r>
                </w:p>
              </w:tc>
              <w:tc>
                <w:tcPr/>
                <w:p>
                  <w:pPr>
                    <w:pStyle w:val="Compact"/>
                    <w:jc w:val="left"/>
                    <w:jc w:val="center"/>
                  </w:pPr>
                  <w:r>
                    <w:t xml:space="preserve">63 (3.5)</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-0.06</w:t>
                  </w:r>
                </w:p>
              </w:tc>
              <w:tc>
                <w:tcPr/>
                <w:p>
                  <w:pPr>
                    <w:pStyle w:val="Compact"/>
                    <w:jc w:val="left"/>
                    <w:jc w:val="center"/>
                  </w:pPr>
                  <w:r>
                    <w:t xml:space="preserve">4 (1.3)</w:t>
                  </w:r>
                </w:p>
              </w:tc>
              <w:tc>
                <w:tcPr/>
                <w:p>
                  <w:pPr>
                    <w:pStyle w:val="Compact"/>
                    <w:jc w:val="left"/>
                    <w:jc w:val="center"/>
                  </w:pPr>
                  <w:r>
                    <w:t xml:space="preserve">1 (1.3)</w:t>
                  </w:r>
                </w:p>
              </w:tc>
            </w:tr>
            <w:tr>
              <w:tc>
                <w:tcPr/>
                <w:p>
                  <w:pPr>
                    <w:pStyle w:val="Compact"/>
                  </w:pPr>
                </w:p>
              </w:tc>
              <w:tc>
                <w:tcPr/>
                <w:p>
                  <w:pPr>
                    <w:pStyle w:val="Compact"/>
                    <w:jc w:val="left"/>
                    <w:jc w:val="center"/>
                  </w:pPr>
                  <w:r>
                    <w:t xml:space="preserve">Both</w:t>
                  </w:r>
                </w:p>
              </w:tc>
              <w:tc>
                <w:tcPr/>
                <w:p>
                  <w:pPr>
                    <w:pStyle w:val="Compact"/>
                    <w:jc w:val="left"/>
                    <w:jc w:val="center"/>
                  </w:pPr>
                  <w:r>
                    <w:t xml:space="preserve">0</w:t>
                  </w:r>
                </w:p>
              </w:tc>
              <w:tc>
                <w:tcPr/>
                <w:p>
                  <w:pPr>
                    <w:pStyle w:val="Compact"/>
                    <w:jc w:val="left"/>
                    <w:jc w:val="center"/>
                  </w:pPr>
                  <w:r>
                    <w:t xml:space="preserve">0 (0)</w:t>
                  </w:r>
                </w:p>
              </w:tc>
              <w:tc>
                <w:tcPr/>
                <w:p>
                  <w:pPr>
                    <w:pStyle w:val="Compact"/>
                    <w:jc w:val="left"/>
                    <w:jc w:val="center"/>
                  </w:pPr>
                  <w:r>
                    <w:t xml:space="preserve">0 (0)</w:t>
                  </w:r>
                </w:p>
              </w:tc>
            </w:tr>
          </w:tbl>
          <w:bookmarkEnd w:id="72"/>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3" w:name="tbl-modtab"/>
          <w:p>
            <w:pPr>
              <w:jc w:val="center"/>
            </w:pPr>
            <w:pPr>
              <w:jc w:val="start"/>
              <w:spacing w:before="200"/>
              <w:pStyle w:val="ImageCaption"/>
            </w:pPr>
            <w:r>
              <w:t xml:space="preserve">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Model</w:t>
                  </w:r>
                </w:p>
              </w:tc>
              <w:tc>
                <w:tcPr/>
                <w:p>
                  <w:pPr>
                    <w:pStyle w:val="Compact"/>
                    <w:jc w:val="left"/>
                    <w:jc w:val="center"/>
                  </w:pPr>
                  <w:r>
                    <w:t xml:space="preserve">Term</w:t>
                  </w:r>
                </w:p>
              </w:tc>
              <w:tc>
                <w:tcPr/>
                <w:p>
                  <w:pPr>
                    <w:pStyle w:val="Compact"/>
                    <w:jc w:val="left"/>
                    <w:jc w:val="center"/>
                  </w:pPr>
                  <w:r>
                    <w:t xml:space="preserve">Estimate</w:t>
                  </w:r>
                </w:p>
              </w:tc>
              <w:tc>
                <w:tcPr/>
                <w:p>
                  <w:pPr>
                    <w:pStyle w:val="Compact"/>
                    <w:jc w:val="left"/>
                    <w:jc w:val="center"/>
                  </w:pPr>
                  <w:r>
                    <w:t xml:space="preserve">t-statistic</w:t>
                  </w:r>
                </w:p>
              </w:tc>
            </w:tr>
            <w:tr>
              <w:tc>
                <w:tcPr/>
                <w:p>
                  <w:pPr>
                    <w:pStyle w:val="Compact"/>
                    <w:jc w:val="left"/>
                    <w:jc w:val="center"/>
                  </w:pPr>
                  <w:r>
                    <w:t xml:space="preserve">EPC 1</w:t>
                  </w:r>
                </w:p>
              </w:tc>
              <w:tc>
                <w:tcPr/>
                <w:p>
                  <w:pPr>
                    <w:pStyle w:val="Compact"/>
                    <w:jc w:val="left"/>
                    <w:jc w:val="center"/>
                  </w:pPr>
                  <w:r>
                    <w:t xml:space="preserve">Sal</w:t>
                  </w:r>
                </w:p>
              </w:tc>
              <w:tc>
                <w:tcPr/>
                <w:p>
                  <w:pPr>
                    <w:pStyle w:val="Compact"/>
                    <w:jc w:val="left"/>
                    <w:jc w:val="center"/>
                  </w:pPr>
                  <w:r>
                    <w:t xml:space="preserve">0.00069 (0.00037)</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w:t>
                  </w:r>
                </w:p>
              </w:tc>
              <w:tc>
                <w:tcPr/>
                <w:p>
                  <w:pPr>
                    <w:pStyle w:val="Compact"/>
                    <w:jc w:val="left"/>
                    <w:jc w:val="center"/>
                  </w:pPr>
                  <w:r>
                    <w:t xml:space="preserve">0.0035 (0.0013)</w:t>
                  </w:r>
                </w:p>
              </w:tc>
              <w:tc>
                <w:tcPr/>
                <w:p>
                  <w:pPr>
                    <w:pStyle w:val="Compact"/>
                    <w:jc w:val="left"/>
                    <w:jc w:val="center"/>
                  </w:pPr>
                  <w:r>
                    <w:t xml:space="preserve">2.6*</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0.48 (0.28)</w:t>
                  </w:r>
                </w:p>
              </w:tc>
              <w:tc>
                <w:tcPr/>
                <w:p>
                  <w:pPr>
                    <w:pStyle w:val="Compact"/>
                    <w:jc w:val="left"/>
                    <w:jc w:val="center"/>
                  </w:pPr>
                  <w:r>
                    <w:t xml:space="preserve">1.7</w:t>
                  </w:r>
                  <m:oMath>
                    <m:sSup>
                      <m:e>
                        <m:r>
                          <m:t>​</m:t>
                        </m:r>
                      </m:e>
                      <m:sup>
                        <m:r>
                          <m:rPr>
                            <m:sty m:val="p"/>
                          </m:rPr>
                          <m:t>.</m:t>
                        </m:r>
                      </m:sup>
                    </m:sSup>
                  </m:oMath>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-0.39 (0.042)</w:t>
                  </w:r>
                </w:p>
              </w:tc>
              <w:tc>
                <w:tcPr/>
                <w:p>
                  <w:pPr>
                    <w:pStyle w:val="Compact"/>
                    <w:jc w:val="left"/>
                    <w:jc w:val="center"/>
                  </w:pPr>
                  <w:r>
                    <w:t xml:space="preserve">-9.3**</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-0.12 (0.047)</w:t>
                  </w:r>
                </w:p>
              </w:tc>
              <w:tc>
                <w:tcPr/>
                <w:p>
                  <w:pPr>
                    <w:pStyle w:val="Compact"/>
                    <w:jc w:val="left"/>
                    <w:jc w:val="center"/>
                  </w:pPr>
                  <w:r>
                    <w:t xml:space="preserve">-2.6*</w:t>
                  </w:r>
                </w:p>
              </w:tc>
            </w:tr>
            <w:tr>
              <w:tc>
                <w:tcPr/>
                <w:p>
                  <w:pPr>
                    <w:pStyle w:val="Compact"/>
                  </w:pPr>
                </w:p>
              </w:tc>
              <w:tc>
                <w:tcPr/>
                <w:p>
                  <w:pPr>
                    <w:pStyle w:val="Compact"/>
                    <w:jc w:val="left"/>
                    <w:jc w:val="center"/>
                  </w:pPr>
                  <w:r>
                    <w:t xml:space="preserve">Sal:Temp</w:t>
                  </w:r>
                </w:p>
              </w:tc>
              <w:tc>
                <w:tcPr/>
                <w:p>
                  <w:pPr>
                    <w:pStyle w:val="Compact"/>
                    <w:jc w:val="left"/>
                    <w:jc w:val="center"/>
                  </w:pPr>
                  <w:r>
                    <w:t xml:space="preserve">-1.3e-05 (7.5e-06)</w:t>
                  </w:r>
                </w:p>
              </w:tc>
              <w:tc>
                <w:tcPr/>
                <w:p>
                  <w:pPr>
                    <w:pStyle w:val="Compact"/>
                    <w:jc w:val="left"/>
                    <w:jc w:val="center"/>
                  </w:pPr>
                  <w:r>
                    <w:t xml:space="preserve">-1.7</w:t>
                  </w:r>
                  <m:oMath>
                    <m:sSup>
                      <m:e>
                        <m:r>
                          <m:t>​</m:t>
                        </m:r>
                      </m:e>
                      <m:sup>
                        <m:r>
                          <m:rPr>
                            <m:sty m:val="p"/>
                          </m:rPr>
                          <m:t>.</m:t>
                        </m:r>
                      </m:sup>
                    </m:sSup>
                  </m:oMath>
                </w:p>
              </w:tc>
            </w:tr>
            <w:tr>
              <w:tc>
                <w:tcPr/>
                <w:p>
                  <w:pPr>
                    <w:pStyle w:val="Compact"/>
                  </w:pPr>
                </w:p>
              </w:tc>
              <w:tc>
                <w:tcPr/>
                <w:p>
                  <w:pPr>
                    <w:pStyle w:val="Compact"/>
                    <w:jc w:val="left"/>
                    <w:jc w:val="center"/>
                  </w:pPr>
                  <w:r>
                    <w:t xml:space="preserve">Sal:Time_post</w:t>
                  </w:r>
                </w:p>
              </w:tc>
              <w:tc>
                <w:tcPr/>
                <w:p>
                  <w:pPr>
                    <w:pStyle w:val="Compact"/>
                    <w:jc w:val="left"/>
                    <w:jc w:val="center"/>
                  </w:pPr>
                  <w:r>
                    <w:t xml:space="preserve">-0.0027 (0.0015)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-0.0056 (0.0052)</w:t>
                  </w:r>
                </w:p>
              </w:tc>
              <w:tc>
                <w:tcPr/>
                <w:p>
                  <w:pPr>
                    <w:pStyle w:val="Compact"/>
                    <w:jc w:val="left"/>
                    <w:jc w:val="center"/>
                  </w:pPr>
                  <w:r>
                    <w:t xml:space="preserve">-1.1</w:t>
                  </w:r>
                </w:p>
              </w:tc>
            </w:tr>
            <w:tr>
              <w:tc>
                <w:tcPr/>
                <w:p>
                  <w:pPr>
                    <w:pStyle w:val="Compact"/>
                  </w:pPr>
                </w:p>
              </w:tc>
              <w:tc>
                <w:tcPr/>
                <w:p>
                  <w:pPr>
                    <w:pStyle w:val="Compact"/>
                    <w:jc w:val="left"/>
                    <w:jc w:val="center"/>
                  </w:pPr>
                  <w:r>
                    <w:t xml:space="preserve">Sal:Temp:Time_post</w:t>
                  </w:r>
                </w:p>
              </w:tc>
              <w:tc>
                <w:tcPr/>
                <w:p>
                  <w:pPr>
                    <w:pStyle w:val="Compact"/>
                    <w:jc w:val="left"/>
                    <w:jc w:val="center"/>
                  </w:pPr>
                  <w:r>
                    <w:t xml:space="preserve">3.6e-05 (2.6e-05)</w:t>
                  </w:r>
                </w:p>
              </w:tc>
              <w:tc>
                <w:tcPr/>
                <w:p>
                  <w:pPr>
                    <w:pStyle w:val="Compact"/>
                    <w:jc w:val="left"/>
                    <w:jc w:val="center"/>
                  </w:pPr>
                  <w:r>
                    <w:t xml:space="preserve">1.4</w:t>
                  </w:r>
                </w:p>
              </w:tc>
            </w:tr>
            <w:tr>
              <w:tc>
                <w:tcPr/>
                <w:p>
                  <w:pPr>
                    <w:pStyle w:val="Compact"/>
                    <w:jc w:val="left"/>
                    <w:jc w:val="center"/>
                  </w:pPr>
                  <w:r>
                    <w:t xml:space="preserve">EPC 2</w:t>
                  </w:r>
                </w:p>
              </w:tc>
              <w:tc>
                <w:tcPr/>
                <w:p>
                  <w:pPr>
                    <w:pStyle w:val="Compact"/>
                    <w:jc w:val="left"/>
                    <w:jc w:val="center"/>
                  </w:pPr>
                  <w:r>
                    <w:t xml:space="preserve">Both</w:t>
                  </w:r>
                </w:p>
              </w:tc>
              <w:tc>
                <w:tcPr/>
                <w:p>
                  <w:pPr>
                    <w:pStyle w:val="Compact"/>
                    <w:jc w:val="left"/>
                    <w:jc w:val="center"/>
                  </w:pPr>
                  <w:r>
                    <w:t xml:space="preserve">0.0028 (0.00082)</w:t>
                  </w:r>
                </w:p>
              </w:tc>
              <w:tc>
                <w:tcPr/>
                <w:p>
                  <w:pPr>
                    <w:pStyle w:val="Compact"/>
                    <w:jc w:val="left"/>
                    <w:jc w:val="center"/>
                  </w:pPr>
                  <w:r>
                    <w:t xml:space="preserve">3.4**</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0.059 (0.039)</w:t>
                  </w:r>
                </w:p>
              </w:tc>
              <w:tc>
                <w:tcPr/>
                <w:p>
                  <w:pPr>
                    <w:pStyle w:val="Compact"/>
                    <w:jc w:val="left"/>
                    <w:jc w:val="center"/>
                  </w:pPr>
                  <w:r>
                    <w:t xml:space="preserve">1.5</w:t>
                  </w:r>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-0.38 (0.04)</w:t>
                  </w:r>
                </w:p>
              </w:tc>
              <w:tc>
                <w:tcPr/>
                <w:p>
                  <w:pPr>
                    <w:pStyle w:val="Compact"/>
                    <w:jc w:val="left"/>
                    <w:jc w:val="center"/>
                  </w:pPr>
                  <w:r>
                    <w:t xml:space="preserve">-9.4**</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-0.062 (0.042)</w:t>
                  </w:r>
                </w:p>
              </w:tc>
              <w:tc>
                <w:tcPr/>
                <w:p>
                  <w:pPr>
                    <w:pStyle w:val="Compact"/>
                    <w:jc w:val="left"/>
                    <w:jc w:val="center"/>
                  </w:pPr>
                  <w:r>
                    <w:t xml:space="preserve">-1.5</w:t>
                  </w:r>
                </w:p>
              </w:tc>
            </w:tr>
            <w:tr>
              <w:tc>
                <w:tcPr/>
                <w:p>
                  <w:pPr>
                    <w:pStyle w:val="Compact"/>
                    <w:jc w:val="left"/>
                    <w:jc w:val="center"/>
                  </w:pPr>
                  <w:r>
                    <w:t xml:space="preserve">FIM</w:t>
                  </w:r>
                </w:p>
              </w:tc>
              <w:tc>
                <w:tcPr/>
                <w:p>
                  <w:pPr>
                    <w:pStyle w:val="Compact"/>
                    <w:jc w:val="left"/>
                    <w:jc w:val="center"/>
                  </w:pPr>
                  <w:r>
                    <w:t xml:space="preserve">Sal</w:t>
                  </w:r>
                </w:p>
              </w:tc>
              <w:tc>
                <w:tcPr/>
                <w:p>
                  <w:pPr>
                    <w:pStyle w:val="Compact"/>
                    <w:jc w:val="left"/>
                    <w:jc w:val="center"/>
                  </w:pPr>
                  <w:r>
                    <w:t xml:space="preserve">0.043 (0.22)</w:t>
                  </w:r>
                </w:p>
              </w:tc>
              <w:tc>
                <w:tcPr/>
                <w:p>
                  <w:pPr>
                    <w:pStyle w:val="Compact"/>
                    <w:jc w:val="left"/>
                    <w:jc w:val="center"/>
                  </w:pPr>
                  <w:r>
                    <w:t xml:space="preserve">0.2</w:t>
                  </w:r>
                </w:p>
              </w:tc>
            </w:tr>
            <w:tr>
              <w:tc>
                <w:tcPr/>
                <w:p>
                  <w:pPr>
                    <w:pStyle w:val="Compact"/>
                  </w:pPr>
                </w:p>
              </w:tc>
              <w:tc>
                <w:tcPr/>
                <w:p>
                  <w:pPr>
                    <w:pStyle w:val="Compact"/>
                    <w:jc w:val="left"/>
                    <w:jc w:val="center"/>
                  </w:pPr>
                  <w:r>
                    <w:t xml:space="preserve">Temp</w:t>
                  </w:r>
                </w:p>
              </w:tc>
              <w:tc>
                <w:tcPr/>
                <w:p>
                  <w:pPr>
                    <w:pStyle w:val="Compact"/>
                    <w:jc w:val="left"/>
                    <w:jc w:val="center"/>
                  </w:pPr>
                  <w:r>
                    <w:t xml:space="preserve">0.052 (0.42)</w:t>
                  </w:r>
                </w:p>
              </w:tc>
              <w:tc>
                <w:tcPr/>
                <w:p>
                  <w:pPr>
                    <w:pStyle w:val="Compact"/>
                    <w:jc w:val="left"/>
                    <w:jc w:val="center"/>
                  </w:pPr>
                  <w:r>
                    <w:t xml:space="preserve">0.12</w:t>
                  </w:r>
                </w:p>
              </w:tc>
            </w:tr>
            <w:tr>
              <w:tc>
                <w:tcPr/>
                <w:p>
                  <w:pPr>
                    <w:pStyle w:val="Compact"/>
                  </w:pPr>
                </w:p>
              </w:tc>
              <w:tc>
                <w:tcPr/>
                <w:p>
                  <w:pPr>
                    <w:pStyle w:val="Compact"/>
                    <w:jc w:val="left"/>
                    <w:jc w:val="center"/>
                  </w:pPr>
                  <w:r>
                    <w:t xml:space="preserve">Time_post</w:t>
                  </w:r>
                </w:p>
              </w:tc>
              <w:tc>
                <w:tcPr/>
                <w:p>
                  <w:pPr>
                    <w:pStyle w:val="Compact"/>
                    <w:jc w:val="left"/>
                    <w:jc w:val="center"/>
                  </w:pPr>
                  <w:r>
                    <w:t xml:space="preserve">52 ( 32)</w:t>
                  </w:r>
                </w:p>
              </w:tc>
              <w:tc>
                <w:tcPr/>
                <w:p>
                  <w:pPr>
                    <w:pStyle w:val="Compact"/>
                    <w:jc w:val="left"/>
                    <w:jc w:val="center"/>
                  </w:pPr>
                  <w:r>
                    <w:t xml:space="preserve">1.6</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33 (2.5)</w:t>
                  </w:r>
                </w:p>
              </w:tc>
              <w:tc>
                <w:tcPr/>
                <w:p>
                  <w:pPr>
                    <w:pStyle w:val="Compact"/>
                    <w:jc w:val="left"/>
                    <w:jc w:val="center"/>
                  </w:pPr>
                  <w:r>
                    <w:t xml:space="preserve">13**</w:t>
                  </w:r>
                </w:p>
              </w:tc>
            </w:tr>
            <w:tr>
              <w:tc>
                <w:tcPr/>
                <w:p>
                  <w:pPr>
                    <w:pStyle w:val="Compact"/>
                  </w:pPr>
                </w:p>
              </w:tc>
              <w:tc>
                <w:tcPr/>
                <w:p>
                  <w:pPr>
                    <w:pStyle w:val="Compact"/>
                    <w:jc w:val="left"/>
                    <w:jc w:val="center"/>
                  </w:pPr>
                  <w:r>
                    <w:t xml:space="preserve">Baysegment_OTB</w:t>
                  </w:r>
                </w:p>
              </w:tc>
              <w:tc>
                <w:tcPr/>
                <w:p>
                  <w:pPr>
                    <w:pStyle w:val="Compact"/>
                    <w:jc w:val="left"/>
                    <w:jc w:val="center"/>
                  </w:pPr>
                  <w:r>
                    <w:t xml:space="preserve">28 (2.2)</w:t>
                  </w:r>
                </w:p>
              </w:tc>
              <w:tc>
                <w:tcPr/>
                <w:p>
                  <w:pPr>
                    <w:pStyle w:val="Compact"/>
                    <w:jc w:val="left"/>
                    <w:jc w:val="center"/>
                  </w:pPr>
                  <w:r>
                    <w:t xml:space="preserve">13**</w:t>
                  </w:r>
                </w:p>
              </w:tc>
            </w:tr>
            <w:tr>
              <w:tc>
                <w:tcPr/>
                <w:p>
                  <w:pPr>
                    <w:pStyle w:val="Compact"/>
                  </w:pPr>
                </w:p>
              </w:tc>
              <w:tc>
                <w:tcPr/>
                <w:p>
                  <w:pPr>
                    <w:pStyle w:val="Compact"/>
                    <w:jc w:val="left"/>
                    <w:jc w:val="center"/>
                  </w:pPr>
                  <w:r>
                    <w:t xml:space="preserve">Sal:Time_post</w:t>
                  </w:r>
                </w:p>
              </w:tc>
              <w:tc>
                <w:tcPr/>
                <w:p>
                  <w:pPr>
                    <w:pStyle w:val="Compact"/>
                    <w:jc w:val="left"/>
                    <w:jc w:val="center"/>
                  </w:pPr>
                  <w:r>
                    <w:t xml:space="preserve">0.93 (0.5)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-2.4 (1.1)</w:t>
                  </w:r>
                </w:p>
              </w:tc>
              <w:tc>
                <w:tcPr/>
                <w:p>
                  <w:pPr>
                    <w:pStyle w:val="Compact"/>
                    <w:jc w:val="left"/>
                    <w:jc w:val="center"/>
                  </w:pPr>
                  <w:r>
                    <w:t xml:space="preserve">-2.2*</w:t>
                  </w:r>
                </w:p>
              </w:tc>
            </w:tr>
            <w:tr>
              <w:tc>
                <w:tcPr/>
                <w:p>
                  <w:pPr>
                    <w:pStyle w:val="Compact"/>
                    <w:jc w:val="left"/>
                    <w:jc w:val="center"/>
                  </w:pPr>
                  <w:r>
                    <w:t xml:space="preserve">PDEM</w:t>
                  </w:r>
                </w:p>
              </w:tc>
              <w:tc>
                <w:tcPr/>
                <w:p>
                  <w:pPr>
                    <w:pStyle w:val="Compact"/>
                    <w:jc w:val="left"/>
                    <w:jc w:val="center"/>
                  </w:pPr>
                  <w:r>
                    <w:t xml:space="preserve">Time_post</w:t>
                  </w:r>
                </w:p>
              </w:tc>
              <w:tc>
                <w:tcPr/>
                <w:p>
                  <w:pPr>
                    <w:pStyle w:val="Compact"/>
                    <w:jc w:val="left"/>
                    <w:jc w:val="center"/>
                  </w:pPr>
                  <w:r>
                    <w:t xml:space="preserve">-0.45 (0.24)</w:t>
                  </w:r>
                </w:p>
              </w:tc>
              <w:tc>
                <w:tcPr/>
                <w:p>
                  <w:pPr>
                    <w:pStyle w:val="Compact"/>
                    <w:jc w:val="left"/>
                    <w:jc w:val="center"/>
                  </w:pPr>
                  <w:r>
                    <w:t xml:space="preserve">-1.8</w:t>
                  </w:r>
                  <m:oMath>
                    <m:sSup>
                      <m:e>
                        <m:r>
                          <m:t>​</m:t>
                        </m:r>
                      </m:e>
                      <m:sup>
                        <m:r>
                          <m:rPr>
                            <m:sty m:val="p"/>
                          </m:rPr>
                          <m:t>.</m:t>
                        </m:r>
                      </m:sup>
                    </m:sSup>
                  </m:oMath>
                </w:p>
              </w:tc>
            </w:tr>
          </w:tbl>
          <w:bookmarkEnd w:id="73"/>
          <w:p/>
        </w:tc>
      </w:tr>
    </w:tbl>
    <w:p>
      <w:r>
        <w:br w:type="page"/>
      </w:r>
    </w:p>
    <w:bookmarkEnd w:id="74"/>
    <w:bookmarkStart w:id="264" w:name="references"/>
    <w:p>
      <w:pPr>
        <w:pStyle w:val="Heading2"/>
      </w:pPr>
      <w:r>
        <w:t xml:space="preserve">References</w:t>
      </w:r>
    </w:p>
    <w:bookmarkStart w:id="263" w:name="refs"/>
    <w:bookmarkStart w:id="76"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75">
        <w:r>
          <w:rPr>
            <w:rStyle w:val="Hyperlink"/>
          </w:rPr>
          <w:t xml:space="preserve">https://doi.org/10.1016/j.ocecoaman.2023.106929</w:t>
        </w:r>
      </w:hyperlink>
      <w:r>
        <w:t xml:space="preserve">.</w:t>
      </w:r>
    </w:p>
    <w:bookmarkEnd w:id="76"/>
    <w:bookmarkStart w:id="78" w:name="ref-araújo2006"/>
    <w:p>
      <w:pPr>
        <w:pStyle w:val="Bibliography"/>
      </w:pPr>
      <w:r>
        <w:t xml:space="preserve">Araújo, M. B., and A. Guisan. 2006. Five (or so) challenges for species distribution modelling.</w:t>
      </w:r>
      <w:r>
        <w:t xml:space="preserve"> </w:t>
      </w:r>
      <w:r>
        <w:rPr>
          <w:iCs/>
          <w:i/>
        </w:rPr>
        <w:t xml:space="preserve">Journal of Biogeography</w:t>
      </w:r>
      <w:r>
        <w:t xml:space="preserve"> </w:t>
      </w:r>
      <w:r>
        <w:t xml:space="preserve">33: 1677–1688.</w:t>
      </w:r>
      <w:r>
        <w:t xml:space="preserve"> </w:t>
      </w:r>
      <w:hyperlink r:id="rId77">
        <w:r>
          <w:rPr>
            <w:rStyle w:val="Hyperlink"/>
          </w:rPr>
          <w:t xml:space="preserve">https://doi.org/10.1111/j.1365-2699.2006.01584.x</w:t>
        </w:r>
      </w:hyperlink>
      <w:r>
        <w:t xml:space="preserve">.</w:t>
      </w:r>
    </w:p>
    <w:bookmarkEnd w:id="78"/>
    <w:bookmarkStart w:id="80"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79">
        <w:r>
          <w:rPr>
            <w:rStyle w:val="Hyperlink"/>
          </w:rPr>
          <w:t xml:space="preserve">https://doi.org/10.18637/jss.v067.i01</w:t>
        </w:r>
      </w:hyperlink>
      <w:r>
        <w:t xml:space="preserve">.</w:t>
      </w:r>
    </w:p>
    <w:bookmarkEnd w:id="80"/>
    <w:bookmarkStart w:id="82" w:name="ref-Beck20a"/>
    <w:p>
      <w:pPr>
        <w:pStyle w:val="Bibliography"/>
      </w:pPr>
      <w:r>
        <w:t xml:space="preserve">Beck, M. W. 2020a.</w:t>
      </w:r>
      <w:r>
        <w:t xml:space="preserve"> </w:t>
      </w:r>
      <w:r>
        <w:t xml:space="preserve">t</w:t>
      </w:r>
      <w:r>
        <w:t xml:space="preserve">bep-tech/wq-dash: v1.0 (version v1.0). Zenodo.</w:t>
      </w:r>
      <w:r>
        <w:t xml:space="preserve"> </w:t>
      </w:r>
      <w:hyperlink r:id="rId81">
        <w:r>
          <w:rPr>
            <w:rStyle w:val="Hyperlink"/>
          </w:rPr>
          <w:t xml:space="preserve">https://doi.org/10.5281/zenodo.3648664</w:t>
        </w:r>
      </w:hyperlink>
      <w:r>
        <w:t xml:space="preserve">.</w:t>
      </w:r>
    </w:p>
    <w:bookmarkEnd w:id="82"/>
    <w:bookmarkStart w:id="84" w:name="ref-Beck20b"/>
    <w:p>
      <w:pPr>
        <w:pStyle w:val="Bibliography"/>
      </w:pPr>
      <w:r>
        <w:t xml:space="preserve">Beck, M. W. 2020b.</w:t>
      </w:r>
      <w:r>
        <w:t xml:space="preserve"> </w:t>
      </w:r>
      <w:r>
        <w:t xml:space="preserve">t</w:t>
      </w:r>
      <w:r>
        <w:t xml:space="preserve">bep-tech/seagrasstransect-dash: v1.0 (version v1.0). Zenodo.</w:t>
      </w:r>
      <w:r>
        <w:t xml:space="preserve"> </w:t>
      </w:r>
      <w:hyperlink r:id="rId83">
        <w:r>
          <w:rPr>
            <w:rStyle w:val="Hyperlink"/>
          </w:rPr>
          <w:t xml:space="preserve">https://doi.org/10.5281/zenodo.4319936</w:t>
        </w:r>
      </w:hyperlink>
      <w:r>
        <w:t xml:space="preserve">.</w:t>
      </w:r>
    </w:p>
    <w:bookmarkEnd w:id="84"/>
    <w:bookmarkStart w:id="86"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85">
        <w:r>
          <w:rPr>
            <w:rStyle w:val="Hyperlink"/>
          </w:rPr>
          <w:t xml:space="preserve">https://doi.org/10.1016/j.marpolbul.2022.113598</w:t>
        </w:r>
      </w:hyperlink>
      <w:r>
        <w:t xml:space="preserve">.</w:t>
      </w:r>
    </w:p>
    <w:bookmarkEnd w:id="86"/>
    <w:bookmarkStart w:id="88" w:name="ref-tbep0323"/>
    <w:p>
      <w:pPr>
        <w:pStyle w:val="Bibliography"/>
      </w:pPr>
      <w:r>
        <w:t xml:space="preserve">Beck, M. W., M. C. Burke, and E. T. Sherwood. 2023.</w:t>
      </w:r>
      <w:r>
        <w:t xml:space="preserve"> </w:t>
      </w:r>
      <w:hyperlink r:id="rId87">
        <w:r>
          <w:rPr>
            <w:rStyle w:val="Hyperlink"/>
            <w:iCs/>
            <w:i/>
          </w:rPr>
          <w:t xml:space="preserve">2022</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water quality assessment</w:t>
        </w:r>
      </w:hyperlink>
      <w:r>
        <w:t xml:space="preserve">. 03-23. St. Petersburg, Florida: Tampa Bay Estuary Program.</w:t>
      </w:r>
    </w:p>
    <w:bookmarkEnd w:id="88"/>
    <w:bookmarkStart w:id="90"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89">
        <w:r>
          <w:rPr>
            <w:rStyle w:val="Hyperlink"/>
          </w:rPr>
          <w:t xml:space="preserve">https://doi.org/10.3389/fevo.2023.1070266</w:t>
        </w:r>
      </w:hyperlink>
      <w:r>
        <w:t xml:space="preserve">.</w:t>
      </w:r>
    </w:p>
    <w:bookmarkEnd w:id="90"/>
    <w:bookmarkStart w:id="92"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91">
        <w:r>
          <w:rPr>
            <w:rStyle w:val="Hyperlink"/>
          </w:rPr>
          <w:t xml:space="preserve">https://doi.org/10.21105/joss.03485</w:t>
        </w:r>
      </w:hyperlink>
      <w:r>
        <w:t xml:space="preserve">.</w:t>
      </w:r>
    </w:p>
    <w:bookmarkEnd w:id="92"/>
    <w:bookmarkStart w:id="94"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93">
        <w:r>
          <w:rPr>
            <w:rStyle w:val="Hyperlink"/>
          </w:rPr>
          <w:t xml:space="preserve">https://doi.org/10.1007/s12237-019-00619-w</w:t>
        </w:r>
      </w:hyperlink>
      <w:r>
        <w:t xml:space="preserve">.</w:t>
      </w:r>
    </w:p>
    <w:bookmarkEnd w:id="94"/>
    <w:bookmarkStart w:id="96" w:name="ref-begueria23"/>
    <w:p>
      <w:pPr>
        <w:pStyle w:val="Bibliography"/>
      </w:pPr>
      <w:r>
        <w:t xml:space="preserve">Beguería, S., and S. M. Vicente-Serrano. 2023.</w:t>
      </w:r>
      <w:r>
        <w:t xml:space="preserve"> </w:t>
      </w:r>
      <w:hyperlink r:id="rId95">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96"/>
    <w:bookmarkStart w:id="98"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97">
        <w:r>
          <w:rPr>
            <w:rStyle w:val="Hyperlink"/>
          </w:rPr>
          <w:t xml:space="preserve">https://doi.org/10.1002/joc.3887</w:t>
        </w:r>
      </w:hyperlink>
      <w:r>
        <w:t xml:space="preserve">.</w:t>
      </w:r>
    </w:p>
    <w:bookmarkEnd w:id="98"/>
    <w:bookmarkStart w:id="100" w:name="ref-bell1997"/>
    <w:p>
      <w:pPr>
        <w:pStyle w:val="Bibliography"/>
      </w:pPr>
      <w:r>
        <w:t xml:space="preserve">Bell, S., and M.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99">
        <w:r>
          <w:rPr>
            <w:rStyle w:val="Hyperlink"/>
          </w:rPr>
          <w:t xml:space="preserve">https://doi.org/10.3354/meps147277</w:t>
        </w:r>
      </w:hyperlink>
      <w:r>
        <w:t xml:space="preserve">.</w:t>
      </w:r>
    </w:p>
    <w:bookmarkEnd w:id="100"/>
    <w:bookmarkStart w:id="102" w:name="ref-blakesley2001"/>
    <w:p>
      <w:pPr>
        <w:pStyle w:val="Bibliography"/>
      </w:pPr>
      <w:r>
        <w:t xml:space="preserve">Blakesley, B., P. Hall, D. Berns, J. Hyniova, M. Merello, and R. Conroy. 2001.</w:t>
      </w:r>
      <w:r>
        <w:t xml:space="preserve"> </w:t>
      </w:r>
      <w:hyperlink r:id="rId101">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102"/>
    <w:bookmarkStart w:id="104"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103">
        <w:r>
          <w:rPr>
            <w:rStyle w:val="Hyperlink"/>
          </w:rPr>
          <w:t xml:space="preserve">https://doi.org/10.2134/jeq2001.302303x</w:t>
        </w:r>
      </w:hyperlink>
      <w:r>
        <w:t xml:space="preserve">.</w:t>
      </w:r>
    </w:p>
    <w:bookmarkEnd w:id="104"/>
    <w:bookmarkStart w:id="106"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05">
        <w:r>
          <w:rPr>
            <w:rStyle w:val="Hyperlink"/>
          </w:rPr>
          <w:t xml:space="preserve">https://doi.org/10.1111/1365-2664.13169</w:t>
        </w:r>
      </w:hyperlink>
      <w:r>
        <w:t xml:space="preserve">.</w:t>
      </w:r>
    </w:p>
    <w:bookmarkEnd w:id="106"/>
    <w:bookmarkStart w:id="108" w:name="ref-brewton2023"/>
    <w:p>
      <w:pPr>
        <w:pStyle w:val="Bibliography"/>
      </w:pPr>
      <w:r>
        <w:t xml:space="preserve">Brewton, R. A., and B. E. Lapointe. 2023. The green macroalga</w:t>
      </w:r>
      <w:r>
        <w:t xml:space="preserve"> </w:t>
      </w:r>
      <w:r>
        <w:rPr>
          <w:iCs/>
          <w:i/>
        </w:rPr>
        <w:t xml:space="preserve">C</w:t>
      </w:r>
      <w:r>
        <w:rPr>
          <w:iCs/>
          <w:i/>
        </w:rPr>
        <w:t xml:space="preserve">aulerpa prolifera</w:t>
      </w:r>
      <w:r>
        <w:t xml:space="preserve"> </w:t>
      </w:r>
      <w:r>
        <w:t xml:space="preserve">replaces seagrass in a nitrogen enriched, phosphorus limited, urbanized estuary.</w:t>
      </w:r>
      <w:r>
        <w:t xml:space="preserve"> </w:t>
      </w:r>
      <w:r>
        <w:rPr>
          <w:iCs/>
          <w:i/>
        </w:rPr>
        <w:t xml:space="preserve">Ecological Indicators</w:t>
      </w:r>
      <w:r>
        <w:t xml:space="preserve"> </w:t>
      </w:r>
      <w:r>
        <w:t xml:space="preserve">156: 111035.</w:t>
      </w:r>
      <w:r>
        <w:t xml:space="preserve"> </w:t>
      </w:r>
      <w:hyperlink r:id="rId107">
        <w:r>
          <w:rPr>
            <w:rStyle w:val="Hyperlink"/>
          </w:rPr>
          <w:t xml:space="preserve">https://doi.org/10.1016/j.ecolind.2023.111035</w:t>
        </w:r>
      </w:hyperlink>
      <w:r>
        <w:t xml:space="preserve">.</w:t>
      </w:r>
    </w:p>
    <w:bookmarkEnd w:id="108"/>
    <w:bookmarkStart w:id="110"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09">
        <w:r>
          <w:rPr>
            <w:rStyle w:val="Hyperlink"/>
          </w:rPr>
          <w:t xml:space="preserve">https://doi.org/10.2307/1352383</w:t>
        </w:r>
      </w:hyperlink>
      <w:r>
        <w:t xml:space="preserve">.</w:t>
      </w:r>
    </w:p>
    <w:bookmarkEnd w:id="110"/>
    <w:bookmarkStart w:id="112"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11">
        <w:r>
          <w:rPr>
            <w:rStyle w:val="Hyperlink"/>
          </w:rPr>
          <w:t xml:space="preserve">https://doi.org/10.1016/j.jembe.2007.06.024</w:t>
        </w:r>
      </w:hyperlink>
      <w:r>
        <w:t xml:space="preserve">.</w:t>
      </w:r>
    </w:p>
    <w:bookmarkEnd w:id="112"/>
    <w:bookmarkStart w:id="114" w:name="ref-carlson2018"/>
    <w:p>
      <w:pPr>
        <w:pStyle w:val="Bibliography"/>
      </w:pPr>
      <w:r>
        <w:t xml:space="preserve">Carlson, D. F., L. A. Yarbro, S. Scolaro, M. Poniatowski, V. McGee-Absten, and P. R. Carlson. 2018. Sea surface temperatures and seagrass mortality in</w:t>
      </w:r>
      <w:r>
        <w:t xml:space="preserve"> </w:t>
      </w:r>
      <w:r>
        <w:t xml:space="preserve">F</w:t>
      </w:r>
      <w:r>
        <w:t xml:space="preserve">lorida</w:t>
      </w:r>
      <w:r>
        <w:t xml:space="preserve"> </w:t>
      </w:r>
      <w:r>
        <w:t xml:space="preserve">B</w:t>
      </w:r>
      <w:r>
        <w:t xml:space="preserve">ay: Spatial and temporal patterns discerned from</w:t>
      </w:r>
      <w:r>
        <w:t xml:space="preserve"> </w:t>
      </w:r>
      <w:r>
        <w:t xml:space="preserve">MODIS</w:t>
      </w:r>
      <w:r>
        <w:t xml:space="preserve"> </w:t>
      </w:r>
      <w:r>
        <w:t xml:space="preserve">and</w:t>
      </w:r>
      <w:r>
        <w:t xml:space="preserve"> </w:t>
      </w:r>
      <w:r>
        <w:t xml:space="preserve">AVHRR</w:t>
      </w:r>
      <w:r>
        <w:t xml:space="preserve"> </w:t>
      </w:r>
      <w:r>
        <w:t xml:space="preserve">data.</w:t>
      </w:r>
      <w:r>
        <w:t xml:space="preserve"> </w:t>
      </w:r>
      <w:r>
        <w:rPr>
          <w:iCs/>
          <w:i/>
        </w:rPr>
        <w:t xml:space="preserve">Remote Sensing of Environment</w:t>
      </w:r>
      <w:r>
        <w:t xml:space="preserve"> </w:t>
      </w:r>
      <w:r>
        <w:t xml:space="preserve">208: 171–188.</w:t>
      </w:r>
      <w:r>
        <w:t xml:space="preserve"> </w:t>
      </w:r>
      <w:hyperlink r:id="rId113">
        <w:r>
          <w:rPr>
            <w:rStyle w:val="Hyperlink"/>
          </w:rPr>
          <w:t xml:space="preserve">https://doi.org/10.1016/j.rse.2018.02.014</w:t>
        </w:r>
      </w:hyperlink>
      <w:r>
        <w:t xml:space="preserve">.</w:t>
      </w:r>
    </w:p>
    <w:bookmarkEnd w:id="114"/>
    <w:bookmarkStart w:id="116" w:name="ref-chamberlain23"/>
    <w:p>
      <w:pPr>
        <w:pStyle w:val="Bibliography"/>
      </w:pPr>
      <w:r>
        <w:t xml:space="preserve">Chamberlain, S., and D. Hocking. 2023.</w:t>
      </w:r>
      <w:r>
        <w:t xml:space="preserve"> </w:t>
      </w:r>
      <w:hyperlink r:id="rId115">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16"/>
    <w:bookmarkStart w:id="118" w:name="ref-costa2023"/>
    <w:p>
      <w:pPr>
        <w:pStyle w:val="Bibliography"/>
      </w:pPr>
      <w:r>
        <w:t xml:space="preserve">Costa, Y., I. Martins, G. C. de Carvalho, and F. Barros. 2023. Trends of sea-level rise effects on estuaries and estimates of future saline intrusion.</w:t>
      </w:r>
      <w:r>
        <w:t xml:space="preserve"> </w:t>
      </w:r>
      <w:r>
        <w:rPr>
          <w:iCs/>
          <w:i/>
        </w:rPr>
        <w:t xml:space="preserve">Ocean &amp; Coastal Management</w:t>
      </w:r>
      <w:r>
        <w:t xml:space="preserve"> </w:t>
      </w:r>
      <w:r>
        <w:t xml:space="preserve">236: 106490.</w:t>
      </w:r>
      <w:r>
        <w:t xml:space="preserve"> </w:t>
      </w:r>
      <w:hyperlink r:id="rId117">
        <w:r>
          <w:rPr>
            <w:rStyle w:val="Hyperlink"/>
          </w:rPr>
          <w:t xml:space="preserve">https://doi.org/10.1016/j.ocecoaman.2023.106490</w:t>
        </w:r>
      </w:hyperlink>
      <w:r>
        <w:t xml:space="preserve">.</w:t>
      </w:r>
    </w:p>
    <w:bookmarkEnd w:id="118"/>
    <w:bookmarkStart w:id="120"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19">
        <w:r>
          <w:rPr>
            <w:rStyle w:val="Hyperlink"/>
          </w:rPr>
          <w:t xml:space="preserve">https://doi.org/10.1016/j.jenvman.2018.01.025</w:t>
        </w:r>
      </w:hyperlink>
      <w:r>
        <w:t xml:space="preserve">.</w:t>
      </w:r>
    </w:p>
    <w:bookmarkEnd w:id="120"/>
    <w:bookmarkStart w:id="122"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21">
        <w:r>
          <w:rPr>
            <w:rStyle w:val="Hyperlink"/>
          </w:rPr>
          <w:t xml:space="preserve">https://doi.org/10.1080/00785236.1995.10422039</w:t>
        </w:r>
      </w:hyperlink>
      <w:r>
        <w:t xml:space="preserve">.</w:t>
      </w:r>
    </w:p>
    <w:bookmarkEnd w:id="122"/>
    <w:bookmarkStart w:id="124"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23">
        <w:r>
          <w:rPr>
            <w:rStyle w:val="Hyperlink"/>
          </w:rPr>
          <w:t xml:space="preserve">https://doi.org/10.1007/s12237-008-9038-7</w:t>
        </w:r>
      </w:hyperlink>
      <w:r>
        <w:t xml:space="preserve">.</w:t>
      </w:r>
    </w:p>
    <w:bookmarkEnd w:id="124"/>
    <w:bookmarkStart w:id="126"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25">
        <w:r>
          <w:rPr>
            <w:rStyle w:val="Hyperlink"/>
          </w:rPr>
          <w:t xml:space="preserve">https://doi.org/10.3389/fpls.2021.612947</w:t>
        </w:r>
      </w:hyperlink>
      <w:r>
        <w:t xml:space="preserve">.</w:t>
      </w:r>
    </w:p>
    <w:bookmarkEnd w:id="126"/>
    <w:bookmarkStart w:id="128"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27">
        <w:r>
          <w:rPr>
            <w:rStyle w:val="Hyperlink"/>
          </w:rPr>
          <w:t xml:space="preserve">https://doi.org/10.1111/gcb.15684</w:t>
        </w:r>
      </w:hyperlink>
      <w:r>
        <w:t xml:space="preserve">.</w:t>
      </w:r>
    </w:p>
    <w:bookmarkEnd w:id="128"/>
    <w:bookmarkStart w:id="130"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29">
        <w:r>
          <w:rPr>
            <w:rStyle w:val="Hyperlink"/>
          </w:rPr>
          <w:t xml:space="preserve">https://doi.org/10.1111/conl.12938</w:t>
        </w:r>
      </w:hyperlink>
      <w:r>
        <w:t xml:space="preserve">.</w:t>
      </w:r>
    </w:p>
    <w:bookmarkEnd w:id="130"/>
    <w:bookmarkStart w:id="132"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31">
        <w:r>
          <w:rPr>
            <w:rStyle w:val="Hyperlink"/>
          </w:rPr>
          <w:t xml:space="preserve">https://doi.org/10.1038/ngeo1477</w:t>
        </w:r>
      </w:hyperlink>
      <w:r>
        <w:t xml:space="preserve">.</w:t>
      </w:r>
    </w:p>
    <w:bookmarkEnd w:id="132"/>
    <w:bookmarkStart w:id="134"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33">
        <w:r>
          <w:rPr>
            <w:rStyle w:val="Hyperlink"/>
          </w:rPr>
          <w:t xml:space="preserve">https://doi.org/10.1016/j.marpolbul.2010.11.017</w:t>
        </w:r>
      </w:hyperlink>
      <w:r>
        <w:t xml:space="preserve">.</w:t>
      </w:r>
    </w:p>
    <w:bookmarkEnd w:id="134"/>
    <w:bookmarkStart w:id="136" w:name="ref-greening2006"/>
    <w:p>
      <w:pPr>
        <w:pStyle w:val="Bibliography"/>
      </w:pPr>
      <w:r>
        <w:t xml:space="preserve">Greening, H. S., and A.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35">
        <w:r>
          <w:rPr>
            <w:rStyle w:val="Hyperlink"/>
          </w:rPr>
          <w:t xml:space="preserve">https://doi.org/10.1007/s00267-005-0079-4</w:t>
        </w:r>
      </w:hyperlink>
      <w:r>
        <w:t xml:space="preserve">.</w:t>
      </w:r>
    </w:p>
    <w:bookmarkEnd w:id="136"/>
    <w:bookmarkStart w:id="138"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37">
        <w:r>
          <w:rPr>
            <w:rStyle w:val="Hyperlink"/>
          </w:rPr>
          <w:t xml:space="preserve">https://doi.org/10.1016/j.ecss.2014.10.003</w:t>
        </w:r>
      </w:hyperlink>
      <w:r>
        <w:t xml:space="preserve">.</w:t>
      </w:r>
    </w:p>
    <w:bookmarkEnd w:id="138"/>
    <w:bookmarkStart w:id="140" w:name="ref-hall2022"/>
    <w:p>
      <w:pPr>
        <w:pStyle w:val="Bibliography"/>
      </w:pPr>
      <w:r>
        <w:t xml:space="preserve">Hall, L. M., L. J. Morris, R. H. Chamberlain, M. D. Hanisak, R. W. Virnstein, R. Paperno, B. Riegl, L. R. Ellis, A. Simpson, and C. A. Jacoby. 2022. Spatiotemporal patterns in the biomass of drift macroalgae in the</w:t>
      </w:r>
      <w:r>
        <w:t xml:space="preserve"> </w:t>
      </w:r>
      <w:r>
        <w:t xml:space="preserve">I</w:t>
      </w:r>
      <w:r>
        <w:t xml:space="preserve">ndian</w:t>
      </w:r>
      <w:r>
        <w:t xml:space="preserve"> </w:t>
      </w:r>
      <w:r>
        <w:t xml:space="preserve">R</w:t>
      </w:r>
      <w:r>
        <w:t xml:space="preserve">iver</w:t>
      </w:r>
      <w:r>
        <w:t xml:space="preserve"> </w:t>
      </w:r>
      <w:r>
        <w:t xml:space="preserve">L</w:t>
      </w:r>
      <w:r>
        <w:t xml:space="preserve">agoon,</w:t>
      </w:r>
      <w:r>
        <w:t xml:space="preserve"> </w:t>
      </w:r>
      <w:r>
        <w:t xml:space="preserve">F</w:t>
      </w:r>
      <w:r>
        <w:t xml:space="preserve">lorida,</w:t>
      </w:r>
      <w:r>
        <w:t xml:space="preserve"> </w:t>
      </w:r>
      <w:r>
        <w:t xml:space="preserve">U</w:t>
      </w:r>
      <w:r>
        <w:t xml:space="preserve">nited</w:t>
      </w:r>
      <w:r>
        <w:t xml:space="preserve"> </w:t>
      </w:r>
      <w:r>
        <w:t xml:space="preserve">S</w:t>
      </w:r>
      <w:r>
        <w:t xml:space="preserve">tates.</w:t>
      </w:r>
      <w:r>
        <w:t xml:space="preserve"> </w:t>
      </w:r>
      <w:r>
        <w:rPr>
          <w:iCs/>
          <w:i/>
        </w:rPr>
        <w:t xml:space="preserve">Frontiers in Marine Science</w:t>
      </w:r>
      <w:r>
        <w:t xml:space="preserve"> </w:t>
      </w:r>
      <w:r>
        <w:t xml:space="preserve">9: 767440.</w:t>
      </w:r>
      <w:r>
        <w:t xml:space="preserve"> </w:t>
      </w:r>
      <w:hyperlink r:id="rId139">
        <w:r>
          <w:rPr>
            <w:rStyle w:val="Hyperlink"/>
          </w:rPr>
          <w:t xml:space="preserve">https://doi.org/10.3389/fmars.2022.767440</w:t>
        </w:r>
      </w:hyperlink>
      <w:r>
        <w:t xml:space="preserve">.</w:t>
      </w:r>
    </w:p>
    <w:bookmarkEnd w:id="140"/>
    <w:bookmarkStart w:id="142" w:name="ref-hall1999"/>
    <w:p>
      <w:pPr>
        <w:pStyle w:val="Bibliography"/>
      </w:pPr>
      <w:r>
        <w:t xml:space="preserve">Hall, Margaret O., M. J. Durako, J. W. Fourqurean, and J. C. Zieman. 1999. Decadal changes in seagrass distribution and abundance in</w:t>
      </w:r>
      <w:r>
        <w:t xml:space="preserve"> </w:t>
      </w:r>
      <w:r>
        <w:t xml:space="preserve">F</w:t>
      </w:r>
      <w:r>
        <w:t xml:space="preserve">lorida</w:t>
      </w:r>
      <w:r>
        <w:t xml:space="preserve"> </w:t>
      </w:r>
      <w:r>
        <w:t xml:space="preserve">B</w:t>
      </w:r>
      <w:r>
        <w:t xml:space="preserve">ay.</w:t>
      </w:r>
      <w:r>
        <w:t xml:space="preserve"> </w:t>
      </w:r>
      <w:r>
        <w:rPr>
          <w:iCs/>
          <w:i/>
        </w:rPr>
        <w:t xml:space="preserve">Estuaries</w:t>
      </w:r>
      <w:r>
        <w:t xml:space="preserve"> </w:t>
      </w:r>
      <w:r>
        <w:t xml:space="preserve">22: 445.</w:t>
      </w:r>
      <w:r>
        <w:t xml:space="preserve"> </w:t>
      </w:r>
      <w:hyperlink r:id="rId141">
        <w:r>
          <w:rPr>
            <w:rStyle w:val="Hyperlink"/>
          </w:rPr>
          <w:t xml:space="preserve">https://doi.org/10.2307/1353210</w:t>
        </w:r>
      </w:hyperlink>
      <w:r>
        <w:t xml:space="preserve">.</w:t>
      </w:r>
    </w:p>
    <w:bookmarkEnd w:id="142"/>
    <w:bookmarkStart w:id="144" w:name="ref-hall2016"/>
    <w:p>
      <w:pPr>
        <w:pStyle w:val="Bibliography"/>
      </w:pPr>
      <w:r>
        <w:t xml:space="preserve">Hall, Margaret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43">
        <w:r>
          <w:rPr>
            <w:rStyle w:val="Hyperlink"/>
          </w:rPr>
          <w:t xml:space="preserve">https://doi.org/10.3354/meps11923</w:t>
        </w:r>
      </w:hyperlink>
      <w:r>
        <w:t xml:space="preserve">.</w:t>
      </w:r>
    </w:p>
    <w:bookmarkEnd w:id="144"/>
    <w:bookmarkStart w:id="146" w:name="ref-han2014"/>
    <w:p>
      <w:pPr>
        <w:pStyle w:val="Bibliography"/>
      </w:pPr>
      <w:r>
        <w:t xml:space="preserve">Han, Q., and D. Liu. 2014. Macroalgae blooms and their effects on seagrass ecosystems.</w:t>
      </w:r>
      <w:r>
        <w:t xml:space="preserve"> </w:t>
      </w:r>
      <w:r>
        <w:rPr>
          <w:iCs/>
          <w:i/>
        </w:rPr>
        <w:t xml:space="preserve">Journal of Ocean University of China</w:t>
      </w:r>
      <w:r>
        <w:t xml:space="preserve"> </w:t>
      </w:r>
      <w:r>
        <w:t xml:space="preserve">13: 791–798.</w:t>
      </w:r>
      <w:r>
        <w:t xml:space="preserve"> </w:t>
      </w:r>
      <w:hyperlink r:id="rId145">
        <w:r>
          <w:rPr>
            <w:rStyle w:val="Hyperlink"/>
          </w:rPr>
          <w:t xml:space="preserve">https://doi.org/10.1007/s11802-014-2471-2</w:t>
        </w:r>
      </w:hyperlink>
      <w:r>
        <w:t xml:space="preserve">.</w:t>
      </w:r>
    </w:p>
    <w:bookmarkEnd w:id="146"/>
    <w:bookmarkStart w:id="148"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47">
        <w:r>
          <w:rPr>
            <w:rStyle w:val="Hyperlink"/>
          </w:rPr>
          <w:t xml:space="preserve">https://doi.org/10.1073/pnas.2220678120</w:t>
        </w:r>
      </w:hyperlink>
      <w:r>
        <w:t xml:space="preserve">.</w:t>
      </w:r>
    </w:p>
    <w:bookmarkEnd w:id="148"/>
    <w:bookmarkStart w:id="150"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49">
        <w:r>
          <w:rPr>
            <w:rStyle w:val="Hyperlink"/>
          </w:rPr>
          <w:t xml:space="preserve">https://doi.org/10.1029/wr018i001p00107</w:t>
        </w:r>
      </w:hyperlink>
      <w:r>
        <w:t xml:space="preserve">.</w:t>
      </w:r>
    </w:p>
    <w:bookmarkEnd w:id="150"/>
    <w:bookmarkStart w:id="152"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51">
        <w:r>
          <w:rPr>
            <w:rStyle w:val="Hyperlink"/>
          </w:rPr>
          <w:t xml:space="preserve">https://doi.org/10.1101/sqb.1957.022.01.039</w:t>
        </w:r>
      </w:hyperlink>
      <w:r>
        <w:t xml:space="preserve">.</w:t>
      </w:r>
    </w:p>
    <w:bookmarkEnd w:id="152"/>
    <w:bookmarkStart w:id="154" w:name="ref-tbep0696"/>
    <w:p>
      <w:pPr>
        <w:pStyle w:val="Bibliography"/>
      </w:pPr>
      <w:r>
        <w:t xml:space="preserve">Janicki, A. J., and D. L. Wade. 1996.</w:t>
      </w:r>
      <w:r>
        <w:t xml:space="preserve"> </w:t>
      </w:r>
      <w:hyperlink r:id="rId153">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54"/>
    <w:bookmarkStart w:id="156" w:name="ref-jei2022"/>
    <w:p>
      <w:pPr>
        <w:pStyle w:val="Bibliography"/>
      </w:pPr>
      <w:r>
        <w:t xml:space="preserve">Janicki Environmental, Inc. 2022.</w:t>
      </w:r>
      <w:r>
        <w:t xml:space="preserve"> </w:t>
      </w:r>
      <w:hyperlink r:id="rId155">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56"/>
    <w:bookmarkStart w:id="158" w:name="ref-tbep0623"/>
    <w:p>
      <w:pPr>
        <w:pStyle w:val="Bibliography"/>
      </w:pPr>
      <w:r>
        <w:t xml:space="preserve">Janicki Environmental, Inc. 2023.</w:t>
      </w:r>
      <w:r>
        <w:t xml:space="preserve"> </w:t>
      </w:r>
      <w:hyperlink r:id="rId157">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58"/>
    <w:bookmarkStart w:id="160" w:name="ref-tbep0816"/>
    <w:p>
      <w:pPr>
        <w:pStyle w:val="Bibliography"/>
      </w:pPr>
      <w:r>
        <w:t xml:space="preserve">Johansson, J. O. R. 2016.</w:t>
      </w:r>
      <w:r>
        <w:t xml:space="preserve"> </w:t>
      </w:r>
      <w:hyperlink r:id="rId159">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60"/>
    <w:bookmarkStart w:id="162" w:name="ref-johansson15"/>
    <w:p>
      <w:pPr>
        <w:pStyle w:val="Bibliography"/>
      </w:pPr>
      <w:r>
        <w:t xml:space="preserve">Johansson, J. O. R., and Janicki Environmental, Inc. 2015.</w:t>
      </w:r>
      <w:r>
        <w:t xml:space="preserve"> </w:t>
      </w:r>
      <w:hyperlink r:id="rId161">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62"/>
    <w:bookmarkStart w:id="164"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63">
        <w:r>
          <w:rPr>
            <w:rStyle w:val="Hyperlink"/>
          </w:rPr>
          <w:t xml:space="preserve">https://doi.org/10.1073/pnas.1715798115</w:t>
        </w:r>
      </w:hyperlink>
      <w:r>
        <w:t xml:space="preserve">.</w:t>
      </w:r>
    </w:p>
    <w:bookmarkEnd w:id="164"/>
    <w:bookmarkStart w:id="166"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65">
        <w:r>
          <w:rPr>
            <w:rStyle w:val="Hyperlink"/>
          </w:rPr>
          <w:t xml:space="preserve">https://doi.org/10.1111/gcb.13623</w:t>
        </w:r>
      </w:hyperlink>
      <w:r>
        <w:t xml:space="preserve">.</w:t>
      </w:r>
    </w:p>
    <w:bookmarkEnd w:id="166"/>
    <w:bookmarkStart w:id="168" w:name="ref-lewis1985"/>
    <w:p>
      <w:pPr>
        <w:pStyle w:val="Bibliography"/>
      </w:pPr>
      <w:r>
        <w:t xml:space="preserve">Lewis III, R. R., M. Durako, M. Moffler, and R. Phillips. 1985.</w:t>
      </w:r>
      <w:r>
        <w:t xml:space="preserve"> </w:t>
      </w:r>
      <w:hyperlink r:id="rId167">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68"/>
    <w:bookmarkStart w:id="170"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69">
        <w:r>
          <w:rPr>
            <w:rStyle w:val="Hyperlink"/>
          </w:rPr>
          <w:t xml:space="preserve">https://doi.org/10.1007/bf02691700</w:t>
        </w:r>
      </w:hyperlink>
      <w:r>
        <w:t xml:space="preserve">.</w:t>
      </w:r>
    </w:p>
    <w:bookmarkEnd w:id="170"/>
    <w:bookmarkStart w:id="172"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71">
        <w:r>
          <w:rPr>
            <w:rStyle w:val="Hyperlink"/>
          </w:rPr>
          <w:t xml:space="preserve">https://doi.org/10.1016/j.ecss.2022.108134</w:t>
        </w:r>
      </w:hyperlink>
      <w:r>
        <w:t xml:space="preserve">.</w:t>
      </w:r>
    </w:p>
    <w:bookmarkEnd w:id="172"/>
    <w:bookmarkStart w:id="174" w:name="ref-lopez2021"/>
    <w:p>
      <w:pPr>
        <w:pStyle w:val="Bibliography"/>
      </w:pPr>
      <w:r>
        <w:t xml:space="preserve">Lopez, C. B., S. Shankar, S. G. Kaminski, M. Garrett, and K. A. Hubbard. 2021.</w:t>
      </w:r>
      <w:r>
        <w:t xml:space="preserve"> </w:t>
      </w:r>
      <w:hyperlink r:id="rId173">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174"/>
    <w:bookmarkStart w:id="175"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75"/>
    <w:bookmarkStart w:id="177" w:name="ref-luther2022"/>
    <w:p>
      <w:pPr>
        <w:pStyle w:val="Bibliography"/>
      </w:pPr>
      <w:r>
        <w:t xml:space="preserve">Luther, M. E., and S. D. Meyers. 2022.</w:t>
      </w:r>
      <w:r>
        <w:t xml:space="preserve"> </w:t>
      </w:r>
      <w:hyperlink r:id="rId176">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77"/>
    <w:bookmarkStart w:id="179"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178">
        <w:r>
          <w:rPr>
            <w:rStyle w:val="Hyperlink"/>
          </w:rPr>
          <w:t xml:space="preserve">https://doi.org/10.1016/j.seares.2012.03.002</w:t>
        </w:r>
      </w:hyperlink>
      <w:r>
        <w:t xml:space="preserve">.</w:t>
      </w:r>
    </w:p>
    <w:bookmarkEnd w:id="179"/>
    <w:bookmarkStart w:id="181"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180">
        <w:r>
          <w:rPr>
            <w:rStyle w:val="Hyperlink"/>
          </w:rPr>
          <w:t xml:space="preserve">https://doi.org/10.1111/brv.12294</w:t>
        </w:r>
      </w:hyperlink>
      <w:r>
        <w:t xml:space="preserve">.</w:t>
      </w:r>
    </w:p>
    <w:bookmarkEnd w:id="181"/>
    <w:bookmarkStart w:id="183"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182">
        <w:r>
          <w:rPr>
            <w:rStyle w:val="Hyperlink"/>
          </w:rPr>
          <w:t xml:space="preserve">https://doi.org/10.2307/1932688</w:t>
        </w:r>
      </w:hyperlink>
      <w:r>
        <w:t xml:space="preserve">.</w:t>
      </w:r>
    </w:p>
    <w:bookmarkEnd w:id="183"/>
    <w:bookmarkStart w:id="185" w:name="ref-millard13"/>
    <w:p>
      <w:pPr>
        <w:pStyle w:val="Bibliography"/>
      </w:pPr>
      <w:r>
        <w:t xml:space="preserve">Millard, S. P. 2013.</w:t>
      </w:r>
      <w:r>
        <w:t xml:space="preserve"> </w:t>
      </w:r>
      <w:hyperlink r:id="rId184">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185"/>
    <w:bookmarkStart w:id="187" w:name="ref-moreno-marin2018"/>
    <w:p>
      <w:pPr>
        <w:pStyle w:val="Bibliography"/>
      </w:pPr>
      <w:r>
        <w:t xml:space="preserve">Moreno-Marín, F., F. G. Brun, and M. F. Pedersen. 2018. Additive response to multiple environmental stressors in the seagrass</w:t>
      </w:r>
      <w:r>
        <w:t xml:space="preserve"> </w:t>
      </w:r>
      <w:r>
        <w:rPr>
          <w:iCs/>
          <w:i/>
        </w:rPr>
        <w:t xml:space="preserve">Zostera marina</w:t>
      </w:r>
      <w:r>
        <w:t xml:space="preserve"> </w:t>
      </w:r>
      <w:r>
        <w:t xml:space="preserve">L.</w:t>
      </w:r>
      <w:r>
        <w:t xml:space="preserve"> </w:t>
      </w:r>
      <w:r>
        <w:rPr>
          <w:iCs/>
          <w:i/>
        </w:rPr>
        <w:t xml:space="preserve">Limnology and Oceanography</w:t>
      </w:r>
      <w:r>
        <w:t xml:space="preserve"> </w:t>
      </w:r>
      <w:r>
        <w:t xml:space="preserve">63: 1528–1544.</w:t>
      </w:r>
      <w:r>
        <w:t xml:space="preserve"> </w:t>
      </w:r>
      <w:hyperlink r:id="rId186">
        <w:r>
          <w:rPr>
            <w:rStyle w:val="Hyperlink"/>
          </w:rPr>
          <w:t xml:space="preserve">https://doi.org/10.1002/lno.10789</w:t>
        </w:r>
      </w:hyperlink>
      <w:r>
        <w:t xml:space="preserve">.</w:t>
      </w:r>
    </w:p>
    <w:bookmarkEnd w:id="187"/>
    <w:bookmarkStart w:id="189" w:name="ref-morrison2006"/>
    <w:p>
      <w:pPr>
        <w:pStyle w:val="Bibliography"/>
      </w:pPr>
      <w:r>
        <w:t xml:space="preserve">Morrison, G., E. T. Sherwood, R. Boler, and J. Barron. 2006. Variations in water clarity and chlorophylla in</w:t>
      </w:r>
      <w:r>
        <w:t xml:space="preserve"> </w:t>
      </w:r>
      <w:r>
        <w:t xml:space="preserve">T</w:t>
      </w:r>
      <w:r>
        <w:t xml:space="preserve">ampa</w:t>
      </w:r>
      <w:r>
        <w:t xml:space="preserve"> </w:t>
      </w:r>
      <w:r>
        <w:t xml:space="preserve">B</w:t>
      </w:r>
      <w:r>
        <w:t xml:space="preserve">ay,</w:t>
      </w:r>
      <w:r>
        <w:t xml:space="preserve"> </w:t>
      </w:r>
      <w:r>
        <w:t xml:space="preserve">F</w:t>
      </w:r>
      <w:r>
        <w:t xml:space="preserve">lorida, in response to annual rainfall, 1985</w:t>
      </w:r>
      <w:r>
        <w:t xml:space="preserve">2004.</w:t>
      </w:r>
      <w:r>
        <w:t xml:space="preserve"> </w:t>
      </w:r>
      <w:r>
        <w:rPr>
          <w:iCs/>
          <w:i/>
        </w:rPr>
        <w:t xml:space="preserve">Estuaries and Coasts</w:t>
      </w:r>
      <w:r>
        <w:t xml:space="preserve"> </w:t>
      </w:r>
      <w:r>
        <w:t xml:space="preserve">29: 926–931.</w:t>
      </w:r>
      <w:r>
        <w:t xml:space="preserve"> </w:t>
      </w:r>
      <w:hyperlink r:id="rId188">
        <w:r>
          <w:rPr>
            <w:rStyle w:val="Hyperlink"/>
          </w:rPr>
          <w:t xml:space="preserve">https://doi.org/10.1007/bf02798652</w:t>
        </w:r>
      </w:hyperlink>
      <w:r>
        <w:t xml:space="preserve">.</w:t>
      </w:r>
    </w:p>
    <w:bookmarkEnd w:id="189"/>
    <w:bookmarkStart w:id="191"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190">
        <w:r>
          <w:rPr>
            <w:rStyle w:val="Hyperlink"/>
          </w:rPr>
          <w:t xml:space="preserve">https://doi.org/10.1016/j.dsr2.2023.105321</w:t>
        </w:r>
      </w:hyperlink>
      <w:r>
        <w:t xml:space="preserve">.</w:t>
      </w:r>
    </w:p>
    <w:bookmarkEnd w:id="191"/>
    <w:bookmarkStart w:id="193"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192">
        <w:r>
          <w:rPr>
            <w:rStyle w:val="Hyperlink"/>
          </w:rPr>
          <w:t xml:space="preserve">https://doi.org/10.1038/s41467-018-03732-9</w:t>
        </w:r>
      </w:hyperlink>
      <w:r>
        <w:t xml:space="preserve">.</w:t>
      </w:r>
    </w:p>
    <w:bookmarkEnd w:id="193"/>
    <w:bookmarkStart w:id="195"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194">
        <w:r>
          <w:rPr>
            <w:rStyle w:val="Hyperlink"/>
          </w:rPr>
          <w:t xml:space="preserve">https://doi.org/10.1641/0006-3568(2006)56[987:agcfse]2.0.co;2</w:t>
        </w:r>
      </w:hyperlink>
      <w:r>
        <w:t xml:space="preserve">.</w:t>
      </w:r>
    </w:p>
    <w:bookmarkEnd w:id="195"/>
    <w:bookmarkStart w:id="197"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196">
        <w:r>
          <w:rPr>
            <w:rStyle w:val="Hyperlink"/>
          </w:rPr>
          <w:t xml:space="preserve">https://doi.org/10.1093/biosci/bix058</w:t>
        </w:r>
      </w:hyperlink>
      <w:r>
        <w:t xml:space="preserve">.</w:t>
      </w:r>
    </w:p>
    <w:bookmarkEnd w:id="197"/>
    <w:bookmarkStart w:id="199"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198">
        <w:r>
          <w:rPr>
            <w:rStyle w:val="Hyperlink"/>
          </w:rPr>
          <w:t xml:space="preserve">https://doi.org/10.1007/s12237-023-01252-4</w:t>
        </w:r>
      </w:hyperlink>
      <w:r>
        <w:t xml:space="preserve">.</w:t>
      </w:r>
    </w:p>
    <w:bookmarkEnd w:id="199"/>
    <w:bookmarkStart w:id="201"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200">
        <w:r>
          <w:rPr>
            <w:rStyle w:val="Hyperlink"/>
          </w:rPr>
          <w:t xml:space="preserve">https://doi.org/10.1126/sciadv.abc6434</w:t>
        </w:r>
      </w:hyperlink>
      <w:r>
        <w:t xml:space="preserve">.</w:t>
      </w:r>
    </w:p>
    <w:bookmarkEnd w:id="201"/>
    <w:bookmarkStart w:id="203"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202">
        <w:r>
          <w:rPr>
            <w:rStyle w:val="Hyperlink"/>
          </w:rPr>
          <w:t xml:space="preserve">https://doi.org/10.1111/gcb.13084</w:t>
        </w:r>
      </w:hyperlink>
      <w:r>
        <w:t xml:space="preserve">.</w:t>
      </w:r>
    </w:p>
    <w:bookmarkEnd w:id="203"/>
    <w:bookmarkStart w:id="204"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204"/>
    <w:bookmarkStart w:id="205" w:name="ref-phillips88"/>
    <w:p>
      <w:pPr>
        <w:pStyle w:val="Bibliography"/>
      </w:pPr>
      <w:r>
        <w:t xml:space="preserve">Phillips, R., and E. Meñez. 1988.</w:t>
      </w:r>
      <w:r>
        <w:t xml:space="preserve"> </w:t>
      </w:r>
      <w:r>
        <w:rPr>
          <w:iCs/>
          <w:i/>
        </w:rPr>
        <w:t xml:space="preserve">Seagrasses</w:t>
      </w:r>
      <w:r>
        <w:t xml:space="preserve">. Washington, D.C.: Smithsonian Institution Press.</w:t>
      </w:r>
    </w:p>
    <w:bookmarkEnd w:id="205"/>
    <w:bookmarkStart w:id="207"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206">
        <w:r>
          <w:rPr>
            <w:rStyle w:val="Hyperlink"/>
          </w:rPr>
          <w:t xml:space="preserve">https://doi.org/10.3354/meps322099</w:t>
        </w:r>
      </w:hyperlink>
      <w:r>
        <w:t xml:space="preserve">.</w:t>
      </w:r>
    </w:p>
    <w:bookmarkEnd w:id="207"/>
    <w:bookmarkStart w:id="209"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208">
        <w:r>
          <w:rPr>
            <w:rStyle w:val="Hyperlink"/>
          </w:rPr>
          <w:t xml:space="preserve">https://doi.org/10.3354/meps08925</w:t>
        </w:r>
      </w:hyperlink>
      <w:r>
        <w:t xml:space="preserve">.</w:t>
      </w:r>
    </w:p>
    <w:bookmarkEnd w:id="209"/>
    <w:bookmarkStart w:id="210"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210"/>
    <w:bookmarkStart w:id="212"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211">
        <w:r>
          <w:rPr>
            <w:rStyle w:val="Hyperlink"/>
          </w:rPr>
          <w:t xml:space="preserve">https://doi.org/10.1016/j.ecolind.2015.12.007</w:t>
        </w:r>
      </w:hyperlink>
      <w:r>
        <w:t xml:space="preserve">.</w:t>
      </w:r>
    </w:p>
    <w:bookmarkEnd w:id="212"/>
    <w:bookmarkStart w:id="213" w:name="ref-sakamoto1986"/>
    <w:p>
      <w:pPr>
        <w:pStyle w:val="Bibliography"/>
      </w:pPr>
      <w:r>
        <w:t xml:space="preserve">Sakamoto, Y., M. Ishiguro, and G. Kitagawa. 1986.</w:t>
      </w:r>
      <w:r>
        <w:t xml:space="preserve"> </w:t>
      </w:r>
      <w:r>
        <w:rPr>
          <w:iCs/>
          <w:i/>
        </w:rPr>
        <w:t xml:space="preserve">Akaike information criterion statistics</w:t>
      </w:r>
      <w:r>
        <w:t xml:space="preserve">. Dordrecht, The Netherlands: D. Reidel: Taylor &amp; Francis.</w:t>
      </w:r>
    </w:p>
    <w:bookmarkEnd w:id="213"/>
    <w:bookmarkStart w:id="215" w:name="ref-schmidt2002"/>
    <w:p>
      <w:pPr>
        <w:pStyle w:val="Bibliography"/>
      </w:pPr>
      <w:r>
        <w:t xml:space="preserve">Schmidt, N., and M. E. Luther. 2002.</w:t>
      </w:r>
      <w:r>
        <w:t xml:space="preserve"> </w:t>
      </w:r>
      <w:r>
        <w:t xml:space="preserve">ENSO</w:t>
      </w:r>
      <w:r>
        <w:t xml:space="preserve"> </w:t>
      </w:r>
      <w:r>
        <w:t xml:space="preserve">impacts on salinity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w:t>
      </w:r>
      <w:r>
        <w:t xml:space="preserve"> </w:t>
      </w:r>
      <w:r>
        <w:t xml:space="preserve">25: 976–984.</w:t>
      </w:r>
      <w:r>
        <w:t xml:space="preserve"> </w:t>
      </w:r>
      <w:hyperlink r:id="rId214">
        <w:r>
          <w:rPr>
            <w:rStyle w:val="Hyperlink"/>
          </w:rPr>
          <w:t xml:space="preserve">https://doi.org/10.1007/bf02691345</w:t>
        </w:r>
      </w:hyperlink>
      <w:r>
        <w:t xml:space="preserve">.</w:t>
      </w:r>
    </w:p>
    <w:bookmarkEnd w:id="215"/>
    <w:bookmarkStart w:id="217"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216">
        <w:r>
          <w:rPr>
            <w:rStyle w:val="Hyperlink"/>
          </w:rPr>
          <w:t xml:space="preserve">https://doi.org/10.1016/j.ecolind.2020.107310</w:t>
        </w:r>
      </w:hyperlink>
      <w:r>
        <w:t xml:space="preserve">.</w:t>
      </w:r>
    </w:p>
    <w:bookmarkEnd w:id="217"/>
    <w:bookmarkStart w:id="218"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218"/>
    <w:bookmarkStart w:id="220"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219">
        <w:r>
          <w:rPr>
            <w:rStyle w:val="Hyperlink"/>
          </w:rPr>
          <w:t xml:space="preserve">https://doi.org/10.1007/s00267-013-0179-5</w:t>
        </w:r>
      </w:hyperlink>
      <w:r>
        <w:t xml:space="preserve">.</w:t>
      </w:r>
    </w:p>
    <w:bookmarkEnd w:id="220"/>
    <w:bookmarkStart w:id="222" w:name="ref-sherwood2015"/>
    <w:p>
      <w:pPr>
        <w:pStyle w:val="Bibliography"/>
      </w:pPr>
      <w:r>
        <w:t xml:space="preserve">Sherwood, E. T., H. S. Greening, L. Garcia, K. Kaufman, T. Janicki, R. Pribble, B. Cunningham, et al. 2015.</w:t>
      </w:r>
      <w:r>
        <w:t xml:space="preserve"> </w:t>
      </w:r>
      <w:hyperlink r:id="rId221">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22"/>
    <w:bookmarkStart w:id="224"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23">
        <w:r>
          <w:rPr>
            <w:rStyle w:val="Hyperlink"/>
          </w:rPr>
          <w:t xml:space="preserve">https://doi.org/10.1016/j.rsma.2015.05.005</w:t>
        </w:r>
      </w:hyperlink>
      <w:r>
        <w:t xml:space="preserve">.</w:t>
      </w:r>
    </w:p>
    <w:bookmarkEnd w:id="224"/>
    <w:bookmarkStart w:id="226"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25">
        <w:r>
          <w:rPr>
            <w:rStyle w:val="Hyperlink"/>
          </w:rPr>
          <w:t xml:space="preserve">https://doi.org/10.1353/sgo.2017.0026</w:t>
        </w:r>
      </w:hyperlink>
      <w:r>
        <w:t xml:space="preserve">.</w:t>
      </w:r>
    </w:p>
    <w:bookmarkEnd w:id="226"/>
    <w:bookmarkStart w:id="228"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27">
        <w:r>
          <w:rPr>
            <w:rStyle w:val="Hyperlink"/>
          </w:rPr>
          <w:t xml:space="preserve">https://doi.org/10.21203/rs.3.rs-3528678/v1</w:t>
        </w:r>
      </w:hyperlink>
      <w:r>
        <w:t xml:space="preserve">.</w:t>
      </w:r>
    </w:p>
    <w:bookmarkEnd w:id="228"/>
    <w:bookmarkStart w:id="230"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29">
        <w:r>
          <w:rPr>
            <w:rStyle w:val="Hyperlink"/>
          </w:rPr>
          <w:t xml:space="preserve">https://doi.org/10.1016/j.scitotenv.2011.09.088</w:t>
        </w:r>
      </w:hyperlink>
      <w:r>
        <w:t xml:space="preserve">.</w:t>
      </w:r>
    </w:p>
    <w:bookmarkEnd w:id="230"/>
    <w:bookmarkStart w:id="232"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31">
        <w:r>
          <w:rPr>
            <w:rStyle w:val="Hyperlink"/>
          </w:rPr>
          <w:t xml:space="preserve">https://doi.org/10.3389/fevo.2023.1134069</w:t>
        </w:r>
      </w:hyperlink>
      <w:r>
        <w:t xml:space="preserve">.</w:t>
      </w:r>
    </w:p>
    <w:bookmarkEnd w:id="232"/>
    <w:bookmarkStart w:id="234"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33">
        <w:r>
          <w:rPr>
            <w:rStyle w:val="Hyperlink"/>
          </w:rPr>
          <w:t xml:space="preserve">https://doi.org/10.1016/j.rsma.2015.11.010</w:t>
        </w:r>
      </w:hyperlink>
      <w:r>
        <w:t xml:space="preserve">.</w:t>
      </w:r>
    </w:p>
    <w:bookmarkEnd w:id="234"/>
    <w:bookmarkStart w:id="236" w:name="ref-tbep0923"/>
    <w:p>
      <w:pPr>
        <w:pStyle w:val="Bibliography"/>
      </w:pPr>
      <w:r>
        <w:t xml:space="preserve">Todd, A., H. Walsh, and J. Neville. 2023.</w:t>
      </w:r>
      <w:r>
        <w:t xml:space="preserve"> </w:t>
      </w:r>
      <w:hyperlink r:id="rId235">
        <w:r>
          <w:rPr>
            <w:rStyle w:val="Hyperlink"/>
            <w:iCs/>
            <w:i/>
          </w:rPr>
          <w:t xml:space="preserve">2023 economic valuation of</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09-23. St. Petersburg, Florida: Tampa Bay Estuary Program.</w:t>
      </w:r>
    </w:p>
    <w:bookmarkEnd w:id="236"/>
    <w:bookmarkStart w:id="237"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37"/>
    <w:bookmarkStart w:id="239" w:name="ref-tomasko2020"/>
    <w:p>
      <w:pPr>
        <w:pStyle w:val="Bibliography"/>
      </w:pPr>
      <w:r>
        <w:t xml:space="preserve">Tomasko, D. A., M. Alderson, R. Burnes, J. Hecker, N. Iadevaia, J. Leverone, G. Raulerson, and E. Sherwood. 2020. The effects of Hurricane Irma on seagrass meadows in previously eutrophic estuaries in Southwest Florida (USA).</w:t>
      </w:r>
      <w:r>
        <w:t xml:space="preserve"> </w:t>
      </w:r>
      <w:r>
        <w:rPr>
          <w:iCs/>
          <w:i/>
        </w:rPr>
        <w:t xml:space="preserve">Marine Pollution Bulletin</w:t>
      </w:r>
      <w:r>
        <w:t xml:space="preserve"> </w:t>
      </w:r>
      <w:r>
        <w:t xml:space="preserve">156: 111247.</w:t>
      </w:r>
      <w:r>
        <w:t xml:space="preserve"> </w:t>
      </w:r>
      <w:hyperlink r:id="rId238">
        <w:r>
          <w:rPr>
            <w:rStyle w:val="Hyperlink"/>
          </w:rPr>
          <w:t xml:space="preserve">https://doi.org/10.1016/j.marpolbul.2020.111247</w:t>
        </w:r>
      </w:hyperlink>
      <w:r>
        <w:t xml:space="preserve">.</w:t>
      </w:r>
    </w:p>
    <w:bookmarkEnd w:id="239"/>
    <w:bookmarkStart w:id="241" w:name="ref-usup1994"/>
    <w:p>
      <w:pPr>
        <w:pStyle w:val="Bibliography"/>
      </w:pPr>
      <w:r>
        <w:t xml:space="preserve">Usup, G., D. M. Kulis, and D. M. Anderson. 1994. Growth and toxin production of the toxic dinoflagellate</w:t>
      </w:r>
      <w:r>
        <w:t xml:space="preserve"> </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40">
        <w:r>
          <w:rPr>
            <w:rStyle w:val="Hyperlink"/>
          </w:rPr>
          <w:t xml:space="preserve">https://doi.org/10.1002/nt.2620020503</w:t>
        </w:r>
      </w:hyperlink>
      <w:r>
        <w:t xml:space="preserve">.</w:t>
      </w:r>
    </w:p>
    <w:bookmarkEnd w:id="241"/>
    <w:bookmarkStart w:id="243"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42">
        <w:r>
          <w:rPr>
            <w:rStyle w:val="Hyperlink"/>
          </w:rPr>
          <w:t xml:space="preserve">https://doi.org/10.1002/lol2.10098</w:t>
        </w:r>
      </w:hyperlink>
      <w:r>
        <w:t xml:space="preserve">.</w:t>
      </w:r>
    </w:p>
    <w:bookmarkEnd w:id="243"/>
    <w:bookmarkStart w:id="245"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44">
        <w:r>
          <w:rPr>
            <w:rStyle w:val="Hyperlink"/>
          </w:rPr>
          <w:t xml:space="preserve">https://doi.org/10.1146/annurev.es.03.110172.000543</w:t>
        </w:r>
      </w:hyperlink>
      <w:r>
        <w:t xml:space="preserve">.</w:t>
      </w:r>
    </w:p>
    <w:bookmarkEnd w:id="245"/>
    <w:bookmarkStart w:id="247" w:name="ref-venables2002b"/>
    <w:p>
      <w:pPr>
        <w:pStyle w:val="Bibliography"/>
      </w:pPr>
      <w:r>
        <w:t xml:space="preserve">Venables, W. N., and B. D. Ripley. 2002.</w:t>
      </w:r>
      <w:r>
        <w:t xml:space="preserve"> </w:t>
      </w:r>
      <w:r>
        <w:rPr>
          <w:iCs/>
          <w:i/>
        </w:rPr>
        <w:t xml:space="preserve">Modern applied statistics with</w:t>
      </w:r>
      <w:r>
        <w:rPr>
          <w:iCs/>
          <w:i/>
        </w:rPr>
        <w:t xml:space="preserve"> </w:t>
      </w:r>
      <w:r>
        <w:rPr>
          <w:iCs/>
          <w:i/>
        </w:rPr>
        <w:t xml:space="preserve">S</w:t>
      </w:r>
      <w:r>
        <w:t xml:space="preserve">. New York: Springer.</w:t>
      </w:r>
      <w:r>
        <w:t xml:space="preserve"> </w:t>
      </w:r>
      <w:hyperlink r:id="rId246">
        <w:r>
          <w:rPr>
            <w:rStyle w:val="Hyperlink"/>
          </w:rPr>
          <w:t xml:space="preserve">https://doi.org/10.1007/978-0-387-21706-2</w:t>
        </w:r>
      </w:hyperlink>
      <w:r>
        <w:t xml:space="preserve">.</w:t>
      </w:r>
    </w:p>
    <w:bookmarkEnd w:id="247"/>
    <w:bookmarkStart w:id="249"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48">
        <w:r>
          <w:rPr>
            <w:rStyle w:val="Hyperlink"/>
          </w:rPr>
          <w:t xml:space="preserve">https://doi.org/10.1073/pnas.0905620106</w:t>
        </w:r>
      </w:hyperlink>
      <w:r>
        <w:t xml:space="preserve">.</w:t>
      </w:r>
    </w:p>
    <w:bookmarkEnd w:id="249"/>
    <w:bookmarkStart w:id="251"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50">
        <w:r>
          <w:rPr>
            <w:rStyle w:val="Hyperlink"/>
          </w:rPr>
          <w:t xml:space="preserve">https://doi.org/10.1111/1365-2745.13648</w:t>
        </w:r>
      </w:hyperlink>
      <w:r>
        <w:t xml:space="preserve">.</w:t>
      </w:r>
    </w:p>
    <w:bookmarkEnd w:id="251"/>
    <w:bookmarkStart w:id="253" w:name="ref-weisberg2006"/>
    <w:p>
      <w:pPr>
        <w:pStyle w:val="Bibliography"/>
      </w:pPr>
      <w:r>
        <w:t xml:space="preserve">Weisberg, R. H., and L. Zheng. 2006. Circulation of</w:t>
      </w:r>
      <w:r>
        <w:t xml:space="preserve"> </w:t>
      </w:r>
      <w:r>
        <w:t xml:space="preserve">T</w:t>
      </w:r>
      <w:r>
        <w:t xml:space="preserve">ampa</w:t>
      </w:r>
      <w:r>
        <w:t xml:space="preserve"> </w:t>
      </w:r>
      <w:r>
        <w:t xml:space="preserve">B</w:t>
      </w:r>
      <w:r>
        <w:t xml:space="preserve">ay driven by buoyancy, tides, and winds, as simulated using a finite volume coastal ocean model.</w:t>
      </w:r>
      <w:r>
        <w:t xml:space="preserve"> </w:t>
      </w:r>
      <w:r>
        <w:rPr>
          <w:iCs/>
          <w:i/>
        </w:rPr>
        <w:t xml:space="preserve">Journal of Geophysical Research: Oceans</w:t>
      </w:r>
      <w:r>
        <w:t xml:space="preserve"> </w:t>
      </w:r>
      <w:r>
        <w:t xml:space="preserve">111.</w:t>
      </w:r>
      <w:r>
        <w:t xml:space="preserve"> </w:t>
      </w:r>
      <w:hyperlink r:id="rId252">
        <w:r>
          <w:rPr>
            <w:rStyle w:val="Hyperlink"/>
          </w:rPr>
          <w:t xml:space="preserve">https://doi.org/10.1029/2005jc003067</w:t>
        </w:r>
      </w:hyperlink>
      <w:r>
        <w:t xml:space="preserve">.</w:t>
      </w:r>
    </w:p>
    <w:bookmarkEnd w:id="253"/>
    <w:bookmarkStart w:id="255"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54">
        <w:r>
          <w:rPr>
            <w:rStyle w:val="Hyperlink"/>
          </w:rPr>
          <w:t xml:space="preserve">https://doi.org/10.1002/ehs2.1258</w:t>
        </w:r>
      </w:hyperlink>
      <w:r>
        <w:t xml:space="preserve">.</w:t>
      </w:r>
    </w:p>
    <w:bookmarkEnd w:id="255"/>
    <w:bookmarkStart w:id="256"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56"/>
    <w:bookmarkStart w:id="258"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57">
        <w:r>
          <w:rPr>
            <w:rStyle w:val="Hyperlink"/>
          </w:rPr>
          <w:t xml:space="preserve">https://doi.org/10.1016/j.marpolbul.2023.115043</w:t>
        </w:r>
      </w:hyperlink>
      <w:r>
        <w:t xml:space="preserve">.</w:t>
      </w:r>
    </w:p>
    <w:bookmarkEnd w:id="258"/>
    <w:bookmarkStart w:id="260"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59">
        <w:r>
          <w:rPr>
            <w:rStyle w:val="Hyperlink"/>
          </w:rPr>
          <w:t xml:space="preserve">https://doi.org/10.1016/0304-3770(75)90016-9</w:t>
        </w:r>
      </w:hyperlink>
      <w:r>
        <w:t xml:space="preserve">.</w:t>
      </w:r>
    </w:p>
    <w:bookmarkEnd w:id="260"/>
    <w:bookmarkStart w:id="262"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61">
        <w:r>
          <w:rPr>
            <w:rStyle w:val="Hyperlink"/>
          </w:rPr>
          <w:t xml:space="preserve">https://doi.org/10.1007/978-0-387-87458-6</w:t>
        </w:r>
      </w:hyperlink>
      <w:r>
        <w:t xml:space="preserve">.</w:t>
      </w:r>
    </w:p>
    <w:bookmarkEnd w:id="262"/>
    <w:bookmarkEnd w:id="263"/>
    <w:bookmarkEnd w:id="264"/>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65" Target="media/rId65.png" /><Relationship Type="http://schemas.openxmlformats.org/officeDocument/2006/relationships/hyperlink" Id="rId95" Target="https://CRAN.R-project.org/package=SPEI" TargetMode="External" /><Relationship Type="http://schemas.openxmlformats.org/officeDocument/2006/relationships/hyperlink" Id="rId115"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54" Target="https://doi.org/10.1002/ehs2.1258" TargetMode="External" /><Relationship Type="http://schemas.openxmlformats.org/officeDocument/2006/relationships/hyperlink" Id="rId97" Target="https://doi.org/10.1002/joc.3887" TargetMode="External" /><Relationship Type="http://schemas.openxmlformats.org/officeDocument/2006/relationships/hyperlink" Id="rId186" Target="https://doi.org/10.1002/lno.10789" TargetMode="External" /><Relationship Type="http://schemas.openxmlformats.org/officeDocument/2006/relationships/hyperlink" Id="rId242" Target="https://doi.org/10.1002/lol2.10098" TargetMode="External" /><Relationship Type="http://schemas.openxmlformats.org/officeDocument/2006/relationships/hyperlink" Id="rId240" Target="https://doi.org/10.1002/nt.2620020503" TargetMode="External" /><Relationship Type="http://schemas.openxmlformats.org/officeDocument/2006/relationships/hyperlink" Id="rId246" Target="https://doi.org/10.1007/978-0-387-21706-2" TargetMode="External" /><Relationship Type="http://schemas.openxmlformats.org/officeDocument/2006/relationships/hyperlink" Id="rId261" Target="https://doi.org/10.1007/978-0-387-87458-6" TargetMode="External" /><Relationship Type="http://schemas.openxmlformats.org/officeDocument/2006/relationships/hyperlink" Id="rId214" Target="https://doi.org/10.1007/bf02691345" TargetMode="External" /><Relationship Type="http://schemas.openxmlformats.org/officeDocument/2006/relationships/hyperlink" Id="rId169" Target="https://doi.org/10.1007/bf02691700" TargetMode="External" /><Relationship Type="http://schemas.openxmlformats.org/officeDocument/2006/relationships/hyperlink" Id="rId188" Target="https://doi.org/10.1007/bf02798652" TargetMode="External" /><Relationship Type="http://schemas.openxmlformats.org/officeDocument/2006/relationships/hyperlink" Id="rId135" Target="https://doi.org/10.1007/s00267-005-0079-4" TargetMode="External" /><Relationship Type="http://schemas.openxmlformats.org/officeDocument/2006/relationships/hyperlink" Id="rId219" Target="https://doi.org/10.1007/s00267-013-0179-5" TargetMode="External" /><Relationship Type="http://schemas.openxmlformats.org/officeDocument/2006/relationships/hyperlink" Id="rId145" Target="https://doi.org/10.1007/s11802-014-2471-2" TargetMode="External" /><Relationship Type="http://schemas.openxmlformats.org/officeDocument/2006/relationships/hyperlink" Id="rId123" Target="https://doi.org/10.1007/s12237-008-9038-7" TargetMode="External" /><Relationship Type="http://schemas.openxmlformats.org/officeDocument/2006/relationships/hyperlink" Id="rId93" Target="https://doi.org/10.1007/s12237-019-00619-w" TargetMode="External" /><Relationship Type="http://schemas.openxmlformats.org/officeDocument/2006/relationships/hyperlink" Id="rId198" Target="https://doi.org/10.1007/s12237-023-01252-4" TargetMode="External" /><Relationship Type="http://schemas.openxmlformats.org/officeDocument/2006/relationships/hyperlink" Id="rId259" Target="https://doi.org/10.1016/0304-3770(75)90016-9" TargetMode="External" /><Relationship Type="http://schemas.openxmlformats.org/officeDocument/2006/relationships/hyperlink" Id="rId190" Target="https://doi.org/10.1016/j.dsr2.2023.105321" TargetMode="External" /><Relationship Type="http://schemas.openxmlformats.org/officeDocument/2006/relationships/hyperlink" Id="rId211" Target="https://doi.org/10.1016/j.ecolind.2015.12.007" TargetMode="External" /><Relationship Type="http://schemas.openxmlformats.org/officeDocument/2006/relationships/hyperlink" Id="rId216" Target="https://doi.org/10.1016/j.ecolind.2020.107310" TargetMode="External" /><Relationship Type="http://schemas.openxmlformats.org/officeDocument/2006/relationships/hyperlink" Id="rId107" Target="https://doi.org/10.1016/j.ecolind.2023.111035" TargetMode="External" /><Relationship Type="http://schemas.openxmlformats.org/officeDocument/2006/relationships/hyperlink" Id="rId137" Target="https://doi.org/10.1016/j.ecss.2014.10.003" TargetMode="External" /><Relationship Type="http://schemas.openxmlformats.org/officeDocument/2006/relationships/hyperlink" Id="rId171" Target="https://doi.org/10.1016/j.ecss.2022.108134" TargetMode="External" /><Relationship Type="http://schemas.openxmlformats.org/officeDocument/2006/relationships/hyperlink" Id="rId111" Target="https://doi.org/10.1016/j.jembe.2007.06.024" TargetMode="External" /><Relationship Type="http://schemas.openxmlformats.org/officeDocument/2006/relationships/hyperlink" Id="rId119" Target="https://doi.org/10.1016/j.jenvman.2018.01.025" TargetMode="External" /><Relationship Type="http://schemas.openxmlformats.org/officeDocument/2006/relationships/hyperlink" Id="rId133" Target="https://doi.org/10.1016/j.marpolbul.2010.11.017" TargetMode="External" /><Relationship Type="http://schemas.openxmlformats.org/officeDocument/2006/relationships/hyperlink" Id="rId238" Target="https://doi.org/10.1016/j.marpolbul.2020.111247" TargetMode="External" /><Relationship Type="http://schemas.openxmlformats.org/officeDocument/2006/relationships/hyperlink" Id="rId85" Target="https://doi.org/10.1016/j.marpolbul.2022.113598" TargetMode="External" /><Relationship Type="http://schemas.openxmlformats.org/officeDocument/2006/relationships/hyperlink" Id="rId257" Target="https://doi.org/10.1016/j.marpolbul.2023.115043" TargetMode="External" /><Relationship Type="http://schemas.openxmlformats.org/officeDocument/2006/relationships/hyperlink" Id="rId117" Target="https://doi.org/10.1016/j.ocecoaman.2023.106490" TargetMode="External" /><Relationship Type="http://schemas.openxmlformats.org/officeDocument/2006/relationships/hyperlink" Id="rId75" Target="https://doi.org/10.1016/j.ocecoaman.2023.106929" TargetMode="External" /><Relationship Type="http://schemas.openxmlformats.org/officeDocument/2006/relationships/hyperlink" Id="rId113" Target="https://doi.org/10.1016/j.rse.2018.02.014" TargetMode="External" /><Relationship Type="http://schemas.openxmlformats.org/officeDocument/2006/relationships/hyperlink" Id="rId223" Target="https://doi.org/10.1016/j.rsma.2015.05.005" TargetMode="External" /><Relationship Type="http://schemas.openxmlformats.org/officeDocument/2006/relationships/hyperlink" Id="rId233" Target="https://doi.org/10.1016/j.rsma.2015.11.010" TargetMode="External" /><Relationship Type="http://schemas.openxmlformats.org/officeDocument/2006/relationships/hyperlink" Id="rId229" Target="https://doi.org/10.1016/j.scitotenv.2011.09.088" TargetMode="External" /><Relationship Type="http://schemas.openxmlformats.org/officeDocument/2006/relationships/hyperlink" Id="rId178" Target="https://doi.org/10.1016/j.seares.2012.03.002" TargetMode="External" /><Relationship Type="http://schemas.openxmlformats.org/officeDocument/2006/relationships/hyperlink" Id="rId252" Target="https://doi.org/10.1029/2005jc003067" TargetMode="External" /><Relationship Type="http://schemas.openxmlformats.org/officeDocument/2006/relationships/hyperlink" Id="rId149" Target="https://doi.org/10.1029/wr018i001p00107" TargetMode="External" /><Relationship Type="http://schemas.openxmlformats.org/officeDocument/2006/relationships/hyperlink" Id="rId131" Target="https://doi.org/10.1038/ngeo1477" TargetMode="External" /><Relationship Type="http://schemas.openxmlformats.org/officeDocument/2006/relationships/hyperlink" Id="rId192" Target="https://doi.org/10.1038/s41467-018-03732-9" TargetMode="External" /><Relationship Type="http://schemas.openxmlformats.org/officeDocument/2006/relationships/hyperlink" Id="rId248" Target="https://doi.org/10.1073/pnas.0905620106" TargetMode="External" /><Relationship Type="http://schemas.openxmlformats.org/officeDocument/2006/relationships/hyperlink" Id="rId163" Target="https://doi.org/10.1073/pnas.1715798115" TargetMode="External" /><Relationship Type="http://schemas.openxmlformats.org/officeDocument/2006/relationships/hyperlink" Id="rId147" Target="https://doi.org/10.1073/pnas.2220678120" TargetMode="External" /><Relationship Type="http://schemas.openxmlformats.org/officeDocument/2006/relationships/hyperlink" Id="rId121" Target="https://doi.org/10.1080/00785236.1995.10422039" TargetMode="External" /><Relationship Type="http://schemas.openxmlformats.org/officeDocument/2006/relationships/hyperlink" Id="rId196" Target="https://doi.org/10.1093/biosci/bix058" TargetMode="External" /><Relationship Type="http://schemas.openxmlformats.org/officeDocument/2006/relationships/hyperlink" Id="rId151" Target="https://doi.org/10.1101/sqb.1957.022.01.039" TargetMode="External" /><Relationship Type="http://schemas.openxmlformats.org/officeDocument/2006/relationships/hyperlink" Id="rId105" Target="https://doi.org/10.1111/1365-2664.13169" TargetMode="External" /><Relationship Type="http://schemas.openxmlformats.org/officeDocument/2006/relationships/hyperlink" Id="rId250" Target="https://doi.org/10.1111/1365-2745.13648" TargetMode="External" /><Relationship Type="http://schemas.openxmlformats.org/officeDocument/2006/relationships/hyperlink" Id="rId180" Target="https://doi.org/10.1111/brv.12294" TargetMode="External" /><Relationship Type="http://schemas.openxmlformats.org/officeDocument/2006/relationships/hyperlink" Id="rId129" Target="https://doi.org/10.1111/conl.12938" TargetMode="External" /><Relationship Type="http://schemas.openxmlformats.org/officeDocument/2006/relationships/hyperlink" Id="rId202" Target="https://doi.org/10.1111/gcb.13084" TargetMode="External" /><Relationship Type="http://schemas.openxmlformats.org/officeDocument/2006/relationships/hyperlink" Id="rId165" Target="https://doi.org/10.1111/gcb.13623" TargetMode="External" /><Relationship Type="http://schemas.openxmlformats.org/officeDocument/2006/relationships/hyperlink" Id="rId127" Target="https://doi.org/10.1111/gcb.15684" TargetMode="External" /><Relationship Type="http://schemas.openxmlformats.org/officeDocument/2006/relationships/hyperlink" Id="rId77" Target="https://doi.org/10.1111/j.1365-2699.2006.01584.x" TargetMode="External" /><Relationship Type="http://schemas.openxmlformats.org/officeDocument/2006/relationships/hyperlink" Id="rId200" Target="https://doi.org/10.1126/sciadv.abc6434" TargetMode="External" /><Relationship Type="http://schemas.openxmlformats.org/officeDocument/2006/relationships/hyperlink" Id="rId244" Target="https://doi.org/10.1146/annurev.es.03.110172.000543" TargetMode="External" /><Relationship Type="http://schemas.openxmlformats.org/officeDocument/2006/relationships/hyperlink" Id="rId225" Target="https://doi.org/10.1353/sgo.2017.0026" TargetMode="External" /><Relationship Type="http://schemas.openxmlformats.org/officeDocument/2006/relationships/hyperlink" Id="rId194" Target="https://doi.org/10.1641/0006-3568(2006)56[987:agcfse]2.0.co;2" TargetMode="External" /><Relationship Type="http://schemas.openxmlformats.org/officeDocument/2006/relationships/hyperlink" Id="rId79" Target="https://doi.org/10.18637/jss.v067.i01" TargetMode="External" /><Relationship Type="http://schemas.openxmlformats.org/officeDocument/2006/relationships/hyperlink" Id="rId91" Target="https://doi.org/10.21105/joss.03485" TargetMode="External" /><Relationship Type="http://schemas.openxmlformats.org/officeDocument/2006/relationships/hyperlink" Id="rId227" Target="https://doi.org/10.21203/rs.3.rs-3528678/v1" TargetMode="External" /><Relationship Type="http://schemas.openxmlformats.org/officeDocument/2006/relationships/hyperlink" Id="rId103" Target="https://doi.org/10.2134/jeq2001.302303x" TargetMode="External" /><Relationship Type="http://schemas.openxmlformats.org/officeDocument/2006/relationships/hyperlink" Id="rId109" Target="https://doi.org/10.2307/1352383" TargetMode="External" /><Relationship Type="http://schemas.openxmlformats.org/officeDocument/2006/relationships/hyperlink" Id="rId141" Target="https://doi.org/10.2307/1353210" TargetMode="External" /><Relationship Type="http://schemas.openxmlformats.org/officeDocument/2006/relationships/hyperlink" Id="rId182" Target="https://doi.org/10.2307/1932688" TargetMode="External" /><Relationship Type="http://schemas.openxmlformats.org/officeDocument/2006/relationships/hyperlink" Id="rId208" Target="https://doi.org/10.3354/meps08925" TargetMode="External" /><Relationship Type="http://schemas.openxmlformats.org/officeDocument/2006/relationships/hyperlink" Id="rId143" Target="https://doi.org/10.3354/meps11923" TargetMode="External" /><Relationship Type="http://schemas.openxmlformats.org/officeDocument/2006/relationships/hyperlink" Id="rId99" Target="https://doi.org/10.3354/meps147277" TargetMode="External" /><Relationship Type="http://schemas.openxmlformats.org/officeDocument/2006/relationships/hyperlink" Id="rId206" Target="https://doi.org/10.3354/meps322099" TargetMode="External" /><Relationship Type="http://schemas.openxmlformats.org/officeDocument/2006/relationships/hyperlink" Id="rId89" Target="https://doi.org/10.3389/fevo.2023.1070266" TargetMode="External" /><Relationship Type="http://schemas.openxmlformats.org/officeDocument/2006/relationships/hyperlink" Id="rId231" Target="https://doi.org/10.3389/fevo.2023.1134069" TargetMode="External" /><Relationship Type="http://schemas.openxmlformats.org/officeDocument/2006/relationships/hyperlink" Id="rId139" Target="https://doi.org/10.3389/fmars.2022.767440" TargetMode="External" /><Relationship Type="http://schemas.openxmlformats.org/officeDocument/2006/relationships/hyperlink" Id="rId125" Target="https://doi.org/10.3389/fpls.2021.612947" TargetMode="External" /><Relationship Type="http://schemas.openxmlformats.org/officeDocument/2006/relationships/hyperlink" Id="rId81" Target="https://doi.org/10.5281/zenodo.3648664" TargetMode="External" /><Relationship Type="http://schemas.openxmlformats.org/officeDocument/2006/relationships/hyperlink" Id="rId83" Target="https://doi.org/10.5281/zenodo.4319936" TargetMode="External" /><Relationship Type="http://schemas.openxmlformats.org/officeDocument/2006/relationships/hyperlink" Id="rId176" Target="https://drive.google.com/file/d/1-1Jq9vly5EvVwEp698brlBucXjSMDbNn/view?usp=sharing" TargetMode="External" /><Relationship Type="http://schemas.openxmlformats.org/officeDocument/2006/relationships/hyperlink" Id="rId235" Target="https://drive.google.com/file/d/15zetRgrFKkWah9KAY1in7q0so8ywHzkA/view?usp=drive_link" TargetMode="External" /><Relationship Type="http://schemas.openxmlformats.org/officeDocument/2006/relationships/hyperlink" Id="rId161" Target="https://drive.google.com/file/d/19bNEs2qy6z0hXa1IE7OtbFTjqk1LarFN/view?usp=drivesdk" TargetMode="External" /><Relationship Type="http://schemas.openxmlformats.org/officeDocument/2006/relationships/hyperlink" Id="rId221" Target="https://drive.google.com/file/d/1BCviGfLykVX-p1tA3b0306deP3pKMagr/view?usp=drivesdk" TargetMode="External" /><Relationship Type="http://schemas.openxmlformats.org/officeDocument/2006/relationships/hyperlink" Id="rId157" Target="https://drive.google.com/file/d/1KARuSC5fGx05MuT1wiOQFWNXysBokkQl/view?usp=share_link" TargetMode="External" /><Relationship Type="http://schemas.openxmlformats.org/officeDocument/2006/relationships/hyperlink" Id="rId87" Target="https://drive.google.com/file/d/1RsRYmaF9ykxhw3L15YqOI9AE--sog6ib/view?usp=sharing" TargetMode="External" /><Relationship Type="http://schemas.openxmlformats.org/officeDocument/2006/relationships/hyperlink" Id="rId159" Target="https://drive.google.com/file/d/1Z_8L9sYQWSl1hon1tP1Y8zBo7MHQK9zC/view?usp=drivesdk" TargetMode="External" /><Relationship Type="http://schemas.openxmlformats.org/officeDocument/2006/relationships/hyperlink" Id="rId173" Target="https://drive.google.com/file/d/1iXX_JZP5fLS3ORIkFb7WwNYv8HjpHyKw/view?usp=sharing" TargetMode="External" /><Relationship Type="http://schemas.openxmlformats.org/officeDocument/2006/relationships/hyperlink" Id="rId153" Target="https://drive.google.com/file/d/1kZkvuprvsMyN9nPS5PHYvXHyo1KQxKTr/view?usp=drivesdk" TargetMode="External" /><Relationship Type="http://schemas.openxmlformats.org/officeDocument/2006/relationships/hyperlink" Id="rId167" Target="https://drive.google.com/file/d/1sNp3FpjdeOjATZ9nDRRAiXEOqQen9W_p/view?usp=sharing" TargetMode="External" /><Relationship Type="http://schemas.openxmlformats.org/officeDocument/2006/relationships/hyperlink" Id="rId101" Target="https://drive.google.com/file/d/1tUkGW7TRAJ_skWj-UemDVIJnUAsy0ITf/view?usp=drivesdk" TargetMode="External" /><Relationship Type="http://schemas.openxmlformats.org/officeDocument/2006/relationships/hyperlink" Id="rId155"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84"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95" Target="https://CRAN.R-project.org/package=SPEI" TargetMode="External" /><Relationship Type="http://schemas.openxmlformats.org/officeDocument/2006/relationships/hyperlink" Id="rId115"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54" Target="https://doi.org/10.1002/ehs2.1258" TargetMode="External" /><Relationship Type="http://schemas.openxmlformats.org/officeDocument/2006/relationships/hyperlink" Id="rId97" Target="https://doi.org/10.1002/joc.3887" TargetMode="External" /><Relationship Type="http://schemas.openxmlformats.org/officeDocument/2006/relationships/hyperlink" Id="rId186" Target="https://doi.org/10.1002/lno.10789" TargetMode="External" /><Relationship Type="http://schemas.openxmlformats.org/officeDocument/2006/relationships/hyperlink" Id="rId242" Target="https://doi.org/10.1002/lol2.10098" TargetMode="External" /><Relationship Type="http://schemas.openxmlformats.org/officeDocument/2006/relationships/hyperlink" Id="rId240" Target="https://doi.org/10.1002/nt.2620020503" TargetMode="External" /><Relationship Type="http://schemas.openxmlformats.org/officeDocument/2006/relationships/hyperlink" Id="rId246" Target="https://doi.org/10.1007/978-0-387-21706-2" TargetMode="External" /><Relationship Type="http://schemas.openxmlformats.org/officeDocument/2006/relationships/hyperlink" Id="rId261" Target="https://doi.org/10.1007/978-0-387-87458-6" TargetMode="External" /><Relationship Type="http://schemas.openxmlformats.org/officeDocument/2006/relationships/hyperlink" Id="rId214" Target="https://doi.org/10.1007/bf02691345" TargetMode="External" /><Relationship Type="http://schemas.openxmlformats.org/officeDocument/2006/relationships/hyperlink" Id="rId169" Target="https://doi.org/10.1007/bf02691700" TargetMode="External" /><Relationship Type="http://schemas.openxmlformats.org/officeDocument/2006/relationships/hyperlink" Id="rId188" Target="https://doi.org/10.1007/bf02798652" TargetMode="External" /><Relationship Type="http://schemas.openxmlformats.org/officeDocument/2006/relationships/hyperlink" Id="rId135" Target="https://doi.org/10.1007/s00267-005-0079-4" TargetMode="External" /><Relationship Type="http://schemas.openxmlformats.org/officeDocument/2006/relationships/hyperlink" Id="rId219" Target="https://doi.org/10.1007/s00267-013-0179-5" TargetMode="External" /><Relationship Type="http://schemas.openxmlformats.org/officeDocument/2006/relationships/hyperlink" Id="rId145" Target="https://doi.org/10.1007/s11802-014-2471-2" TargetMode="External" /><Relationship Type="http://schemas.openxmlformats.org/officeDocument/2006/relationships/hyperlink" Id="rId123" Target="https://doi.org/10.1007/s12237-008-9038-7" TargetMode="External" /><Relationship Type="http://schemas.openxmlformats.org/officeDocument/2006/relationships/hyperlink" Id="rId93" Target="https://doi.org/10.1007/s12237-019-00619-w" TargetMode="External" /><Relationship Type="http://schemas.openxmlformats.org/officeDocument/2006/relationships/hyperlink" Id="rId198" Target="https://doi.org/10.1007/s12237-023-01252-4" TargetMode="External" /><Relationship Type="http://schemas.openxmlformats.org/officeDocument/2006/relationships/hyperlink" Id="rId259" Target="https://doi.org/10.1016/0304-3770(75)90016-9" TargetMode="External" /><Relationship Type="http://schemas.openxmlformats.org/officeDocument/2006/relationships/hyperlink" Id="rId190" Target="https://doi.org/10.1016/j.dsr2.2023.105321" TargetMode="External" /><Relationship Type="http://schemas.openxmlformats.org/officeDocument/2006/relationships/hyperlink" Id="rId211" Target="https://doi.org/10.1016/j.ecolind.2015.12.007" TargetMode="External" /><Relationship Type="http://schemas.openxmlformats.org/officeDocument/2006/relationships/hyperlink" Id="rId216" Target="https://doi.org/10.1016/j.ecolind.2020.107310" TargetMode="External" /><Relationship Type="http://schemas.openxmlformats.org/officeDocument/2006/relationships/hyperlink" Id="rId107" Target="https://doi.org/10.1016/j.ecolind.2023.111035" TargetMode="External" /><Relationship Type="http://schemas.openxmlformats.org/officeDocument/2006/relationships/hyperlink" Id="rId137" Target="https://doi.org/10.1016/j.ecss.2014.10.003" TargetMode="External" /><Relationship Type="http://schemas.openxmlformats.org/officeDocument/2006/relationships/hyperlink" Id="rId171" Target="https://doi.org/10.1016/j.ecss.2022.108134" TargetMode="External" /><Relationship Type="http://schemas.openxmlformats.org/officeDocument/2006/relationships/hyperlink" Id="rId111" Target="https://doi.org/10.1016/j.jembe.2007.06.024" TargetMode="External" /><Relationship Type="http://schemas.openxmlformats.org/officeDocument/2006/relationships/hyperlink" Id="rId119" Target="https://doi.org/10.1016/j.jenvman.2018.01.025" TargetMode="External" /><Relationship Type="http://schemas.openxmlformats.org/officeDocument/2006/relationships/hyperlink" Id="rId133" Target="https://doi.org/10.1016/j.marpolbul.2010.11.017" TargetMode="External" /><Relationship Type="http://schemas.openxmlformats.org/officeDocument/2006/relationships/hyperlink" Id="rId238" Target="https://doi.org/10.1016/j.marpolbul.2020.111247" TargetMode="External" /><Relationship Type="http://schemas.openxmlformats.org/officeDocument/2006/relationships/hyperlink" Id="rId85" Target="https://doi.org/10.1016/j.marpolbul.2022.113598" TargetMode="External" /><Relationship Type="http://schemas.openxmlformats.org/officeDocument/2006/relationships/hyperlink" Id="rId257" Target="https://doi.org/10.1016/j.marpolbul.2023.115043" TargetMode="External" /><Relationship Type="http://schemas.openxmlformats.org/officeDocument/2006/relationships/hyperlink" Id="rId117" Target="https://doi.org/10.1016/j.ocecoaman.2023.106490" TargetMode="External" /><Relationship Type="http://schemas.openxmlformats.org/officeDocument/2006/relationships/hyperlink" Id="rId75" Target="https://doi.org/10.1016/j.ocecoaman.2023.106929" TargetMode="External" /><Relationship Type="http://schemas.openxmlformats.org/officeDocument/2006/relationships/hyperlink" Id="rId113" Target="https://doi.org/10.1016/j.rse.2018.02.014" TargetMode="External" /><Relationship Type="http://schemas.openxmlformats.org/officeDocument/2006/relationships/hyperlink" Id="rId223" Target="https://doi.org/10.1016/j.rsma.2015.05.005" TargetMode="External" /><Relationship Type="http://schemas.openxmlformats.org/officeDocument/2006/relationships/hyperlink" Id="rId233" Target="https://doi.org/10.1016/j.rsma.2015.11.010" TargetMode="External" /><Relationship Type="http://schemas.openxmlformats.org/officeDocument/2006/relationships/hyperlink" Id="rId229" Target="https://doi.org/10.1016/j.scitotenv.2011.09.088" TargetMode="External" /><Relationship Type="http://schemas.openxmlformats.org/officeDocument/2006/relationships/hyperlink" Id="rId178" Target="https://doi.org/10.1016/j.seares.2012.03.002" TargetMode="External" /><Relationship Type="http://schemas.openxmlformats.org/officeDocument/2006/relationships/hyperlink" Id="rId252" Target="https://doi.org/10.1029/2005jc003067" TargetMode="External" /><Relationship Type="http://schemas.openxmlformats.org/officeDocument/2006/relationships/hyperlink" Id="rId149" Target="https://doi.org/10.1029/wr018i001p00107" TargetMode="External" /><Relationship Type="http://schemas.openxmlformats.org/officeDocument/2006/relationships/hyperlink" Id="rId131" Target="https://doi.org/10.1038/ngeo1477" TargetMode="External" /><Relationship Type="http://schemas.openxmlformats.org/officeDocument/2006/relationships/hyperlink" Id="rId192" Target="https://doi.org/10.1038/s41467-018-03732-9" TargetMode="External" /><Relationship Type="http://schemas.openxmlformats.org/officeDocument/2006/relationships/hyperlink" Id="rId248" Target="https://doi.org/10.1073/pnas.0905620106" TargetMode="External" /><Relationship Type="http://schemas.openxmlformats.org/officeDocument/2006/relationships/hyperlink" Id="rId163" Target="https://doi.org/10.1073/pnas.1715798115" TargetMode="External" /><Relationship Type="http://schemas.openxmlformats.org/officeDocument/2006/relationships/hyperlink" Id="rId147" Target="https://doi.org/10.1073/pnas.2220678120" TargetMode="External" /><Relationship Type="http://schemas.openxmlformats.org/officeDocument/2006/relationships/hyperlink" Id="rId121" Target="https://doi.org/10.1080/00785236.1995.10422039" TargetMode="External" /><Relationship Type="http://schemas.openxmlformats.org/officeDocument/2006/relationships/hyperlink" Id="rId196" Target="https://doi.org/10.1093/biosci/bix058" TargetMode="External" /><Relationship Type="http://schemas.openxmlformats.org/officeDocument/2006/relationships/hyperlink" Id="rId151" Target="https://doi.org/10.1101/sqb.1957.022.01.039" TargetMode="External" /><Relationship Type="http://schemas.openxmlformats.org/officeDocument/2006/relationships/hyperlink" Id="rId105" Target="https://doi.org/10.1111/1365-2664.13169" TargetMode="External" /><Relationship Type="http://schemas.openxmlformats.org/officeDocument/2006/relationships/hyperlink" Id="rId250" Target="https://doi.org/10.1111/1365-2745.13648" TargetMode="External" /><Relationship Type="http://schemas.openxmlformats.org/officeDocument/2006/relationships/hyperlink" Id="rId180" Target="https://doi.org/10.1111/brv.12294" TargetMode="External" /><Relationship Type="http://schemas.openxmlformats.org/officeDocument/2006/relationships/hyperlink" Id="rId129" Target="https://doi.org/10.1111/conl.12938" TargetMode="External" /><Relationship Type="http://schemas.openxmlformats.org/officeDocument/2006/relationships/hyperlink" Id="rId202" Target="https://doi.org/10.1111/gcb.13084" TargetMode="External" /><Relationship Type="http://schemas.openxmlformats.org/officeDocument/2006/relationships/hyperlink" Id="rId165" Target="https://doi.org/10.1111/gcb.13623" TargetMode="External" /><Relationship Type="http://schemas.openxmlformats.org/officeDocument/2006/relationships/hyperlink" Id="rId127" Target="https://doi.org/10.1111/gcb.15684" TargetMode="External" /><Relationship Type="http://schemas.openxmlformats.org/officeDocument/2006/relationships/hyperlink" Id="rId77" Target="https://doi.org/10.1111/j.1365-2699.2006.01584.x" TargetMode="External" /><Relationship Type="http://schemas.openxmlformats.org/officeDocument/2006/relationships/hyperlink" Id="rId200" Target="https://doi.org/10.1126/sciadv.abc6434" TargetMode="External" /><Relationship Type="http://schemas.openxmlformats.org/officeDocument/2006/relationships/hyperlink" Id="rId244" Target="https://doi.org/10.1146/annurev.es.03.110172.000543" TargetMode="External" /><Relationship Type="http://schemas.openxmlformats.org/officeDocument/2006/relationships/hyperlink" Id="rId225" Target="https://doi.org/10.1353/sgo.2017.0026" TargetMode="External" /><Relationship Type="http://schemas.openxmlformats.org/officeDocument/2006/relationships/hyperlink" Id="rId194" Target="https://doi.org/10.1641/0006-3568(2006)56[987:agcfse]2.0.co;2" TargetMode="External" /><Relationship Type="http://schemas.openxmlformats.org/officeDocument/2006/relationships/hyperlink" Id="rId79" Target="https://doi.org/10.18637/jss.v067.i01" TargetMode="External" /><Relationship Type="http://schemas.openxmlformats.org/officeDocument/2006/relationships/hyperlink" Id="rId91" Target="https://doi.org/10.21105/joss.03485" TargetMode="External" /><Relationship Type="http://schemas.openxmlformats.org/officeDocument/2006/relationships/hyperlink" Id="rId227" Target="https://doi.org/10.21203/rs.3.rs-3528678/v1" TargetMode="External" /><Relationship Type="http://schemas.openxmlformats.org/officeDocument/2006/relationships/hyperlink" Id="rId103" Target="https://doi.org/10.2134/jeq2001.302303x" TargetMode="External" /><Relationship Type="http://schemas.openxmlformats.org/officeDocument/2006/relationships/hyperlink" Id="rId109" Target="https://doi.org/10.2307/1352383" TargetMode="External" /><Relationship Type="http://schemas.openxmlformats.org/officeDocument/2006/relationships/hyperlink" Id="rId141" Target="https://doi.org/10.2307/1353210" TargetMode="External" /><Relationship Type="http://schemas.openxmlformats.org/officeDocument/2006/relationships/hyperlink" Id="rId182" Target="https://doi.org/10.2307/1932688" TargetMode="External" /><Relationship Type="http://schemas.openxmlformats.org/officeDocument/2006/relationships/hyperlink" Id="rId208" Target="https://doi.org/10.3354/meps08925" TargetMode="External" /><Relationship Type="http://schemas.openxmlformats.org/officeDocument/2006/relationships/hyperlink" Id="rId143" Target="https://doi.org/10.3354/meps11923" TargetMode="External" /><Relationship Type="http://schemas.openxmlformats.org/officeDocument/2006/relationships/hyperlink" Id="rId99" Target="https://doi.org/10.3354/meps147277" TargetMode="External" /><Relationship Type="http://schemas.openxmlformats.org/officeDocument/2006/relationships/hyperlink" Id="rId206" Target="https://doi.org/10.3354/meps322099" TargetMode="External" /><Relationship Type="http://schemas.openxmlformats.org/officeDocument/2006/relationships/hyperlink" Id="rId89" Target="https://doi.org/10.3389/fevo.2023.1070266" TargetMode="External" /><Relationship Type="http://schemas.openxmlformats.org/officeDocument/2006/relationships/hyperlink" Id="rId231" Target="https://doi.org/10.3389/fevo.2023.1134069" TargetMode="External" /><Relationship Type="http://schemas.openxmlformats.org/officeDocument/2006/relationships/hyperlink" Id="rId139" Target="https://doi.org/10.3389/fmars.2022.767440" TargetMode="External" /><Relationship Type="http://schemas.openxmlformats.org/officeDocument/2006/relationships/hyperlink" Id="rId125" Target="https://doi.org/10.3389/fpls.2021.612947" TargetMode="External" /><Relationship Type="http://schemas.openxmlformats.org/officeDocument/2006/relationships/hyperlink" Id="rId81" Target="https://doi.org/10.5281/zenodo.3648664" TargetMode="External" /><Relationship Type="http://schemas.openxmlformats.org/officeDocument/2006/relationships/hyperlink" Id="rId83" Target="https://doi.org/10.5281/zenodo.4319936" TargetMode="External" /><Relationship Type="http://schemas.openxmlformats.org/officeDocument/2006/relationships/hyperlink" Id="rId176" Target="https://drive.google.com/file/d/1-1Jq9vly5EvVwEp698brlBucXjSMDbNn/view?usp=sharing" TargetMode="External" /><Relationship Type="http://schemas.openxmlformats.org/officeDocument/2006/relationships/hyperlink" Id="rId235" Target="https://drive.google.com/file/d/15zetRgrFKkWah9KAY1in7q0so8ywHzkA/view?usp=drive_link" TargetMode="External" /><Relationship Type="http://schemas.openxmlformats.org/officeDocument/2006/relationships/hyperlink" Id="rId161" Target="https://drive.google.com/file/d/19bNEs2qy6z0hXa1IE7OtbFTjqk1LarFN/view?usp=drivesdk" TargetMode="External" /><Relationship Type="http://schemas.openxmlformats.org/officeDocument/2006/relationships/hyperlink" Id="rId221" Target="https://drive.google.com/file/d/1BCviGfLykVX-p1tA3b0306deP3pKMagr/view?usp=drivesdk" TargetMode="External" /><Relationship Type="http://schemas.openxmlformats.org/officeDocument/2006/relationships/hyperlink" Id="rId157" Target="https://drive.google.com/file/d/1KARuSC5fGx05MuT1wiOQFWNXysBokkQl/view?usp=share_link" TargetMode="External" /><Relationship Type="http://schemas.openxmlformats.org/officeDocument/2006/relationships/hyperlink" Id="rId87" Target="https://drive.google.com/file/d/1RsRYmaF9ykxhw3L15YqOI9AE--sog6ib/view?usp=sharing" TargetMode="External" /><Relationship Type="http://schemas.openxmlformats.org/officeDocument/2006/relationships/hyperlink" Id="rId159" Target="https://drive.google.com/file/d/1Z_8L9sYQWSl1hon1tP1Y8zBo7MHQK9zC/view?usp=drivesdk" TargetMode="External" /><Relationship Type="http://schemas.openxmlformats.org/officeDocument/2006/relationships/hyperlink" Id="rId173" Target="https://drive.google.com/file/d/1iXX_JZP5fLS3ORIkFb7WwNYv8HjpHyKw/view?usp=sharing" TargetMode="External" /><Relationship Type="http://schemas.openxmlformats.org/officeDocument/2006/relationships/hyperlink" Id="rId153" Target="https://drive.google.com/file/d/1kZkvuprvsMyN9nPS5PHYvXHyo1KQxKTr/view?usp=drivesdk" TargetMode="External" /><Relationship Type="http://schemas.openxmlformats.org/officeDocument/2006/relationships/hyperlink" Id="rId167" Target="https://drive.google.com/file/d/1sNp3FpjdeOjATZ9nDRRAiXEOqQen9W_p/view?usp=sharing" TargetMode="External" /><Relationship Type="http://schemas.openxmlformats.org/officeDocument/2006/relationships/hyperlink" Id="rId101" Target="https://drive.google.com/file/d/1tUkGW7TRAJ_skWj-UemDVIJnUAsy0ITf/view?usp=drivesdk" TargetMode="External" /><Relationship Type="http://schemas.openxmlformats.org/officeDocument/2006/relationships/hyperlink" Id="rId155"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84"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evidence of climate-related suboptimal conditions for seagrass in a large Gulf coast estuary</dc:title>
  <dc:creator>Marcus W Beck1,✉, Kerry Flaherty-Walia1, Sheila Scolaro1, Maya C Burke1, Bradley T Furman2, David J Karlen3, Chris Pratt3, Chris Anastasiou4, and Edward T Sherwood1</dc:creator>
  <cp:keywords/>
  <dcterms:created xsi:type="dcterms:W3CDTF">2024-02-06T22:19:50Z</dcterms:created>
  <dcterms:modified xsi:type="dcterms:W3CDTF">2024-02-06T22:19:50Z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estuaries-and-coasts.csl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