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3.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 and compounding SLR has elevated salinity and likely stress in other direction. Also, Biscayne Bay and IRL is a lot like OTB, poor flushing for example.</w:t>
      </w:r>
    </w:p>
    <w:bookmarkEnd w:id="25"/>
    <w:bookmarkStart w:id="26" w:name="acknowledgments"/>
    <w:p>
      <w:pPr>
        <w:pStyle w:val="Heading2"/>
      </w:pPr>
      <w:r>
        <w:t xml:space="preserve">Acknowledgments</w:t>
      </w:r>
    </w:p>
    <w:bookmarkEnd w:id="26"/>
    <w:bookmarkStart w:id="4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0" w:name="fig-seagrasschg"/>
          <w:p>
            <w:pPr>
              <w:pStyle w:val="Figure"/>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tblPr>
      <w:tblGrid>
        <w:gridCol w:w="7920"/>
      </w:tblGrid>
      <w:tr>
        <w:tc>
          <w:tcPr/>
          <w:bookmarkStart w:id="34" w:name="fig-saltempraw"/>
          <w:p>
            <w:pPr>
              <w:pStyle w:val="Figure"/>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tblPr>
      <w:tblGrid>
        <w:gridCol w:w="7920"/>
      </w:tblGrid>
      <w:tr>
        <w:tc>
          <w:tcPr/>
          <w:bookmarkStart w:id="38" w:name="fig-concept"/>
          <w:p>
            <w:pPr>
              <w:pStyle w:val="Figure"/>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tblPr>
      <w:tblGrid>
        <w:gridCol w:w="7920"/>
      </w:tblGrid>
      <w:tr>
        <w:tc>
          <w:tcPr/>
          <w:bookmarkStart w:id="42" w:name="fig-kendall"/>
          <w:p>
            <w:pPr>
              <w:pStyle w:val="Figure"/>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tblPr>
      <w:tblGrid>
        <w:gridCol w:w="7920"/>
      </w:tblGrid>
      <w:tr>
        <w:tc>
          <w:tcPr/>
          <w:bookmarkStart w:id="46" w:name="fig-mixeff"/>
          <w:p>
            <w:pPr>
              <w:pStyle w:val="Figure"/>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bookmarkEnd w:id="47"/>
    <w:bookmarkStart w:id="48"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48"/>
    <w:bookmarkStart w:id="59" w:name="references"/>
    <w:p>
      <w:pPr>
        <w:pStyle w:val="Heading2"/>
      </w:pPr>
      <w:r>
        <w:t xml:space="preserve">References</w:t>
      </w:r>
    </w:p>
    <w:bookmarkStart w:id="58" w:name="refs"/>
    <w:bookmarkStart w:id="50"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49">
        <w:r>
          <w:rPr>
            <w:rStyle w:val="Hyperlink"/>
          </w:rPr>
          <w:t xml:space="preserve">https://drive.google.com/file/d/1sNp3FpjdeOjATZ9nDRRAiXEOqQen9W_p/view?usp=sharing</w:t>
        </w:r>
      </w:hyperlink>
      <w:r>
        <w:t xml:space="preserve">.</w:t>
      </w:r>
    </w:p>
    <w:bookmarkEnd w:id="50"/>
    <w:bookmarkStart w:id="52"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51">
        <w:r>
          <w:rPr>
            <w:rStyle w:val="Hyperlink"/>
          </w:rPr>
          <w:t xml:space="preserve">https://doi.org/10.1007/bf02691700</w:t>
        </w:r>
      </w:hyperlink>
      <w:r>
        <w:t xml:space="preserve">.</w:t>
      </w:r>
    </w:p>
    <w:bookmarkEnd w:id="52"/>
    <w:bookmarkStart w:id="54"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53">
        <w:r>
          <w:rPr>
            <w:rStyle w:val="Hyperlink"/>
          </w:rPr>
          <w:t xml:space="preserve">https://doi.org/10.2307/1932688</w:t>
        </w:r>
      </w:hyperlink>
      <w:r>
        <w:t xml:space="preserve">.</w:t>
      </w:r>
    </w:p>
    <w:bookmarkEnd w:id="54"/>
    <w:bookmarkStart w:id="55"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55"/>
    <w:bookmarkStart w:id="57"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56">
        <w:r>
          <w:rPr>
            <w:rStyle w:val="Hyperlink"/>
          </w:rPr>
          <w:t xml:space="preserve">https://doi.org/10.1016/0304-3770(75)90016-9</w:t>
        </w:r>
      </w:hyperlink>
      <w:r>
        <w:t xml:space="preserve">.</w:t>
      </w:r>
    </w:p>
    <w:bookmarkEnd w:id="57"/>
    <w:bookmarkEnd w:id="58"/>
    <w:bookmarkEnd w:id="5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51" Target="https://doi.org/10.1007/bf02691700" TargetMode="External" /><Relationship Type="http://schemas.openxmlformats.org/officeDocument/2006/relationships/hyperlink" Id="rId56" Target="https://doi.org/10.1016/0304-3770(75)90016-9" TargetMode="External" /><Relationship Type="http://schemas.openxmlformats.org/officeDocument/2006/relationships/hyperlink" Id="rId53" Target="https://doi.org/10.2307/1932688" TargetMode="External" /><Relationship Type="http://schemas.openxmlformats.org/officeDocument/2006/relationships/hyperlink" Id="rId49"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51" Target="https://doi.org/10.1007/bf02691700" TargetMode="External" /><Relationship Type="http://schemas.openxmlformats.org/officeDocument/2006/relationships/hyperlink" Id="rId56" Target="https://doi.org/10.1016/0304-3770(75)90016-9" TargetMode="External" /><Relationship Type="http://schemas.openxmlformats.org/officeDocument/2006/relationships/hyperlink" Id="rId53" Target="https://doi.org/10.2307/1932688" TargetMode="External" /><Relationship Type="http://schemas.openxmlformats.org/officeDocument/2006/relationships/hyperlink" Id="rId49"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2023-08-23T20:22:51Z</dcterms:created>
  <dcterms:modified xsi:type="dcterms:W3CDTF">2023-08-23T20:22:51Z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