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driveres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 Management actions with other ecosystem co-benefits are much more effective in estuaries that are stressed but not past critical thresholds that produce an alternative ecosystem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This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necessitating the need to resassess existing management paradigms and adaptively manage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and stormwater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federally-recognized nutrient Total Maximum Daily Load and state Reasonable Assurance determination in Tampa Bay.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Seines were deployed (1) parallel to bay shorelines in shallow waters (&lt;1.5 m) and (2) offshore into the prevailing current at least 5 m from the shoreline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only been used in Tampa Bay since 2003 primarily to support robust statistical assessments for regulatory stormwater permit reporting.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sampling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Transect surveys are typically done in the late summer during peak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1.91 mm per year, although the model was not significant (p = 0.14,</w:t>
      </w:r>
      <w:r>
        <w:t xml:space="preserve"> </w:t>
      </w:r>
      <m:oMath>
        <m:sSup>
          <m:e>
            <m:r>
              <m:t>R</m:t>
            </m:r>
          </m:e>
          <m:sup>
            <m:r>
              <m:t>2</m:t>
            </m:r>
          </m:sup>
        </m:sSup>
      </m:oMath>
      <w:r>
        <w:t xml:space="preserve"> </w:t>
      </w:r>
      <w:r>
        <w:t xml:space="preserve">0.03). Removing September from the rainy season showed a significantly increasing trend of 2.4 mm per year (p &lt; 0.05,</w:t>
      </w:r>
      <w:r>
        <w:t xml:space="preserve"> </w:t>
      </w:r>
      <m:oMath>
        <m:sSup>
          <m:e>
            <m:r>
              <m:t>R</m:t>
            </m:r>
          </m:e>
          <m:sup>
            <m:r>
              <m:t>2</m:t>
            </m:r>
          </m:sup>
        </m:sSup>
      </m:oMath>
      <w:r>
        <w:t xml:space="preserve"> </w:t>
      </w:r>
      <w:r>
        <w:t xml:space="preserve">= 0.07). Using this model, total precipitation in 1975 was 559.1 (+/-30.72 st. err.) mm, whereas current total precipitation in 2022 was 671.7 (+/-30.72 st. err.) mm, showing an overall increase in the period of record of 112.7 mm. Increasing trends in total annual hydrologic load from 1985 to present mirrored total annual precipitation, although the linear model was not significant.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 As expected, intra-annual variability of water temperature was much higher than salinity consistent with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Four models were significant for OTB, seven for HB, four for MTB, and none for LTB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direction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 (i.e., no interactions of bay segments with the other predictors were in the original models).</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 FIM model also used water quality measurements collected at the same locations where seagrasses were observed, whereas the EPC model provided a general characterization of seagrass transect data with water quality at stations farther from shore.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imply that these conditions are likely to become more stressful in the future, further confounding seagrass recovery efforts in the region. Moreover, the GAMs used to model continuous temperature and salinity at each EPC monitoring station likely did not fully describe the current extent of stress given that extreme low or high values were not often captured by the daily modeled predictions (Figure S5). Regardless of the above limitations, climate stressors are likely to affect Tampa Bay’s seagrass ecology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external nitrogen inputs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PDEM and FIM datasets where temperature and salinity were measured at the same locations as seagrass. For example, temperature may simply be higher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and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less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 primarily due to wastewater load allocations being constrained to the historical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hydrologic load,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59" w:name="references"/>
    <w:p>
      <w:pPr>
        <w:pStyle w:val="Heading2"/>
      </w:pPr>
      <w:r>
        <w:t xml:space="preserve">References</w:t>
      </w:r>
    </w:p>
    <w:bookmarkStart w:id="25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bison20"/>
    <w:p>
      <w:pPr>
        <w:pStyle w:val="Bibliography"/>
      </w:pPr>
      <w:r>
        <w:t xml:space="preserve">Robison, D., T. Ries, J. Saarinen, D. A. Tomasko, and C. Sciarrino. 2020.</w:t>
      </w:r>
      <w:r>
        <w:t xml:space="preserve"> </w:t>
      </w:r>
      <w:hyperlink r:id="rId204">
        <w:r>
          <w:rPr>
            <w:rStyle w:val="Hyperlink"/>
            <w:iCs/>
            <w:i/>
          </w:rPr>
          <w:t xml:space="preserve">Tampa Bay Estuary Program: 2020 Habitat Master Plan Update</w:t>
        </w:r>
      </w:hyperlink>
      <w:r>
        <w:t xml:space="preserve">. Technical report. Tampa Bay Estuary Program, St. Petersburg, Florida.</w:t>
      </w:r>
    </w:p>
    <w:bookmarkEnd w:id="205"/>
    <w:bookmarkStart w:id="207"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6">
        <w:r>
          <w:rPr>
            <w:rStyle w:val="Hyperlink"/>
          </w:rPr>
          <w:t xml:space="preserve">https://doi.org/10.1016/j.ecolind.2015.12.007</w:t>
        </w:r>
      </w:hyperlink>
      <w:r>
        <w:t xml:space="preserve">.</w:t>
      </w:r>
    </w:p>
    <w:bookmarkEnd w:id="207"/>
    <w:bookmarkStart w:id="208"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8"/>
    <w:bookmarkStart w:id="210"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9">
        <w:r>
          <w:rPr>
            <w:rStyle w:val="Hyperlink"/>
          </w:rPr>
          <w:t xml:space="preserve">https://doi.org/10.1007/bf02691345</w:t>
        </w:r>
      </w:hyperlink>
      <w:r>
        <w:t xml:space="preserve">.</w:t>
      </w:r>
    </w:p>
    <w:bookmarkEnd w:id="210"/>
    <w:bookmarkStart w:id="212"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11">
        <w:r>
          <w:rPr>
            <w:rStyle w:val="Hyperlink"/>
          </w:rPr>
          <w:t xml:space="preserve">https://doi.org/10.1016/j.ecolind.2020.107310</w:t>
        </w:r>
      </w:hyperlink>
      <w:r>
        <w:t xml:space="preserve">.</w:t>
      </w:r>
    </w:p>
    <w:bookmarkEnd w:id="212"/>
    <w:bookmarkStart w:id="213"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3"/>
    <w:bookmarkStart w:id="215"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4">
        <w:r>
          <w:rPr>
            <w:rStyle w:val="Hyperlink"/>
          </w:rPr>
          <w:t xml:space="preserve">https://doi.org/10.1007/s00267-013-0179-5</w:t>
        </w:r>
      </w:hyperlink>
      <w:r>
        <w:t xml:space="preserve">.</w:t>
      </w:r>
    </w:p>
    <w:bookmarkEnd w:id="215"/>
    <w:bookmarkStart w:id="217" w:name="ref-sherwood2015"/>
    <w:p>
      <w:pPr>
        <w:pStyle w:val="Bibliography"/>
      </w:pPr>
      <w:r>
        <w:t xml:space="preserve">Sherwood, E. T., H. S. Greening, L. Garcia, K. Kaufman, T. Janicki, R. Pribble, B. Cunningham, et al. 2015.</w:t>
      </w:r>
      <w:r>
        <w:t xml:space="preserve"> </w:t>
      </w:r>
      <w:hyperlink r:id="rId216">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7"/>
    <w:bookmarkStart w:id="219"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8">
        <w:r>
          <w:rPr>
            <w:rStyle w:val="Hyperlink"/>
          </w:rPr>
          <w:t xml:space="preserve">https://doi.org/10.1016/j.rsma.2015.05.005</w:t>
        </w:r>
      </w:hyperlink>
      <w:r>
        <w:t xml:space="preserve">.</w:t>
      </w:r>
    </w:p>
    <w:bookmarkEnd w:id="219"/>
    <w:bookmarkStart w:id="221"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20">
        <w:r>
          <w:rPr>
            <w:rStyle w:val="Hyperlink"/>
          </w:rPr>
          <w:t xml:space="preserve">https://doi.org/10.1353/sgo.2017.0026</w:t>
        </w:r>
      </w:hyperlink>
      <w:r>
        <w:t xml:space="preserve">.</w:t>
      </w:r>
    </w:p>
    <w:bookmarkEnd w:id="221"/>
    <w:bookmarkStart w:id="223"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2">
        <w:r>
          <w:rPr>
            <w:rStyle w:val="Hyperlink"/>
          </w:rPr>
          <w:t xml:space="preserve">https://doi.org/10.21203/rs.3.rs-3528678/v1</w:t>
        </w:r>
      </w:hyperlink>
      <w:r>
        <w:t xml:space="preserve">.</w:t>
      </w:r>
    </w:p>
    <w:bookmarkEnd w:id="223"/>
    <w:bookmarkStart w:id="225"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4">
        <w:r>
          <w:rPr>
            <w:rStyle w:val="Hyperlink"/>
          </w:rPr>
          <w:t xml:space="preserve">https://doi.org/10.1016/j.scitotenv.2011.09.088</w:t>
        </w:r>
      </w:hyperlink>
      <w:r>
        <w:t xml:space="preserve">.</w:t>
      </w:r>
    </w:p>
    <w:bookmarkEnd w:id="225"/>
    <w:bookmarkStart w:id="227"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6">
        <w:r>
          <w:rPr>
            <w:rStyle w:val="Hyperlink"/>
          </w:rPr>
          <w:t xml:space="preserve">https://doi.org/10.3389/fevo.2023.1134069</w:t>
        </w:r>
      </w:hyperlink>
      <w:r>
        <w:t xml:space="preserve">.</w:t>
      </w:r>
    </w:p>
    <w:bookmarkEnd w:id="227"/>
    <w:bookmarkStart w:id="229"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8">
        <w:r>
          <w:rPr>
            <w:rStyle w:val="Hyperlink"/>
          </w:rPr>
          <w:t xml:space="preserve">https://doi.org/10.1016/j.rsma.2015.11.010</w:t>
        </w:r>
      </w:hyperlink>
      <w:r>
        <w:t xml:space="preserve">.</w:t>
      </w:r>
    </w:p>
    <w:bookmarkEnd w:id="229"/>
    <w:bookmarkStart w:id="231" w:name="ref-tbep0923"/>
    <w:p>
      <w:pPr>
        <w:pStyle w:val="Bibliography"/>
      </w:pPr>
      <w:r>
        <w:t xml:space="preserve">Todd, A., H. Walsh, and J. Neville. 2023.</w:t>
      </w:r>
      <w:r>
        <w:t xml:space="preserve"> </w:t>
      </w:r>
      <w:hyperlink r:id="rId230">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31"/>
    <w:bookmarkStart w:id="232"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2"/>
    <w:bookmarkStart w:id="234"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3">
        <w:r>
          <w:rPr>
            <w:rStyle w:val="Hyperlink"/>
          </w:rPr>
          <w:t xml:space="preserve">https://doi.org/10.1016/j.marpolbul.2020.111247</w:t>
        </w:r>
      </w:hyperlink>
      <w:r>
        <w:t xml:space="preserve">.</w:t>
      </w:r>
    </w:p>
    <w:bookmarkEnd w:id="234"/>
    <w:bookmarkStart w:id="236"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5">
        <w:r>
          <w:rPr>
            <w:rStyle w:val="Hyperlink"/>
          </w:rPr>
          <w:t xml:space="preserve">https://doi.org/10.1002/nt.2620020503</w:t>
        </w:r>
      </w:hyperlink>
      <w:r>
        <w:t xml:space="preserve">.</w:t>
      </w:r>
    </w:p>
    <w:bookmarkEnd w:id="236"/>
    <w:bookmarkStart w:id="238"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7">
        <w:r>
          <w:rPr>
            <w:rStyle w:val="Hyperlink"/>
          </w:rPr>
          <w:t xml:space="preserve">https://doi.org/10.1002/lol2.10098</w:t>
        </w:r>
      </w:hyperlink>
      <w:r>
        <w:t xml:space="preserve">.</w:t>
      </w:r>
    </w:p>
    <w:bookmarkEnd w:id="238"/>
    <w:bookmarkStart w:id="240"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9">
        <w:r>
          <w:rPr>
            <w:rStyle w:val="Hyperlink"/>
          </w:rPr>
          <w:t xml:space="preserve">https://doi.org/10.1146/annurev.es.03.110172.000543</w:t>
        </w:r>
      </w:hyperlink>
      <w:r>
        <w:t xml:space="preserve">.</w:t>
      </w:r>
    </w:p>
    <w:bookmarkEnd w:id="240"/>
    <w:bookmarkStart w:id="242"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41">
        <w:r>
          <w:rPr>
            <w:rStyle w:val="Hyperlink"/>
          </w:rPr>
          <w:t xml:space="preserve">https://doi.org/10.1007/978-0-387-21706-2</w:t>
        </w:r>
      </w:hyperlink>
      <w:r>
        <w:t xml:space="preserve">.</w:t>
      </w:r>
    </w:p>
    <w:bookmarkEnd w:id="242"/>
    <w:bookmarkStart w:id="244"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3">
        <w:r>
          <w:rPr>
            <w:rStyle w:val="Hyperlink"/>
          </w:rPr>
          <w:t xml:space="preserve">https://doi.org/10.1073/pnas.0905620106</w:t>
        </w:r>
      </w:hyperlink>
      <w:r>
        <w:t xml:space="preserve">.</w:t>
      </w:r>
    </w:p>
    <w:bookmarkEnd w:id="244"/>
    <w:bookmarkStart w:id="246"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5">
        <w:r>
          <w:rPr>
            <w:rStyle w:val="Hyperlink"/>
          </w:rPr>
          <w:t xml:space="preserve">https://doi.org/10.1111/1365-2745.13648</w:t>
        </w:r>
      </w:hyperlink>
      <w:r>
        <w:t xml:space="preserve">.</w:t>
      </w:r>
    </w:p>
    <w:bookmarkEnd w:id="246"/>
    <w:bookmarkStart w:id="248"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7">
        <w:r>
          <w:rPr>
            <w:rStyle w:val="Hyperlink"/>
          </w:rPr>
          <w:t xml:space="preserve">https://doi.org/10.1029/2005jc003067</w:t>
        </w:r>
      </w:hyperlink>
      <w:r>
        <w:t xml:space="preserve">.</w:t>
      </w:r>
    </w:p>
    <w:bookmarkEnd w:id="248"/>
    <w:bookmarkStart w:id="25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9">
        <w:r>
          <w:rPr>
            <w:rStyle w:val="Hyperlink"/>
          </w:rPr>
          <w:t xml:space="preserve">https://doi.org/10.1002/ehs2.1258</w:t>
        </w:r>
      </w:hyperlink>
      <w:r>
        <w:t xml:space="preserve">.</w:t>
      </w:r>
    </w:p>
    <w:bookmarkEnd w:id="250"/>
    <w:bookmarkStart w:id="25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51"/>
    <w:bookmarkStart w:id="25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2">
        <w:r>
          <w:rPr>
            <w:rStyle w:val="Hyperlink"/>
          </w:rPr>
          <w:t xml:space="preserve">https://doi.org/10.1016/j.marpolbul.2023.115043</w:t>
        </w:r>
      </w:hyperlink>
      <w:r>
        <w:t xml:space="preserve">.</w:t>
      </w:r>
    </w:p>
    <w:bookmarkEnd w:id="253"/>
    <w:bookmarkStart w:id="25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4">
        <w:r>
          <w:rPr>
            <w:rStyle w:val="Hyperlink"/>
          </w:rPr>
          <w:t xml:space="preserve">https://doi.org/10.1016/0304-3770(75)90016-9</w:t>
        </w:r>
      </w:hyperlink>
      <w:r>
        <w:t xml:space="preserve">.</w:t>
      </w:r>
    </w:p>
    <w:bookmarkEnd w:id="255"/>
    <w:bookmarkStart w:id="25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6">
        <w:r>
          <w:rPr>
            <w:rStyle w:val="Hyperlink"/>
          </w:rPr>
          <w:t xml:space="preserve">https://doi.org/10.1007/978-0-387-87458-6</w:t>
        </w:r>
      </w:hyperlink>
      <w:r>
        <w:t xml:space="preserve">.</w:t>
      </w:r>
    </w:p>
    <w:bookmarkEnd w:id="257"/>
    <w:bookmarkEnd w:id="258"/>
    <w:bookmarkEnd w:id="25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7" Target="https://doi.org/10.1002/lol2.10098" TargetMode="External" /><Relationship Type="http://schemas.openxmlformats.org/officeDocument/2006/relationships/hyperlink" Id="rId235" Target="https://doi.org/10.1002/nt.2620020503" TargetMode="External" /><Relationship Type="http://schemas.openxmlformats.org/officeDocument/2006/relationships/hyperlink" Id="rId241" Target="https://doi.org/10.1007/978-0-387-21706-2" TargetMode="External" /><Relationship Type="http://schemas.openxmlformats.org/officeDocument/2006/relationships/hyperlink" Id="rId256" Target="https://doi.org/10.1007/978-0-387-87458-6" TargetMode="External" /><Relationship Type="http://schemas.openxmlformats.org/officeDocument/2006/relationships/hyperlink" Id="rId209"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4"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4"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6" Target="https://doi.org/10.1016/j.ecolind.2015.12.007" TargetMode="External" /><Relationship Type="http://schemas.openxmlformats.org/officeDocument/2006/relationships/hyperlink" Id="rId211"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3"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2"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8" Target="https://doi.org/10.1016/j.rsma.2015.05.005" TargetMode="External" /><Relationship Type="http://schemas.openxmlformats.org/officeDocument/2006/relationships/hyperlink" Id="rId228" Target="https://doi.org/10.1016/j.rsma.2015.11.010" TargetMode="External" /><Relationship Type="http://schemas.openxmlformats.org/officeDocument/2006/relationships/hyperlink" Id="rId224"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7"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3"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5"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9" Target="https://doi.org/10.1146/annurev.es.03.110172.000543" TargetMode="External" /><Relationship Type="http://schemas.openxmlformats.org/officeDocument/2006/relationships/hyperlink" Id="rId220"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2"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6"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30"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6" Target="https://drive.google.com/file/d/1BCviGfLykVX-p1tA3b0306deP3pKMagr/view?usp=drivesdk" TargetMode="External" /><Relationship Type="http://schemas.openxmlformats.org/officeDocument/2006/relationships/hyperlink" Id="rId204" Target="https://drive.google.com/file/d/1Hp0l_qtbxp1JxKJoGatdyuANSzQrpL0I/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7" Target="https://doi.org/10.1002/lol2.10098" TargetMode="External" /><Relationship Type="http://schemas.openxmlformats.org/officeDocument/2006/relationships/hyperlink" Id="rId235" Target="https://doi.org/10.1002/nt.2620020503" TargetMode="External" /><Relationship Type="http://schemas.openxmlformats.org/officeDocument/2006/relationships/hyperlink" Id="rId241" Target="https://doi.org/10.1007/978-0-387-21706-2" TargetMode="External" /><Relationship Type="http://schemas.openxmlformats.org/officeDocument/2006/relationships/hyperlink" Id="rId256" Target="https://doi.org/10.1007/978-0-387-87458-6" TargetMode="External" /><Relationship Type="http://schemas.openxmlformats.org/officeDocument/2006/relationships/hyperlink" Id="rId209"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4"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4"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6" Target="https://doi.org/10.1016/j.ecolind.2015.12.007" TargetMode="External" /><Relationship Type="http://schemas.openxmlformats.org/officeDocument/2006/relationships/hyperlink" Id="rId211"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3"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2"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8" Target="https://doi.org/10.1016/j.rsma.2015.05.005" TargetMode="External" /><Relationship Type="http://schemas.openxmlformats.org/officeDocument/2006/relationships/hyperlink" Id="rId228" Target="https://doi.org/10.1016/j.rsma.2015.11.010" TargetMode="External" /><Relationship Type="http://schemas.openxmlformats.org/officeDocument/2006/relationships/hyperlink" Id="rId224"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7"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3"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5"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9" Target="https://doi.org/10.1146/annurev.es.03.110172.000543" TargetMode="External" /><Relationship Type="http://schemas.openxmlformats.org/officeDocument/2006/relationships/hyperlink" Id="rId220"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2"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6"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30"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6" Target="https://drive.google.com/file/d/1BCviGfLykVX-p1tA3b0306deP3pKMagr/view?usp=drivesdk" TargetMode="External" /><Relationship Type="http://schemas.openxmlformats.org/officeDocument/2006/relationships/hyperlink" Id="rId204" Target="https://drive.google.com/file/d/1Hp0l_qtbxp1JxKJoGatdyuANSzQrpL0I/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2024-01-26T20:57:40Z</dcterms:created>
  <dcterms:modified xsi:type="dcterms:W3CDTF">2024-01-26T20:57:40Z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