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FC664" w14:textId="77777777" w:rsidR="00472C87" w:rsidRDefault="00000000">
      <w:pPr>
        <w:pStyle w:val="Title"/>
      </w:pPr>
      <w:r>
        <w:t>Hot and fresh: evidence of climate-related suboptimal water conditions for seagrass in a large Gulf coast estuary</w:t>
      </w:r>
    </w:p>
    <w:p w14:paraId="683AB1F5" w14:textId="77777777" w:rsidR="00472C87" w:rsidRDefault="00000000">
      <w:pPr>
        <w:pStyle w:val="Author"/>
      </w:pPr>
      <w:r>
        <w:t>Marcus W Beck</w:t>
      </w:r>
      <w:r>
        <w:rPr>
          <w:vertAlign w:val="superscript"/>
        </w:rPr>
        <w:t>1,✉</w:t>
      </w:r>
      <w:r>
        <w:t>, Kerry Flaherty-Walia</w:t>
      </w:r>
      <w:r>
        <w:rPr>
          <w:vertAlign w:val="superscript"/>
        </w:rPr>
        <w:t>1</w:t>
      </w:r>
      <w:r>
        <w:t>, Sheila Scolaro</w:t>
      </w:r>
      <w:r>
        <w:rPr>
          <w:vertAlign w:val="superscript"/>
        </w:rPr>
        <w:t>1</w:t>
      </w:r>
      <w:r>
        <w:t>, Maya C Burke</w:t>
      </w:r>
      <w:r>
        <w:rPr>
          <w:vertAlign w:val="superscript"/>
        </w:rPr>
        <w:t>1</w:t>
      </w:r>
      <w:r>
        <w:t>, Bradley T Furman</w:t>
      </w:r>
      <w:r>
        <w:rPr>
          <w:vertAlign w:val="superscript"/>
        </w:rPr>
        <w:t>2</w:t>
      </w:r>
      <w:r>
        <w:t>, David J Karlen</w:t>
      </w:r>
      <w:r>
        <w:rPr>
          <w:vertAlign w:val="superscript"/>
        </w:rPr>
        <w:t>3</w:t>
      </w:r>
      <w:r>
        <w:t>, Christopher Pratt</w:t>
      </w:r>
      <w:r>
        <w:rPr>
          <w:vertAlign w:val="superscript"/>
        </w:rPr>
        <w:t>3</w:t>
      </w:r>
      <w:r>
        <w:t>, Christopher J Anastasiou</w:t>
      </w:r>
      <w:r>
        <w:rPr>
          <w:vertAlign w:val="superscript"/>
        </w:rPr>
        <w:t>4</w:t>
      </w:r>
      <w:r>
        <w:t>, and Edward T Sherwood</w:t>
      </w:r>
      <w:r>
        <w:rPr>
          <w:vertAlign w:val="superscript"/>
        </w:rPr>
        <w:t>1</w:t>
      </w:r>
    </w:p>
    <w:p w14:paraId="2EC9F6B8" w14:textId="77777777" w:rsidR="00472C87" w:rsidRDefault="00000000">
      <w:pPr>
        <w:pStyle w:val="FirstParagraph"/>
      </w:pPr>
      <w:r>
        <w:rPr>
          <w:vertAlign w:val="superscript"/>
        </w:rPr>
        <w:t>1</w:t>
      </w:r>
      <w:r>
        <w:t xml:space="preserve"> Tampa Bay Estuary Program, 263 13th Ave S., Suite 350, St. Petersburg, Florida 33701 USA</w:t>
      </w:r>
      <w:r>
        <w:br/>
      </w:r>
      <w:r>
        <w:rPr>
          <w:vertAlign w:val="superscript"/>
        </w:rPr>
        <w:t>2</w:t>
      </w:r>
      <w:r>
        <w:t xml:space="preserve"> Florida Fish and Wildlife Conservation Commission, Florida Fish and Wildlife Research Institute, 100 8th Avenue SE, St. Petersburg, FL 33701, USA</w:t>
      </w:r>
      <w:r>
        <w:br/>
      </w:r>
      <w:r>
        <w:rPr>
          <w:vertAlign w:val="superscript"/>
        </w:rPr>
        <w:t>3</w:t>
      </w:r>
      <w:r>
        <w:t xml:space="preserve"> Environmental Protection Commission of Hillsborough County, 3629 Queen Palm Drive, Tampa, FL 33619, USA</w:t>
      </w:r>
      <w:r>
        <w:br/>
      </w:r>
      <w:r>
        <w:rPr>
          <w:vertAlign w:val="superscript"/>
        </w:rPr>
        <w:t>4</w:t>
      </w:r>
      <w:r>
        <w:t xml:space="preserve"> Southwest Florida Water Management District, 7601 US Highway 301 North, Tampa, FL 33637, USA</w:t>
      </w:r>
    </w:p>
    <w:p w14:paraId="150ACE35" w14:textId="77777777" w:rsidR="00472C87" w:rsidRDefault="00000000">
      <w:pPr>
        <w:pStyle w:val="BodyText"/>
      </w:pPr>
      <w:r>
        <w:rPr>
          <w:vertAlign w:val="superscript"/>
        </w:rPr>
        <w:t>✉</w:t>
      </w:r>
      <w:r>
        <w:t xml:space="preserve"> Correspondence: </w:t>
      </w:r>
      <w:hyperlink r:id="rId7">
        <w:r>
          <w:rPr>
            <w:rStyle w:val="Hyperlink"/>
          </w:rPr>
          <w:t>Marcus W Beck &lt;mbeck@tbep.org&gt;</w:t>
        </w:r>
      </w:hyperlink>
    </w:p>
    <w:p w14:paraId="5A95872B" w14:textId="77777777" w:rsidR="00472C87" w:rsidRDefault="00000000">
      <w:pPr>
        <w:pStyle w:val="Heading2"/>
      </w:pPr>
      <w:bookmarkStart w:id="0" w:name="abstract"/>
      <w:r>
        <w:t>Abstract</w:t>
      </w:r>
    </w:p>
    <w:p w14:paraId="356F5423" w14:textId="77777777" w:rsidR="00472C87" w:rsidRDefault="00000000">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w:t>
      </w:r>
      <w:r>
        <w:lastRenderedPageBreak/>
        <w:t xml:space="preserve">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and salinity decreasing by 0.04 - 0.06 ppt per year, translating to an increase of 1.3 to 1.7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a decrease of 1.6 to 2.6 ppt over the last fifty years. Additionally, the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14:paraId="0AFBA28D" w14:textId="77777777" w:rsidR="00472C87" w:rsidRDefault="00000000">
      <w:pPr>
        <w:pStyle w:val="BodyText"/>
      </w:pPr>
      <w:r>
        <w:rPr>
          <w:i/>
          <w:iCs/>
        </w:rPr>
        <w:t>Key words</w:t>
      </w:r>
      <w:r>
        <w:t>: climate change; seagrass; salinity; temperature; Tampa Bay</w:t>
      </w:r>
    </w:p>
    <w:p w14:paraId="7297BAE9" w14:textId="77777777" w:rsidR="00472C87" w:rsidRDefault="00000000">
      <w:r>
        <w:br w:type="page"/>
      </w:r>
    </w:p>
    <w:p w14:paraId="41EA659F" w14:textId="77777777" w:rsidR="00472C87" w:rsidRDefault="00000000">
      <w:pPr>
        <w:pStyle w:val="Heading2"/>
      </w:pPr>
      <w:bookmarkStart w:id="1" w:name="introduction"/>
      <w:bookmarkEnd w:id="0"/>
      <w:r>
        <w:lastRenderedPageBreak/>
        <w:t>1 Introduction</w:t>
      </w:r>
    </w:p>
    <w:p w14:paraId="58494AAB" w14:textId="77777777" w:rsidR="00472C87" w:rsidRDefault="00000000">
      <w:pPr>
        <w:pStyle w:val="FirstParagraph"/>
      </w:pPr>
      <w:r>
        <w:t>The monitoring and management of seagrasses in coastal environments has received substantial attention on a global scale. Seagrasses are fundamental indicators of coastal ecosystem health (Roca et al. 2016; Orth et al. 2017), while also serving as foundational species that provide numerous ecosystem services (Fourqurean et al. 2012; Orth et al. 2020; Orth and Heck 2023). Seagrasses have been in global decline with rapid development of coastal environments, particularly in the latter half of the 20th century with accelerating losses estimated at a rate of 110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yr</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since the 1980s (Waycott et al. 2009; Dunic et al. 2021). These losses are comparable to, if not more significant than, other interconnected critical coastal environments such as mangroves and salt marshes (Duarte et al. 2008), which threatens the natural and economic services that these habitats provide. Losses have been attributed to numerous stressors including decline in light environments with nutrient enrichment, sedimentation, and physical disturbance primarily from human activities (Duarte 1995; Margaret O. Hall et al. 1999; Orth et al. 2006; Burkholder et al. 2007). Furthermore, natural disturbances such as storm events and disease have also been implicated (Robblee et al. 1991; Tomasko et al. 2020). Contemporary management actions aimed at mitigating loss and ultimately supporting restoration require adaptive approaches to address the effects of multiple stressors that have contributed to seagrass decline (Dunic and Côté 2023).</w:t>
      </w:r>
    </w:p>
    <w:p w14:paraId="0EC26E05" w14:textId="77777777" w:rsidR="00472C87" w:rsidRDefault="00000000">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 (Boesch et al. 2001; Greening and Janicki 2006; Greening et al. </w:t>
      </w:r>
      <w:r>
        <w:lastRenderedPageBreak/>
        <w:t>2014; Han and Liu 2014). There are limited examples of successful recovery of seagrass through control of nutrient inputs alone, primarily because of the difficulty in identifying and regulating both point and diffuse non-point sources. Notable exceptions include Tampa Bay on the west coast of Florida (Greening et al. 2014) and the much larger Chesapeake Bay on the east Atlantic US coast (Lefcheck et al. 2018), where both showed significant increase in seagrass areal coverage through sustained and long-term reductions in external nutrient loads. Cooperation among management, regulatory, public, and private sectors were critical aspects of both examples (Sherwood et al. 2016; Tango and Batiuk 2016). In other cases, the reversal of seagrass losses through nutrient reductions alone may not be possible because of system hysteresis, where the path to recovery is not the same as the path to decline (Maxwell et al. 2016). Complementary management actions, in addition to nutrient reductions, are needed in these situations.</w:t>
      </w:r>
    </w:p>
    <w:p w14:paraId="54037EDF" w14:textId="77777777" w:rsidR="00472C87" w:rsidRDefault="00000000">
      <w:pPr>
        <w:pStyle w:val="BodyText"/>
      </w:pPr>
      <w:r>
        <w:t xml:space="preserve">Climate change has complicated the understanding of ecosystem response to conventional stressors, presenting new challenges and expectations for how ecological resources will respond to management actions (Statham 2012; Sherwood and Greening 2013).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 (Madeira et al. 2012; Lefcheck et al. 2017; Hammer et al. 2018; Hensel et al. 2023). Lefcheck et al. (2017) 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 Moreno-Marín et al. (2018) produced similar results using a multifactorial </w:t>
      </w:r>
      <w:r>
        <w:lastRenderedPageBreak/>
        <w:t>experiment that considered temperature, light, and nutrient (nitrogen) availability for North Sea eelgrass (</w:t>
      </w:r>
      <w:r>
        <w:rPr>
          <w:i/>
          <w:iCs/>
        </w:rPr>
        <w:t>Zostera marina</w:t>
      </w:r>
      <w:r>
        <w:t>). Species shifts are also expected to occur as changing physical conditions decrease the competitive advantages of historically abundant species. In Chesapeake Bay, the abundance of widgeongrass (</w:t>
      </w:r>
      <w:r>
        <w:rPr>
          <w:i/>
          <w:iCs/>
        </w:rPr>
        <w:t>Ruppia maritima</w:t>
      </w:r>
      <w:r>
        <w:t>) has responded positively to nutrient reduction and is replacing the formerly dominant but now heat-stressed (</w:t>
      </w:r>
      <w:r>
        <w:rPr>
          <w:i/>
          <w:iCs/>
        </w:rPr>
        <w:t>Z. marina</w:t>
      </w:r>
      <w:r>
        <w:t>, Hensel et al. 2023). Changing frequency and severity of precipitation patterns may further alter salinity regimes and with it the distribution and abundance of seagrasses throughout the estuary (Rasheed and Unsworth 2011; Webster et al. 2021).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 (Margaret O. Hall et al. 2016; Lefcheck et al. 2017; Zhang et al. 2023), suggesting place-based empirical assessments will be needed to properly inform management decisions.</w:t>
      </w:r>
    </w:p>
    <w:p w14:paraId="25270EAD" w14:textId="77777777" w:rsidR="00472C87" w:rsidRDefault="00000000">
      <w:pPr>
        <w:pStyle w:val="BodyText"/>
      </w:pPr>
      <w:r>
        <w:t xml:space="preserve">In Tampa Bay, Florida, seagrasses are a primary indicator of bay health and have been the focus of management efforts for the last thirty years (Sherwood et al. 2017). Through successful reduction of external nitrogen loads, seagrasses have recovered from a low, system-wide coverage in the 1980s to an all-time high in 2016 of 41,655 acres (16,857 ha, Greening and Janicki 2006; Greening et al. 2014). Seagrass distribution and abundance has been dynamic throughout this period, overall responding positively to increases in water clarity with nutrient load reductions, while also demonstrating more short-term variability in response to regional climate events (Greening and Janicki 2006). Since 2016, seagrass areal cover has decreased by nearly 1/3 despite relatively stable water quality (A. J. Janicki and Wade 1996; Beck 2020a). Factors that have influenced this recent decline are unknown and the effects of climate change </w:t>
      </w:r>
      <w:r>
        <w:lastRenderedPageBreak/>
        <w:t>drivers on physical water quality conditions have been implicated as potential stressors. Following global trends, recent work has demonstrated a broad long-term trend of increasing water temperature in Tampa Bay, although at a relatively coarse scale (Nickerson et al. 2023).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14:paraId="666AB845" w14:textId="77777777" w:rsidR="00472C87" w:rsidRDefault="00000000">
      <w:pPr>
        <w:pStyle w:val="BodyText"/>
      </w:pPr>
      <w:r>
        <w:t>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 (e.g., Costa et al. 2023),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p w14:paraId="272C1C77" w14:textId="77777777" w:rsidR="00472C87" w:rsidRDefault="00000000">
      <w:pPr>
        <w:pStyle w:val="Heading2"/>
      </w:pPr>
      <w:bookmarkStart w:id="2" w:name="methods"/>
      <w:bookmarkEnd w:id="1"/>
      <w:r>
        <w:lastRenderedPageBreak/>
        <w:t>2 Methods</w:t>
      </w:r>
    </w:p>
    <w:p w14:paraId="624CBC33" w14:textId="77777777" w:rsidR="00472C87" w:rsidRDefault="00000000">
      <w:pPr>
        <w:pStyle w:val="Heading3"/>
      </w:pPr>
      <w:bookmarkStart w:id="3" w:name="study-area"/>
      <w:r>
        <w:t>2.1 Study area</w:t>
      </w:r>
    </w:p>
    <w:p w14:paraId="34DCC87F" w14:textId="77777777" w:rsidR="00472C87" w:rsidRDefault="00000000">
      <w:pPr>
        <w:pStyle w:val="FirstParagraph"/>
      </w:pPr>
      <w:r>
        <w:t>Tampa Bay is the largest open-water estuary in Florida covering 400 mi</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(1,036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and the second largest in the Gulf of Mexico. The watershed covers an additional 2,200 mi</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(5,872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with the Hillsborough, Alafia, Manatee, and Little Manatee rivers that contribute to a majority of freshwater inflow to the bay. The climate of Tampa Bay is subtropical with warm humid summers and cool less humid winters (Garcia et al. 2023). Unique to Tampa Bay and the entire central Florida peninsula is that this region is within a transition zone from more temperate weather to the north, similar to the rest of the southeastern United States, and more tropical weather to the south (Morrison et al. 2006). El Niño weather events have also been associated with prolonged periods of heavy rainfall contributing to seagrass reductions through increased stormwater nutrient loads (Schmidt and Luther 2002; Greening and Janicki 2006; Morrison et al. 2006). The watershed is heavily developed and includes over 3 million people (Todd et al. 2023) with 42% of the land as urban or suburban contributing substantial inputs of wastewater and stormwater runoff that can stress bay resources (Beck et al. 2023). The geology of the watershed is rich in phosphates and mining activities have greatly altered the landscape, with notable spills and releases of wastewater that have affected water quality and biological resources (Garrett et al. 2011; Beck et al. 2022).</w:t>
      </w:r>
    </w:p>
    <w:p w14:paraId="15046D0E" w14:textId="77777777" w:rsidR="00472C87" w:rsidRDefault="00000000">
      <w:pPr>
        <w:pStyle w:val="BodyText"/>
      </w:pPr>
      <w:r>
        <w:t xml:space="preserve">Tampa Bay is divided into distinct sub-segments defined by physical and natural boundaries to assist with water quality management activities (Lewis III et al. 1985): Old Tampa Bay (OTB) in the northwest; Hillsborough Bay (HB) in the northeast; Middle Tampa Bay (MTB); and Lower Tampa Bay (LTB) that connects to the Gulf of Mexico (Figure </w:t>
      </w:r>
      <w:hyperlink w:anchor="fig-map">
        <w:r>
          <w:rPr>
            <w:rStyle w:val="Hyperlink"/>
          </w:rPr>
          <w:t>1</w:t>
        </w:r>
      </w:hyperlink>
      <w:r>
        <w:t xml:space="preserve">a). Old Tampa Bay and Hillsborough Bay have historically had the most degraded water quality primarily from direct </w:t>
      </w:r>
      <w:r>
        <w:lastRenderedPageBreak/>
        <w:t xml:space="preserve">external nutrient inputs from wastewater and stormwater (Greening et al. 2014).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 (Janicki Environmental, Inc. 2023). Notably, Old Tampa Bay has restricted circulation from multiple land bridges associated with causeways that traverse the bay, causing relatively longer residence times and accumulation of legacy pollutant loads compared to the other bay segments (Sherwood et al. 2015; Luther and Meyers 2022). Recurring seasonal harmful algal blooms of the dinoflagellete </w:t>
      </w:r>
      <w:r>
        <w:rPr>
          <w:i/>
          <w:iCs/>
        </w:rPr>
        <w:t>Pyrodinium bahamense</w:t>
      </w:r>
      <w:r>
        <w:t xml:space="preserve"> have contributed to exceedances of the chlorophyll-a regulatory standard in Old Tampa Bay (Lopez et al. 2023). By comparison, water quality conditions in Middle Tampa Bay and Lower Tampa Bay are generally better than the upper two bay segments primarily from more frequent water exchanges with the Gulf of Mexico and lower nutrient loading (Janicki Environmental, Inc. 2023). All bay segments are relatively shallow, with a baywide mean depth of approximately 3 m. Light penetration typically reaches bottom habitats under current conditions (Figure </w:t>
      </w:r>
      <w:hyperlink w:anchor="fig-seagrasschg">
        <w:r>
          <w:rPr>
            <w:rStyle w:val="Hyperlink"/>
          </w:rPr>
          <w:t>2</w:t>
        </w:r>
      </w:hyperlink>
      <w:r>
        <w:t>c), although seagrasses were historically limited by high phytoplankton production that affected light environments (Greening et al. 2014; Johansson and Janicki Environmental, Inc. 2015).</w:t>
      </w:r>
    </w:p>
    <w:p w14:paraId="65D87F69" w14:textId="77777777" w:rsidR="00472C87" w:rsidRDefault="00000000">
      <w:pPr>
        <w:pStyle w:val="Heading3"/>
      </w:pPr>
      <w:bookmarkStart w:id="4" w:name="seagrass-change-in-tampa-bay"/>
      <w:bookmarkEnd w:id="3"/>
      <w:r>
        <w:t>2.2 Seagrass change in Tampa Bay</w:t>
      </w:r>
    </w:p>
    <w:p w14:paraId="3D9CCA5E" w14:textId="77777777" w:rsidR="00472C87" w:rsidRDefault="00000000">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 (Greening and Janicki 2006; Greening et al. 2014; Sherwood et al. 2017). From 1988 to 2016, seagrasses increased 79% to 41,655 acres (16,857 ha), surpassing the regional management goal of restoring coverage to 95% of a </w:t>
      </w:r>
      <w:r>
        <w:lastRenderedPageBreak/>
        <w:t xml:space="preserve">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 </w:t>
      </w:r>
      <w:hyperlink w:anchor="fig-seagrasschg">
        <w:r>
          <w:rPr>
            <w:rStyle w:val="Hyperlink"/>
          </w:rPr>
          <w:t>2</w:t>
        </w:r>
      </w:hyperlink>
      <w:r>
        <w:t xml:space="preserve">a). Light environments have improved (Figure </w:t>
      </w:r>
      <w:hyperlink w:anchor="fig-seagrasschg">
        <w:r>
          <w:rPr>
            <w:rStyle w:val="Hyperlink"/>
          </w:rPr>
          <w:t>2</w:t>
        </w:r>
      </w:hyperlink>
      <w:r>
        <w:t>c) through reduction of external nitrogen loadings by about 2/3 by the 1980s from a peak 1970s estimate of 8.9 x 10</w:t>
      </w:r>
      <m:oMath>
        <m:sSup>
          <m:sSupPr>
            <m:ctrlPr>
              <w:rPr>
                <w:rFonts w:ascii="Cambria Math" w:hAnsi="Cambria Math"/>
              </w:rPr>
            </m:ctrlPr>
          </m:sSupPr>
          <m:e>
            <m:r>
              <w:rPr>
                <w:rFonts w:ascii="Cambria Math" w:hAnsi="Cambria Math"/>
              </w:rPr>
              <m:t>​</m:t>
            </m:r>
          </m:e>
          <m:sup>
            <m:r>
              <w:rPr>
                <w:rFonts w:ascii="Cambria Math" w:hAnsi="Cambria Math"/>
              </w:rPr>
              <m:t>6</m:t>
            </m:r>
          </m:sup>
        </m:sSup>
      </m:oMath>
      <w:r>
        <w:t xml:space="preserve"> kg/year, largely from advanced wastewater treatment upgrades and in part from the cumulative effects of habitat restoration and additional stormwater control projects implemented in the watershed (Greening et al. 2014; Beck et al. 2019).</w:t>
      </w:r>
    </w:p>
    <w:p w14:paraId="430C4F37" w14:textId="77777777" w:rsidR="00472C87" w:rsidRDefault="00000000">
      <w:pPr>
        <w:pStyle w:val="BodyText"/>
      </w:pPr>
      <w:r>
        <w:t xml:space="preserve">From 2016 to present, dramatic seagrass loss has been observed in Tampa Bay, despite light environments remaining supportive of growth (Figure </w:t>
      </w:r>
      <w:hyperlink w:anchor="fig-seagrasschg">
        <w:r>
          <w:rPr>
            <w:rStyle w:val="Hyperlink"/>
          </w:rPr>
          <w:t>2</w:t>
        </w:r>
      </w:hyperlink>
      <w:r>
        <w:t xml:space="preserve">c).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 </w:t>
      </w:r>
      <w:r>
        <w:rPr>
          <w:i/>
          <w:iCs/>
        </w:rPr>
        <w:t>Halodule wrightii</w:t>
      </w:r>
      <w:r>
        <w:t xml:space="preserve"> (shoal grass) in OTB and HB, whereas some losses have been observed for </w:t>
      </w:r>
      <w:r>
        <w:rPr>
          <w:i/>
          <w:iCs/>
        </w:rPr>
        <w:t>Thalassia testudinum</w:t>
      </w:r>
      <w:r>
        <w:t xml:space="preserve"> (turtle grass) in LTB, likely related to dominance of each species across the salinity gradient and proximity to hydrologic inputs (Lewis III et al. 1985).</w:t>
      </w:r>
    </w:p>
    <w:p w14:paraId="4A47CD5E" w14:textId="77777777" w:rsidR="00472C87" w:rsidRDefault="00000000">
      <w:pPr>
        <w:pStyle w:val="Heading3"/>
      </w:pPr>
      <w:bookmarkStart w:id="5" w:name="seagrass-data"/>
      <w:bookmarkEnd w:id="4"/>
      <w:r>
        <w:lastRenderedPageBreak/>
        <w:t>2.3 Seagrass data</w:t>
      </w:r>
    </w:p>
    <w:p w14:paraId="3F9E6790" w14:textId="77777777" w:rsidR="00472C87" w:rsidRDefault="00000000">
      <w:pPr>
        <w:pStyle w:val="FirstParagraph"/>
      </w:pPr>
      <w:r>
        <w:t>Two primary sources of data have been used to track seagrass change in Tampa Bay (</w:t>
      </w:r>
      <w:hyperlink w:anchor="tbl-dattab">
        <w:r>
          <w:rPr>
            <w:rStyle w:val="Hyperlink"/>
          </w:rPr>
          <w:t>Table 1</w:t>
        </w:r>
      </w:hyperlink>
      <w:r>
        <w:t xml:space="preserve">). The Southwest Florida Water Management District (SWFWMD) has estimated areal coverage of seagrasses approximately biennially since the late 1980s (Figure </w:t>
      </w:r>
      <w:hyperlink w:anchor="fig-seagrasschg">
        <w:r>
          <w:rPr>
            <w:rStyle w:val="Hyperlink"/>
          </w:rPr>
          <w:t>2</w:t>
        </w:r>
      </w:hyperlink>
      <w:r>
        <w:t xml:space="preserve">a, available at </w:t>
      </w:r>
      <w:hyperlink r:id="rId8">
        <w:r>
          <w:rPr>
            <w:rStyle w:val="Hyperlink"/>
          </w:rPr>
          <w:t>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 </w:t>
      </w:r>
      <w:hyperlink w:anchor="fig-seagrasschg">
        <w:r>
          <w:rPr>
            <w:rStyle w:val="Hyperlink"/>
          </w:rPr>
          <w:t>2</w:t>
        </w:r>
      </w:hyperlink>
      <w:r>
        <w:t xml:space="preserve">b, </w:t>
      </w:r>
      <w:hyperlink r:id="rId9">
        <w:r>
          <w:rPr>
            <w:rStyle w:val="Hyperlink"/>
          </w:rPr>
          <w:t>https://tampabay.wateratlas.usf.edu/seagrass-monitoring/</w:t>
        </w:r>
      </w:hyperlink>
      <w:r>
        <w:t>). Annual transect surveys have been conducted since 1998 at 62 fixed locations in Tampa Bay, many of which were chosen to target seagrass beds of interest (Johansson 2016; Sherwood et al. 2017). This dataset provides species information on cover-abundance, frequency occurrence (number of sample points with seagrass divided by total points on a transect, as in Sherwood et al. 2017),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p w14:paraId="3AF7E60A" w14:textId="77777777" w:rsidR="00472C87" w:rsidRDefault="00000000">
      <w:pPr>
        <w:pStyle w:val="Heading3"/>
      </w:pPr>
      <w:bookmarkStart w:id="6" w:name="water-quality-data"/>
      <w:bookmarkEnd w:id="5"/>
      <w:r>
        <w:lastRenderedPageBreak/>
        <w:t>2.4 Water quality data</w:t>
      </w:r>
    </w:p>
    <w:p w14:paraId="5340E898" w14:textId="77777777" w:rsidR="00472C87" w:rsidRDefault="00000000">
      <w:pPr>
        <w:pStyle w:val="FirstParagraph"/>
      </w:pPr>
      <w:r>
        <w:t>Several datasets with distinct sample designs are available to assess long-term changes in water temperature and salinity in Tampa Bay (</w:t>
      </w:r>
      <w:hyperlink w:anchor="tbl-dattab">
        <w:r>
          <w:rPr>
            <w:rStyle w:val="Hyperlink"/>
          </w:rPr>
          <w:t>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 </w:t>
      </w:r>
      <w:hyperlink w:anchor="fig-map">
        <w:r>
          <w:rPr>
            <w:rStyle w:val="Hyperlink"/>
          </w:rPr>
          <w:t>1</w:t>
        </w:r>
      </w:hyperlink>
      <w:r>
        <w:t xml:space="preserve">b). The 45 stations with the longest and most complete temporal record from 1975 to present were used herein. Water quality samples are collected at each station from surface water grabs (e.g., nutrients, biological, and chemical constituents) or </w:t>
      </w:r>
      <w:r>
        <w:rPr>
          <w:i/>
          <w:iCs/>
        </w:rPr>
        <w:t>in situ</w:t>
      </w:r>
      <w:r>
        <w:t xml:space="preserve"> measurements of physical parameters (e.g., salinity, temperature) collected at the surface, mid-depth, and bottom. Most analyses herein used only bottom water measurements given the shallow depth and mixed water column of most of Tampa Bay (Weisberg and Zheng 2006),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 (Beck et al. 2021).</w:t>
      </w:r>
    </w:p>
    <w:p w14:paraId="7C27FCB0" w14:textId="77777777" w:rsidR="00472C87" w:rsidRDefault="00000000">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 (Schrandt et al. 2021). A stratified sampling design is used to select sites for </w:t>
      </w:r>
      <w:r>
        <w:lastRenderedPageBreak/>
        <w:t xml:space="preserve">21.3 meter center-bag seines that target shallow habitats (&lt;1.5 m) where seagrasses are predominantly found in Tampa Bay and includes the longest consistent sampling protocol (1996 to present, Figure </w:t>
      </w:r>
      <w:hyperlink w:anchor="fig-map">
        <w:r>
          <w:rPr>
            <w:rStyle w:val="Hyperlink"/>
          </w:rPr>
          <w:t>1</w:t>
        </w:r>
      </w:hyperlink>
      <w:r>
        <w:t xml:space="preserve">c). In addition to collecting fish and selected invertebrates, </w:t>
      </w:r>
      <w:r>
        <w:rPr>
          <w:i/>
          <w:iCs/>
        </w:rPr>
        <w:t>in situ</w:t>
      </w:r>
      <w:r>
        <w:t xml:space="preserve"> 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14:paraId="2515D43D" w14:textId="77777777" w:rsidR="00472C87" w:rsidRDefault="00000000">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 </w:t>
      </w:r>
      <w:hyperlink w:anchor="fig-map">
        <w:r>
          <w:rPr>
            <w:rStyle w:val="Hyperlink"/>
          </w:rPr>
          <w:t>1</w:t>
        </w:r>
      </w:hyperlink>
      <w:r>
        <w:t xml:space="preserve">d, also available at </w:t>
      </w:r>
      <w:hyperlink r:id="rId10">
        <w:r>
          <w:rPr>
            <w:rStyle w:val="Hyperlink"/>
          </w:rPr>
          <w:t>https://wateratlas.usf.edu/</w:t>
        </w:r>
      </w:hyperlink>
      <w:r>
        <w:t>).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 “seagrass” if only seagrass species were identified (any with macroalgae were excluded) and “no seagrass” if bare sediment was observed.</w:t>
      </w:r>
    </w:p>
    <w:p w14:paraId="517BFC01" w14:textId="77777777" w:rsidR="00472C87" w:rsidRDefault="00000000">
      <w:pPr>
        <w:pStyle w:val="BodyText"/>
      </w:pPr>
      <w:r>
        <w:t xml:space="preserve">All of the organizations that provided water quality datasets participate in the Southwest Florida Regional Ambient Monitoring Program (Sherwood et al. 2016). This </w:t>
      </w:r>
      <w:r>
        <w:rPr>
          <w:i/>
          <w:iCs/>
        </w:rPr>
        <w:t>ad hoc</w:t>
      </w:r>
      <w:r>
        <w:t xml:space="preserve"> 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w:t>
      </w:r>
      <w:r>
        <w:lastRenderedPageBreak/>
        <w:t>measurements used herein are considered comparable, relative to the different sampling designs used by each program.</w:t>
      </w:r>
    </w:p>
    <w:p w14:paraId="1C7F9605" w14:textId="77777777" w:rsidR="00472C87" w:rsidRDefault="00000000">
      <w:pPr>
        <w:pStyle w:val="Heading3"/>
      </w:pPr>
      <w:bookmarkStart w:id="7" w:name="trend-analysis"/>
      <w:bookmarkEnd w:id="6"/>
      <w:r>
        <w:t>2.5 Trend analysis</w:t>
      </w:r>
    </w:p>
    <w:p w14:paraId="65AB079E" w14:textId="77777777" w:rsidR="00472C87" w:rsidRDefault="00000000">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w:t>
      </w:r>
      <w:hyperlink w:anchor="tbl-dattab">
        <w:r>
          <w:rPr>
            <w:rStyle w:val="Hyperlink"/>
          </w:rPr>
          <w:t>Table 1</w:t>
        </w:r>
      </w:hyperlink>
      <w:r>
        <w:t xml:space="preserve">). The rnoaa R package (Chamberlain and Hocking 2023) 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 (SPI, Beguería et al. 2013) to identify periods of time when rainfall deviated from the long-term average (using the </w:t>
      </w:r>
      <w:r>
        <w:rPr>
          <w:i/>
          <w:iCs/>
        </w:rPr>
        <w:t>spei</w:t>
      </w:r>
      <w:r>
        <w:t xml:space="preserve"> R package, Beguería and Vicente-Serrano 2023). All climate data were evaluated annually with simple linear regression trends to assess change over time. Water temperature and salinity trends using the EPC, FIM, and PDEM data were similarly evaluated by averaging the monthly data each year for each bay segment.</w:t>
      </w:r>
    </w:p>
    <w:p w14:paraId="6D503560" w14:textId="77777777" w:rsidR="00472C87" w:rsidRDefault="00000000">
      <w:pPr>
        <w:pStyle w:val="BodyText"/>
      </w:pPr>
      <w:r>
        <w:lastRenderedPageBreak/>
        <w:t>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 (Hirsch et al. 1982; Millard 2013). Kendall tests were also used to evaluate changes over time for each month across years to determine when the trends were most pronounced seasonally (e.g., all January estimates across years, all February estimates, etc.).</w:t>
      </w:r>
    </w:p>
    <w:p w14:paraId="391CA32E" w14:textId="77777777" w:rsidR="00472C87" w:rsidRDefault="00000000">
      <w:pPr>
        <w:pStyle w:val="Heading3"/>
      </w:pPr>
      <w:bookmarkStart w:id="8" w:name="quantifying-potential-stress"/>
      <w:bookmarkEnd w:id="7"/>
      <w:r>
        <w:t>2.6 Quantifying potential stress</w:t>
      </w:r>
    </w:p>
    <w:p w14:paraId="1AACE691" w14:textId="77777777" w:rsidR="00472C87" w:rsidRDefault="00000000">
      <w:pPr>
        <w:pStyle w:val="FirstParagraph"/>
      </w:pPr>
      <w:r>
        <w:t>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 (Hutchinson 1957; Vandermeer 1972).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 </w:t>
      </w:r>
      <w:hyperlink w:anchor="fig-concept">
        <w:r>
          <w:rPr>
            <w:rStyle w:val="Hyperlink"/>
          </w:rPr>
          <w:t>Figure 3</w:t>
        </w:r>
      </w:hyperlink>
      <w:r>
        <w:t xml:space="preserve">). Although the fundamental niche space can be defined in multiple dimensions for many parameters, we focus on water temperature and salinity given that other </w:t>
      </w:r>
      <w:r>
        <w:lastRenderedPageBreak/>
        <w:t xml:space="preserve">dominant forcing factors, i.e., light availability, have been sufficient for growth in recent years (Figure </w:t>
      </w:r>
      <w:hyperlink w:anchor="fig-seagrasschg">
        <w:r>
          <w:rPr>
            <w:rStyle w:val="Hyperlink"/>
          </w:rPr>
          <w:t>2</w:t>
        </w:r>
      </w:hyperlink>
      <w:r>
        <w:t>c).</w:t>
      </w:r>
    </w:p>
    <w:p w14:paraId="76160DC2" w14:textId="77777777" w:rsidR="00472C87" w:rsidRDefault="00000000">
      <w:pPr>
        <w:pStyle w:val="BodyText"/>
      </w:pPr>
      <w:r>
        <w:t xml:space="preserve">A fundamental challenge describing niche space is identifying the boundaries for optimal conditions. In Tampa Bay, three dominant seagrass species occur: </w:t>
      </w:r>
      <w:r>
        <w:rPr>
          <w:i/>
          <w:iCs/>
        </w:rPr>
        <w:t>H. wrightii</w:t>
      </w:r>
      <w:r>
        <w:t xml:space="preserve"> (shoal grass), </w:t>
      </w:r>
      <w:r>
        <w:rPr>
          <w:i/>
          <w:iCs/>
        </w:rPr>
        <w:t>Syringodium filiforme</w:t>
      </w:r>
      <w:r>
        <w:t xml:space="preserve"> (manatee grass), and </w:t>
      </w:r>
      <w:r>
        <w:rPr>
          <w:i/>
          <w:iCs/>
        </w:rPr>
        <w:t>Thalassia testudinum</w:t>
      </w:r>
      <w:r>
        <w:t xml:space="preserve"> (turtle grass) (Lewis III et al. 1985; R. Phillips and Meñez 1988). Other less common species include </w:t>
      </w:r>
      <w:r>
        <w:rPr>
          <w:i/>
          <w:iCs/>
        </w:rPr>
        <w:t>Ruppia maritima</w:t>
      </w:r>
      <w:r>
        <w:t xml:space="preserve"> (widgeon grass) and </w:t>
      </w:r>
      <w:r>
        <w:rPr>
          <w:i/>
          <w:iCs/>
        </w:rPr>
        <w:t>Halophila engelmanii</w:t>
      </w:r>
      <w:r>
        <w:t xml:space="preserve"> (star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 (Lirman and Cropper 2003)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 (R. C. Phillips 1960; McMillan and Moseley 1967; Zieman 1975; Lewis III et al. 1985), although most studies place lower limits of salinity in the range of 15-25 ppt. Optimal temperature ranges are similar between these temperate-tropical species, with reduced growth observed at temperatures above 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C (Zieman 1975; Lewis III et al. 1985).</w:t>
      </w:r>
    </w:p>
    <w:p w14:paraId="471AB773" w14:textId="77777777" w:rsidR="00472C87" w:rsidRDefault="00000000">
      <w:pPr>
        <w:pStyle w:val="BodyText"/>
      </w:pPr>
      <w:r>
        <w:t xml:space="preserve">Because of the uncertainty in defining </w:t>
      </w:r>
      <w:r>
        <w:rPr>
          <w:i/>
          <w:iCs/>
        </w:rPr>
        <w:t>in situ</w:t>
      </w:r>
      <w:r>
        <w:t xml:space="preserve">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w:t>
      </w:r>
      <w:r>
        <w:lastRenderedPageBreak/>
        <w:t>competing species (Araújo and Guisan 2006).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 (S. N. Wood 2017). Model fit for each station was considered sufficient to calculate daily predictions to assess potential stressor metrics (Figure S5,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ranged from 0.85 to 0.95 for temperature models, 0.66 to 0.95 for salinity models, Tables S1, S2).</w:t>
      </w:r>
    </w:p>
    <w:p w14:paraId="66FC86E0" w14:textId="77777777" w:rsidR="00472C87" w:rsidRDefault="00000000">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 (Zuur et al. 2009; Bates et al. 2015). This produced an overall assessment of how the stressor metrics have changed over time by bay segment.</w:t>
      </w:r>
    </w:p>
    <w:p w14:paraId="00CF1FE3" w14:textId="77777777" w:rsidR="00472C87" w:rsidRDefault="00000000">
      <w:pPr>
        <w:pStyle w:val="Heading3"/>
      </w:pPr>
      <w:bookmarkStart w:id="9" w:name="links-to-seagrass"/>
      <w:bookmarkEnd w:id="8"/>
      <w:r>
        <w:lastRenderedPageBreak/>
        <w:t>2.7 Links to seagrass</w:t>
      </w:r>
    </w:p>
    <w:p w14:paraId="2506F925" w14:textId="77777777" w:rsidR="00472C87" w:rsidRDefault="00000000">
      <w:pPr>
        <w:pStyle w:val="FirstParagraph"/>
      </w:pPr>
      <w:r>
        <w:t>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 “transect year” 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 (A. J. Janicki and Wade 1996).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temperature and salinity metrics together (</w:t>
      </w:r>
      <w:hyperlink w:anchor="eq-epcmod1">
        <w:r>
          <w:rPr>
            <w:rStyle w:val="Hyperlink"/>
          </w:rPr>
          <w:t>Equation 1</w:t>
        </w:r>
      </w:hyperlink>
      <w:r>
        <w:t>) and another with the both metric (</w:t>
      </w:r>
      <w:hyperlink w:anchor="eq-epcmod2">
        <w:r>
          <w:rPr>
            <w:rStyle w:val="Hyperlink"/>
          </w:rPr>
          <w:t>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 </w:t>
      </w:r>
      <w:r>
        <w:rPr>
          <w:i/>
          <w:iCs/>
        </w:rPr>
        <w:t>H. wrightii</w:t>
      </w:r>
      <w:r>
        <w:t xml:space="preserve"> in the upper bay segments (Figure </w:t>
      </w:r>
      <w:hyperlink w:anchor="fig-seagrasschg">
        <w:r>
          <w:rPr>
            <w:rStyle w:val="Hyperlink"/>
          </w:rPr>
          <w:t>2</w:t>
        </w:r>
      </w:hyperlink>
      <w:r>
        <w:t xml:space="preserve">b). The GAM equations in mgcv R package notation (S. N. Wood 2017) are below, where </w:t>
      </w:r>
      <m:oMath>
        <m:r>
          <w:rPr>
            <w:rFonts w:ascii="Cambria Math" w:hAnsi="Cambria Math"/>
          </w:rPr>
          <m:t>s</m:t>
        </m:r>
      </m:oMath>
      <w:r>
        <w:t xml:space="preserve"> is a smoother function for a single predictor and </w:t>
      </w:r>
      <m:oMath>
        <m:r>
          <w:rPr>
            <w:rFonts w:ascii="Cambria Math" w:hAnsi="Cambria Math"/>
          </w:rPr>
          <m:t>ti</m:t>
        </m:r>
      </m:oMath>
      <w:r>
        <w:t xml:space="preserve"> is the tensor </w:t>
      </w:r>
      <w:r>
        <w:lastRenderedPageBreak/>
        <w:t>product interaction between predictors. All GAMs were fit using restricted maximum likelihood evaluation (S. N. Wood 2011).</w:t>
      </w:r>
    </w:p>
    <w:bookmarkStart w:id="10" w:name="eq-epcmod1"/>
    <w:p w14:paraId="1790C455" w14:textId="77777777" w:rsidR="00472C87"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s</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 year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e>
            </m:mr>
          </m:m>
          <m:r>
            <w:rPr>
              <w:rFonts w:ascii="Cambria Math" w:hAnsi="Cambria Math"/>
            </w:rPr>
            <m:t>  </m:t>
          </m:r>
          <m:d>
            <m:dPr>
              <m:ctrlPr>
                <w:rPr>
                  <w:rFonts w:ascii="Cambria Math" w:hAnsi="Cambria Math"/>
                </w:rPr>
              </m:ctrlPr>
            </m:dPr>
            <m:e>
              <m:r>
                <w:rPr>
                  <w:rFonts w:ascii="Cambria Math" w:hAnsi="Cambria Math"/>
                </w:rPr>
                <m:t>1</m:t>
              </m:r>
            </m:e>
          </m:d>
        </m:oMath>
      </m:oMathPara>
      <w:bookmarkEnd w:id="10"/>
    </w:p>
    <w:bookmarkStart w:id="11" w:name="eq-epcmod2"/>
    <w:p w14:paraId="27C89F39" w14:textId="77777777" w:rsidR="00472C87"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s</m:t>
                </m:r>
                <m:d>
                  <m:dPr>
                    <m:ctrlPr>
                      <w:rPr>
                        <w:rFonts w:ascii="Cambria Math" w:hAnsi="Cambria Math"/>
                      </w:rPr>
                    </m:ctrlPr>
                  </m:dPr>
                  <m:e>
                    <m:r>
                      <w:rPr>
                        <w:rFonts w:ascii="Cambria Math" w:hAnsi="Cambria Math"/>
                      </w:rPr>
                      <m:t>both</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light att</m:t>
                    </m:r>
                    <m:r>
                      <m:rPr>
                        <m:sty m:val="p"/>
                      </m:rPr>
                      <w:rPr>
                        <w:rFonts w:ascii="Cambria Math" w:hAnsi="Cambria Math"/>
                      </w:rPr>
                      <m:t>,</m:t>
                    </m:r>
                    <m:r>
                      <w:rPr>
                        <w:rFonts w:ascii="Cambria Math" w:hAnsi="Cambria Math"/>
                      </w:rPr>
                      <m:t> year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both</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e>
            </m:mr>
          </m:m>
          <m:r>
            <w:rPr>
              <w:rFonts w:ascii="Cambria Math" w:hAnsi="Cambria Math"/>
            </w:rPr>
            <m:t>  </m:t>
          </m:r>
          <m:d>
            <m:dPr>
              <m:ctrlPr>
                <w:rPr>
                  <w:rFonts w:ascii="Cambria Math" w:hAnsi="Cambria Math"/>
                </w:rPr>
              </m:ctrlPr>
            </m:dPr>
            <m:e>
              <m:r>
                <w:rPr>
                  <w:rFonts w:ascii="Cambria Math" w:hAnsi="Cambria Math"/>
                </w:rPr>
                <m:t>2</m:t>
              </m:r>
            </m:e>
          </m:d>
        </m:oMath>
      </m:oMathPara>
      <w:bookmarkEnd w:id="11"/>
    </w:p>
    <w:p w14:paraId="56912197" w14:textId="77777777" w:rsidR="00472C87" w:rsidRDefault="00000000">
      <w:pPr>
        <w:pStyle w:val="FirstParagraph"/>
      </w:pPr>
      <w:r>
        <w:t xml:space="preserve">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w:t>
      </w:r>
      <w:r>
        <w:lastRenderedPageBreak/>
        <w:t>number of sites with seagrass in a year divided by the total number of sites and all data were subset to less than 2 meters to better characterize locations where seagrass occurs. The GAM equations for the FIM (</w:t>
      </w:r>
      <w:hyperlink w:anchor="eq-fimmod">
        <w:r>
          <w:rPr>
            <w:rStyle w:val="Hyperlink"/>
          </w:rPr>
          <w:t>Equation 3</w:t>
        </w:r>
      </w:hyperlink>
      <w:r>
        <w:t>) and PDEM (</w:t>
      </w:r>
      <w:hyperlink w:anchor="eq-pincomod">
        <w:r>
          <w:rPr>
            <w:rStyle w:val="Hyperlink"/>
          </w:rPr>
          <w:t>Equation 4</w:t>
        </w:r>
      </w:hyperlink>
      <w:r>
        <w:t>) datasets, respectively, were as follows.</w:t>
      </w:r>
    </w:p>
    <w:bookmarkStart w:id="12" w:name="eq-fimmod"/>
    <w:p w14:paraId="18C271D1" w14:textId="77777777" w:rsidR="00472C87"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s</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year</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bay segment</m:t>
                    </m:r>
                  </m:e>
                </m:d>
              </m:e>
            </m:mr>
          </m:m>
          <m:r>
            <w:rPr>
              <w:rFonts w:ascii="Cambria Math" w:hAnsi="Cambria Math"/>
            </w:rPr>
            <m:t>  </m:t>
          </m:r>
          <m:d>
            <m:dPr>
              <m:ctrlPr>
                <w:rPr>
                  <w:rFonts w:ascii="Cambria Math" w:hAnsi="Cambria Math"/>
                </w:rPr>
              </m:ctrlPr>
            </m:dPr>
            <m:e>
              <m:r>
                <w:rPr>
                  <w:rFonts w:ascii="Cambria Math" w:hAnsi="Cambria Math"/>
                </w:rPr>
                <m:t>3</m:t>
              </m:r>
            </m:e>
          </m:d>
        </m:oMath>
      </m:oMathPara>
      <w:bookmarkEnd w:id="12"/>
    </w:p>
    <w:bookmarkStart w:id="13" w:name="eq-pincomod"/>
    <w:p w14:paraId="76951386" w14:textId="77777777" w:rsidR="00472C87"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Seagrass</m:t>
                </m:r>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year</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temperature</m:t>
                    </m:r>
                  </m:e>
                </m:d>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salinity</m:t>
                    </m:r>
                  </m:e>
                </m:d>
                <m:r>
                  <m:rPr>
                    <m:sty m:val="p"/>
                  </m:rPr>
                  <w:rPr>
                    <w:rFonts w:ascii="Cambria Math" w:hAnsi="Cambria Math"/>
                  </w:rPr>
                  <m:t>+</m:t>
                </m:r>
              </m:e>
            </m:mr>
            <m:mr>
              <m:e>
                <m:r>
                  <w:rPr>
                    <w:rFonts w:ascii="Cambria Math" w:hAnsi="Cambria Math"/>
                  </w:rPr>
                  <m:t>ti</m:t>
                </m:r>
                <m:d>
                  <m:dPr>
                    <m:ctrlPr>
                      <w:rPr>
                        <w:rFonts w:ascii="Cambria Math" w:hAnsi="Cambria Math"/>
                      </w:rPr>
                    </m:ctrlPr>
                  </m:dPr>
                  <m:e>
                    <m:r>
                      <w:rPr>
                        <w:rFonts w:ascii="Cambria Math" w:hAnsi="Cambria Math"/>
                      </w:rPr>
                      <m:t>temperature</m:t>
                    </m:r>
                    <m:r>
                      <m:rPr>
                        <m:sty m:val="p"/>
                      </m:rPr>
                      <w:rPr>
                        <w:rFonts w:ascii="Cambria Math" w:hAnsi="Cambria Math"/>
                      </w:rPr>
                      <m:t>,</m:t>
                    </m:r>
                    <m:r>
                      <w:rPr>
                        <w:rFonts w:ascii="Cambria Math" w:hAnsi="Cambria Math"/>
                      </w:rPr>
                      <m:t>year</m:t>
                    </m:r>
                  </m:e>
                </m:d>
                <m:r>
                  <m:rPr>
                    <m:sty m:val="p"/>
                  </m:rPr>
                  <w:rPr>
                    <w:rFonts w:ascii="Cambria Math" w:hAnsi="Cambria Math"/>
                  </w:rPr>
                  <m:t>+</m:t>
                </m:r>
                <m:r>
                  <w:rPr>
                    <w:rFonts w:ascii="Cambria Math" w:hAnsi="Cambria Math"/>
                  </w:rPr>
                  <m:t>ti</m:t>
                </m:r>
                <m:d>
                  <m:dPr>
                    <m:ctrlPr>
                      <w:rPr>
                        <w:rFonts w:ascii="Cambria Math" w:hAnsi="Cambria Math"/>
                      </w:rPr>
                    </m:ctrlPr>
                  </m:dPr>
                  <m:e>
                    <m:r>
                      <w:rPr>
                        <w:rFonts w:ascii="Cambria Math" w:hAnsi="Cambria Math"/>
                      </w:rPr>
                      <m:t>salinity</m:t>
                    </m:r>
                    <m:r>
                      <m:rPr>
                        <m:sty m:val="p"/>
                      </m:rPr>
                      <w:rPr>
                        <w:rFonts w:ascii="Cambria Math" w:hAnsi="Cambria Math"/>
                      </w:rPr>
                      <m:t>,</m:t>
                    </m:r>
                    <m:r>
                      <w:rPr>
                        <w:rFonts w:ascii="Cambria Math" w:hAnsi="Cambria Math"/>
                      </w:rPr>
                      <m:t>year</m:t>
                    </m:r>
                  </m:e>
                </m:d>
              </m:e>
            </m:mr>
          </m:m>
          <m:r>
            <w:rPr>
              <w:rFonts w:ascii="Cambria Math" w:hAnsi="Cambria Math"/>
            </w:rPr>
            <m:t>  </m:t>
          </m:r>
          <m:d>
            <m:dPr>
              <m:ctrlPr>
                <w:rPr>
                  <w:rFonts w:ascii="Cambria Math" w:hAnsi="Cambria Math"/>
                </w:rPr>
              </m:ctrlPr>
            </m:dPr>
            <m:e>
              <m:r>
                <w:rPr>
                  <w:rFonts w:ascii="Cambria Math" w:hAnsi="Cambria Math"/>
                </w:rPr>
                <m:t>4</m:t>
              </m:r>
            </m:e>
          </m:d>
        </m:oMath>
      </m:oMathPara>
      <w:bookmarkEnd w:id="13"/>
    </w:p>
    <w:p w14:paraId="501AE926" w14:textId="77777777" w:rsidR="00472C87" w:rsidRDefault="00000000">
      <w:pPr>
        <w:pStyle w:val="Heading2"/>
      </w:pPr>
      <w:bookmarkStart w:id="14" w:name="results"/>
      <w:bookmarkEnd w:id="2"/>
      <w:bookmarkEnd w:id="9"/>
      <w:r>
        <w:t>3 Results</w:t>
      </w:r>
    </w:p>
    <w:p w14:paraId="336F3F2E" w14:textId="77777777" w:rsidR="00472C87" w:rsidRDefault="00000000">
      <w:pPr>
        <w:pStyle w:val="Heading3"/>
      </w:pPr>
      <w:bookmarkStart w:id="15" w:name="temperature-and-salinity-trends"/>
      <w:r>
        <w:t>3.1 Temperature and salinity trends</w:t>
      </w:r>
    </w:p>
    <w:p w14:paraId="4DD7A286" w14:textId="77777777" w:rsidR="00472C87" w:rsidRDefault="00000000">
      <w:pPr>
        <w:pStyle w:val="FirstParagraph"/>
      </w:pPr>
      <w:r>
        <w:t>Long-term meteorological data showed increasing trends for air temperature and precipitation (</w:t>
      </w:r>
      <w:hyperlink w:anchor="fig-meteowqraw">
        <w:r>
          <w:rPr>
            <w:rStyle w:val="Hyperlink"/>
          </w:rPr>
          <w:t>Figure 4</w:t>
        </w:r>
      </w:hyperlink>
      <w:r>
        <w:t xml:space="preserve">). Mean annual air temperature has increased by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(n = 48, p &lt; 0.001,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0.51). Mean annual air temperature in 1975 was 22.1 (+/-0.17 st. err.)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whereas current mean annual air temperature in 2022 was 24.1 (+/-0.17 st. err.)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showing an overall increase in the period of record of 2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Similarly, total precipitation during the rainy season has increased by 2.21 mm per year, although the trend was weak (n = 47, p = 0.104,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0.04). Removing September from the rainy season showed a slightly larger trend of 2.4 mm per year and slightly more powerful trend model (n = 48, p = 0.039,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w:t>
      </w:r>
      <w:r>
        <w:lastRenderedPageBreak/>
        <w:t xml:space="preserve">= 0.261,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The SPI showed notable anomalies in precipitation, with pronounced rainy periods in the early 1980s, late 1990s, 2005, and 2015-2020.</w:t>
      </w:r>
    </w:p>
    <w:p w14:paraId="6482CE36" w14:textId="77777777" w:rsidR="00472C87" w:rsidRDefault="00000000">
      <w:pPr>
        <w:pStyle w:val="BodyText"/>
      </w:pPr>
      <w:r>
        <w:t xml:space="preserve">Increasing water temperature and decreasing salinity generally followed the meteorological trends for all three </w:t>
      </w:r>
      <w:r>
        <w:rPr>
          <w:i/>
          <w:iCs/>
        </w:rPr>
        <w:t>in situ</w:t>
      </w:r>
      <w:r>
        <w:t xml:space="preserve"> datasets (EPC, FIM, and PDEM, </w:t>
      </w:r>
      <w:hyperlink w:anchor="fig-meteowqraw">
        <w:r>
          <w:rPr>
            <w:rStyle w:val="Hyperlink"/>
          </w:rPr>
          <w:t>Figure 4</w:t>
        </w:r>
      </w:hyperlink>
      <w:r>
        <w:t xml:space="preserve">, Tables </w:t>
      </w:r>
      <w:hyperlink w:anchor="tbl-temptrndtab">
        <w:r>
          <w:rPr>
            <w:rStyle w:val="Hyperlink"/>
          </w:rPr>
          <w:t>2</w:t>
        </w:r>
      </w:hyperlink>
      <w:r>
        <w:t xml:space="preserve">, </w:t>
      </w:r>
      <w:hyperlink w:anchor="tbl-saltrndtab">
        <w:r>
          <w:rPr>
            <w:rStyle w:val="Hyperlink"/>
          </w:rPr>
          <w:t>3</w:t>
        </w:r>
      </w:hyperlink>
      <w:r>
        <w:t xml:space="preserve">, Figures S1, S2, S3). Note that for tables </w:t>
      </w:r>
      <w:hyperlink w:anchor="tbl-temptrndtab">
        <w:r>
          <w:rPr>
            <w:rStyle w:val="Hyperlink"/>
          </w:rPr>
          <w:t>2</w:t>
        </w:r>
      </w:hyperlink>
      <w:r>
        <w:t xml:space="preserve"> and </w:t>
      </w:r>
      <w:hyperlink w:anchor="tbl-saltrndtab">
        <w:r>
          <w:rPr>
            <w:rStyle w:val="Hyperlink"/>
          </w:rPr>
          <w:t>3</w:t>
        </w:r>
      </w:hyperlink>
      <w:r>
        <w:t>,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Figure 4</w:t>
        </w:r>
      </w:hyperlink>
      <w:r>
        <w:t xml:space="preserve">). Trends in water temperature were similar across bay segments with large increases for all four bay segments varying from 0.03 to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with a total change from 1.3 (OTB) to 1.7 (HB)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across the period of record from 1975 to 2022 (</w:t>
      </w:r>
      <w:hyperlink w:anchor="tbl-temptrndtab">
        <w:r>
          <w:rPr>
            <w:rStyle w:val="Hyperlink"/>
          </w:rPr>
          <w:t>Table 2</w:t>
        </w:r>
      </w:hyperlink>
      <w:r>
        <w:t>).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14:paraId="092DDE2A" w14:textId="77777777" w:rsidR="00472C87" w:rsidRDefault="00000000">
      <w:pPr>
        <w:pStyle w:val="BodyText"/>
      </w:pPr>
      <w:r>
        <w:t>The EPC dataset was also used to provide detailed information on station-level trends from 1975 to present (</w:t>
      </w:r>
      <w:hyperlink w:anchor="fig-kendall">
        <w:r>
          <w:rPr>
            <w:rStyle w:val="Hyperlink"/>
          </w:rPr>
          <w:t>Figure 5</w:t>
        </w:r>
      </w:hyperlink>
      <w:r>
        <w:t xml:space="preserve">, see Figure S4 for 1998 to 2022). All stations had increasing temperature and decreasing salinity from 1975 to present, although several stations in HB did not have weak salinity trends (Figure </w:t>
      </w:r>
      <w:hyperlink w:anchor="fig-kendall">
        <w:r>
          <w:rPr>
            <w:rStyle w:val="Hyperlink"/>
          </w:rPr>
          <w:t>5</w:t>
        </w:r>
      </w:hyperlink>
      <w:r>
        <w:t xml:space="preserve">a). Seasonally, most bay segments had more stronger trends in the early fall/winter periods for both temperature and salinity (Figure </w:t>
      </w:r>
      <w:hyperlink w:anchor="fig-kendall">
        <w:r>
          <w:rPr>
            <w:rStyle w:val="Hyperlink"/>
          </w:rPr>
          <w:t>5</w:t>
        </w:r>
      </w:hyperlink>
      <w:r>
        <w:t xml:space="preserve">b), although some variation was </w:t>
      </w:r>
      <w:r>
        <w:lastRenderedPageBreak/>
        <w:t>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p w14:paraId="3FB09DFE" w14:textId="77777777" w:rsidR="00472C87" w:rsidRDefault="00000000">
      <w:pPr>
        <w:pStyle w:val="Heading3"/>
      </w:pPr>
      <w:bookmarkStart w:id="16" w:name="stressor-metrics"/>
      <w:bookmarkEnd w:id="15"/>
      <w:r>
        <w:t>3.2 Stressor metrics</w:t>
      </w:r>
    </w:p>
    <w:p w14:paraId="75A9DD9B" w14:textId="77777777" w:rsidR="00472C87" w:rsidRDefault="00000000">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showed increasing trends for each bay segment, with the largest slope of 1.5 days per year in OTB when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(Table S3). The estimated slopes for the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varied from less than 1 day per year in LTB to 1.1 days per year in MTB. Likewise, the mean number of days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at the beginning and end of the period of record were similar between bay segments, with an average increase of 48 days across the bay segments for the period of record (</w:t>
      </w:r>
      <w:hyperlink w:anchor="tbl-mixdaytab">
        <w:r>
          <w:rPr>
            <w:rStyle w:val="Hyperlink"/>
          </w:rPr>
          <w:t>Table 4</w:t>
        </w:r>
      </w:hyperlink>
      <w:r>
        <w:t xml:space="preserve">, Table S5, see Table S6 for 1998 to 2022). The increase in the number of days each year when temperatures were above 29 or 31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was similar.</w:t>
      </w:r>
    </w:p>
    <w:p w14:paraId="10A77654" w14:textId="77777777" w:rsidR="00472C87" w:rsidRDefault="00000000">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LTB had no notable salinity models. Some salinity models had decreasing trends, although the total number of days at the beginning and </w:t>
      </w:r>
      <w:r>
        <w:lastRenderedPageBreak/>
        <w:t xml:space="preserve">end of the period of record were neglible (Table S5). Overall, OTB showed the largest increase in the number of days each year when salinity was below a threshold, particularly for 25 ppt, where the change was 86 days per year from 1975 to 2022 (130 days to 216 days per year, </w:t>
      </w:r>
      <w:hyperlink w:anchor="tbl-mixdaytab">
        <w:r>
          <w:rPr>
            <w:rStyle w:val="Hyperlink"/>
          </w:rPr>
          <w:t>Table 4</w:t>
        </w:r>
      </w:hyperlink>
      <w:r>
        <w:t>, Table S5, see Table S6 for 1998 to 2022). Across all bay segments, the average increase in the number of days salinity was below 25 ppt from 1975 to 2022 was 36 days, although a distinct gradient towards the mouth of the bay was observed.</w:t>
      </w:r>
    </w:p>
    <w:p w14:paraId="0373211A" w14:textId="77777777" w:rsidR="00472C87" w:rsidRDefault="00000000">
      <w:pPr>
        <w:pStyle w:val="BodyText"/>
      </w:pPr>
      <w:r>
        <w:t xml:space="preserve">The number of days when both temperature was above and salinity was below a threshold also varied by bay segment (Table S3). The number of days when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salinity was below 25 ppt had the largest slopes of 1.4, 1.1, and 0.7 days per year for OTB, HB, and MTB, respectively. Likewise, the average number of days when both temperature was above 29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salinity was below 25 ppt from the beginning to the end of the period showed the greatest increase for OTB of 68 days (4 days to 72 days per year from 1975 to 2022).</w:t>
      </w:r>
    </w:p>
    <w:p w14:paraId="72C998D7" w14:textId="77777777" w:rsidR="00472C87" w:rsidRDefault="00000000">
      <w:pPr>
        <w:pStyle w:val="BodyText"/>
      </w:pPr>
      <w:hyperlink w:anchor="fig-mixeff">
        <w:r>
          <w:rPr>
            <w:rStyle w:val="Hyperlink"/>
          </w:rPr>
          <w:t>Figure 6</w:t>
        </w:r>
      </w:hyperlink>
      <w:r>
        <w:t xml:space="preserve"> provides visual examples of the mixed-effects models for the estimated number of days over time for each bay segment from 1975 to present when temperature was above 30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 </w:t>
      </w:r>
      <w:hyperlink w:anchor="fig-mixeff">
        <w:r>
          <w:rPr>
            <w:rStyle w:val="Hyperlink"/>
          </w:rPr>
          <w:t>Figure 6</w:t>
        </w:r>
      </w:hyperlink>
      <w:r>
        <w:t xml:space="preserve">). That is, more restrictive thresholds did not provide sufficient counts of days per year </w:t>
      </w:r>
      <w:r>
        <w:lastRenderedPageBreak/>
        <w:t>to more rigorously develop seagrass response models and the chosen thresholds were based primarily on statistical considerations.</w:t>
      </w:r>
    </w:p>
    <w:p w14:paraId="3AF96B5D" w14:textId="77777777" w:rsidR="00472C87" w:rsidRDefault="00000000">
      <w:pPr>
        <w:pStyle w:val="Heading3"/>
      </w:pPr>
      <w:bookmarkStart w:id="17" w:name="seagrass-response"/>
      <w:bookmarkEnd w:id="16"/>
      <w:r>
        <w:t>3.3 Seagrass response</w:t>
      </w:r>
    </w:p>
    <w:p w14:paraId="0D98A0FC" w14:textId="77777777" w:rsidR="00472C87" w:rsidRDefault="00000000">
      <w:pPr>
        <w:pStyle w:val="FirstParagraph"/>
      </w:pPr>
      <w:r>
        <w:t>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0.93, Deviance explained = 97%) had notable associations with year for the OTB and MTB bay segments and for light attenuation for the HB bay segment (</w:t>
      </w:r>
      <w:hyperlink w:anchor="fig-sgmod1">
        <w:r>
          <w:rPr>
            <w:rStyle w:val="Hyperlink"/>
          </w:rPr>
          <w:t>Figure 7</w:t>
        </w:r>
      </w:hyperlink>
      <w:r>
        <w:t>, Table S7). Associations of seagrass change with the temperature and salinity metrics were weak and somewhat contrary to expectation (i.e., an increasing partial effect on seagrass as the stressor metrics increased). The EPC model using the “both” stressor metric was similar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0.97, Deviance explained = 99%, Figure S7, Table S8), suggesting no added benefit of evaluating times when both temperature was above and salinity was below the threshold.</w:t>
      </w:r>
    </w:p>
    <w:p w14:paraId="3364A0FD" w14:textId="77777777" w:rsidR="00472C87" w:rsidRDefault="00000000">
      <w:pPr>
        <w:pStyle w:val="BodyText"/>
      </w:pPr>
      <w:r>
        <w:t>The GAMs for the FIM and PDEM datasets had notable associations with temperature and salinity stress, where an increase in temperature and a decrease in salinity was often associated with a decline in seagrass depending on bay segment. The FIM model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0.81, Deviance explained = 89%), Figure </w:t>
      </w:r>
      <w:hyperlink w:anchor="fig-sgmod2">
        <w:r>
          <w:rPr>
            <w:rStyle w:val="Hyperlink"/>
          </w:rPr>
          <w:t>8</w:t>
        </w:r>
      </w:hyperlink>
      <w:r>
        <w:t>a, Table S9) showed a slight decrease in seagrass with increasing temperature for HB and MTB, with a similar change as salinity decreased. The PDEM model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0.69, Deviance explained = 81%, Figure </w:t>
      </w:r>
      <w:hyperlink w:anchor="fig-sgmod2">
        <w:r>
          <w:rPr>
            <w:rStyle w:val="Hyperlink"/>
          </w:rPr>
          <w:t>8</w:t>
        </w:r>
      </w:hyperlink>
      <w:r>
        <w:t>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p w14:paraId="3680E1A7" w14:textId="77777777" w:rsidR="00472C87" w:rsidRDefault="00000000">
      <w:pPr>
        <w:pStyle w:val="Heading2"/>
      </w:pPr>
      <w:bookmarkStart w:id="18" w:name="discussion"/>
      <w:bookmarkEnd w:id="14"/>
      <w:bookmarkEnd w:id="17"/>
      <w:r>
        <w:lastRenderedPageBreak/>
        <w:t>4 Discussion</w:t>
      </w:r>
    </w:p>
    <w:p w14:paraId="095D920C" w14:textId="77777777" w:rsidR="00472C87" w:rsidRDefault="00000000">
      <w:pPr>
        <w:pStyle w:val="FirstParagraph"/>
      </w:pPr>
      <w:r>
        <w:t xml:space="preserve">Global increases in temperature and altered precipitation patterns related to climate change have had measurable effects on the structure and functioning of a wide range of natural environments (Osland et al. 2015; Oliver et al. 2018). For Tampa Bay, these changes have been demonstrated using long-term trends in water temperature and salinity, which mirrored long-term changes in air temperature and precipitation. Tampa Bay has gotten hotter and fresher; water temperature has increased by 0.03 - 0.04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per year and salinity has decreased by 0.04 - 0.06 ppt per year, translating to an increase of 1.3 to 1.7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a decrease of 1.6 to 2.6 ppt over the past fifty years. The number of days each year when temperature was above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14:paraId="65B889AF" w14:textId="77777777" w:rsidR="00472C87" w:rsidRDefault="00000000">
      <w:pPr>
        <w:pStyle w:val="BodyText"/>
      </w:pPr>
      <w:r>
        <w:t xml:space="preserve">Similar regional, long-term changes in coastal waters and estuaries have been observed by others (Carlson et al. 2018; Nickerson et al. 2023; Shi and Hu In review). Nickerson et al. (2023) evaluated sea surface trends at a larger spatial scale for Tampa Bay, the West Florida Continental Shelf, and the adjacent Gulf of Mexico. Temperature trends were similar to those herein for Tampa Bay (the EPC dataset was also used). Nickerson et al. (2023) also noted that temperature increases in Tampa Bay were most pronounced in the winter, although they rightfully acknowledge the sensitivity of their results to conditions at the start and end of the time series. </w:t>
      </w:r>
      <w:r>
        <w:lastRenderedPageBreak/>
        <w:t>Our assessment evaluated non-parametric trends (i.e., Kendall tests, less sensitive to outliers) at individual EPC stations and bay segments, whereas Nickerson et al. (2023) 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Figure 5</w:t>
        </w:r>
      </w:hyperlink>
      <w:r>
        <w:t>),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 (Weisberg and Zheng 2006). Additionally, Shi and Hu (In review) provided a recent assessment of a 2023 heatwave in south Florida, supported by a 20-year trend assessment that suggested estuaries were warming at nearly double the rate of the Gulf of Mexico. The upper limit of our warming estimate for Tampa Bay is comparable. Notably, Carlson et al. (2018) suggest a link between historical seagrass losses in Florida Bay and rapid warming in shallow areas with low surface reflectance.</w:t>
      </w:r>
    </w:p>
    <w:p w14:paraId="7386E8AB" w14:textId="77777777" w:rsidR="00472C87" w:rsidRDefault="00000000">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r>
        <w:lastRenderedPageBreak/>
        <w:t>(</w:t>
      </w:r>
      <w:hyperlink w:anchor="fig-sgmod2">
        <w:r>
          <w:rPr>
            <w:rStyle w:val="Hyperlink"/>
          </w:rPr>
          <w:t>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 </w:t>
      </w:r>
      <w:hyperlink w:anchor="fig-map">
        <w:r>
          <w:rPr>
            <w:rStyle w:val="Hyperlink"/>
          </w:rPr>
          <w:t>1</w:t>
        </w:r>
      </w:hyperlink>
      <w:r>
        <w:t>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14:paraId="1998F01E" w14:textId="77777777" w:rsidR="00472C87" w:rsidRDefault="00000000">
      <w:pPr>
        <w:pStyle w:val="BodyText"/>
      </w:pPr>
      <w:r>
        <w:t xml:space="preserve">An additional caveat of our models was the use of “thresholds” to define potential stressor metrics for temperature and salinity on an annual time scale. Our choice to use 30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 (R. C. Phillips 1960; McMillan and Moseley 1967; Zieman 1975; Lirman and Cropper 2003). Because we did not see a dramatic increase in the number of days each year when the thresholds were crossed at more stressful values, conditions in Tampa Bay in recent years are generally within the ecological niche for seagrasses. This is especially true for </w:t>
      </w:r>
      <w:r>
        <w:rPr>
          <w:i/>
          <w:iCs/>
        </w:rPr>
        <w:t>H. wrightii</w:t>
      </w:r>
      <w:r>
        <w:t xml:space="preserve"> that had the greatest changes over the period of record and is tolerant of a </w:t>
      </w:r>
      <w:r>
        <w:lastRenderedPageBreak/>
        <w:t>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Figure 6</w:t>
        </w:r>
      </w:hyperlink>
      <w:r>
        <w:t>).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14:paraId="1B407C74" w14:textId="77777777" w:rsidR="00472C87" w:rsidRDefault="00000000">
      <w:pPr>
        <w:pStyle w:val="BodyText"/>
      </w:pPr>
      <w:r>
        <w:t>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 (Greening et al. 2014; Sherwood et al. 2017).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 (A. Janicki et al. 2000), particularly in OTB where the most loss occurred (Figure -</w:t>
      </w:r>
      <w:hyperlink w:anchor="fig-seagrasschg">
        <w:r>
          <w:rPr>
            <w:rStyle w:val="Hyperlink"/>
          </w:rPr>
          <w:t>Figure 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w:t>
      </w:r>
      <w:r>
        <w:lastRenderedPageBreak/>
        <w:t>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(Carlson et al. 2018).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14:paraId="13F3218B" w14:textId="77777777" w:rsidR="00472C87" w:rsidRDefault="00000000">
      <w:pPr>
        <w:pStyle w:val="BodyText"/>
      </w:pPr>
      <w:r>
        <w:t xml:space="preserve">The seagrass loss in Tampa Bay since 2016 is a notable phenomenon that is not limited to our study area (Lizcano-Sandoval et al. 2022). Losses have been observed throughout southwest Florida during this time period, including Sarasota Bay directly south of Tampa Bay and Charlotte Harbor further south (Tomasko et al. 2020).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(Tomasko et al. 2005). Additional factors that could explain these changes are also likely co-occurring with climate stress, some of which are unique to Tampa Bay and others that are more likely pervasive. For Tampa Bay, annual summer/fall blooms of the toxic dinoflagellate </w:t>
      </w:r>
      <w:r>
        <w:rPr>
          <w:i/>
          <w:iCs/>
        </w:rPr>
        <w:t>Pyrodinium bahamense</w:t>
      </w:r>
      <w:r>
        <w:t xml:space="preserve"> have occurred in OTB since 2008 (Usup et al. 1994; Lopez et al. 2023) 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w:t>
      </w:r>
      <w:r>
        <w:lastRenderedPageBreak/>
        <w:t>residence times (Phlips et al. 2006; Lopez et al. 2021). The effect of warming temperature and decreasing salinity in OTB will further complicate the understanding of how these blooms manifest and persist each year (Koch et al. 2007; Stelling et al. 2023), and ultimately contribute to changes in the light environment affecting seagrass resources in this bay segment.</w:t>
      </w:r>
    </w:p>
    <w:p w14:paraId="715A9C32" w14:textId="77777777" w:rsidR="00472C87" w:rsidRDefault="00000000">
      <w:pPr>
        <w:pStyle w:val="BodyText"/>
      </w:pPr>
      <w:r>
        <w:t xml:space="preserve">Additional biotic factors could be influencing regional patterns in seagrass growth. In Tampa Bay and elsewhere, enhanced macroalgal production has been a recent concern (L. M. Hall et al. 2022; Janicki Environmental, Inc. 2022; Brewton and Lapointe 2023; Scolaro et al. 2023). Attached macroalgae abundance has increased over time and has been observed to colonize locations where seagrass was formerly present in Tampa Bay (Beck 2020b). Competitive differences between seagrasses and macroalgae are poorly understood in these systems (but see Bell and Hall 1997; Taplin et al. 2005; Brewton and Lapointe 2023), in addition to insufficient macroalgae data in Tampa Bay that cannot clearly describe seasonal growth, distribution patterns, and nutrient cycling. Discrete pollutant loading events in Tampa Bay have been documented to promote both phytoplankton and macroalgae growth (Beck et al. 2022; Scolaro et al. 2023; Tomasko 2023).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 (Robblee et al. 1991; Van Bogaert et al. 2018; Duffin et al. 2021). For example, the parasitic slime mold </w:t>
      </w:r>
      <w:r>
        <w:rPr>
          <w:i/>
          <w:iCs/>
        </w:rPr>
        <w:t>Labryinthula</w:t>
      </w:r>
      <w:r>
        <w:t xml:space="preserve"> spp. that causes seagrass wasting disease has been known to infect </w:t>
      </w:r>
      <w:r>
        <w:rPr>
          <w:i/>
          <w:iCs/>
        </w:rPr>
        <w:t>Thalassia testudinum</w:t>
      </w:r>
      <w:r>
        <w:t xml:space="preserve"> in Tampa Bay (Blakesley et al. 2001), although it is unclear if these infections have had large-scale, population-level effects. Existing research has primarily focused on describing spatial patterns, past die-off events, or immunology of these pathogens (Robblee et al. 1991; </w:t>
      </w:r>
      <w:r>
        <w:lastRenderedPageBreak/>
        <w:t>Duffin et al. 2021). More research should be directed towards the influence of climate stressors on seagrass pathogen vulnerability.</w:t>
      </w:r>
    </w:p>
    <w:p w14:paraId="3C272E0A" w14:textId="77777777" w:rsidR="00472C87" w:rsidRDefault="00000000">
      <w:pPr>
        <w:pStyle w:val="BodyText"/>
      </w:pPr>
      <w:r>
        <w:t xml:space="preserve">Lastly, our result showing that salinity has decreased in Tampa Bay is contrary to expectations for how sea-level rise will affect coastal systems (Costa et al. 2023; Alarcon et al. 2024), as salinity increases with sea-level rise have already caused numerous alterations of subtidal and nearshore habitats (Brinson et al. 1995; White and Kaplan 2017). In southwest Florida, the most common ecological example is the upland expansion of mangroves in response to increased porewater salinity and water levels over the past few decades (Borchert et al. 2018). Alteration of salinity regimes for surface and groundwater resources have been well documented. In Florida Bay, for example, widespread decline of </w:t>
      </w:r>
      <w:r>
        <w:rPr>
          <w:i/>
          <w:iCs/>
        </w:rPr>
        <w:t>T. testudinum</w:t>
      </w:r>
      <w:r>
        <w:t xml:space="preserve"> has been attributed to altered hydrology and drought-induced hypersaline conditions, and sea level rise is expected to further modify salinity dynamics in the region (Margaret O. Hall et al. 2016). However, elevated summertime temperatures were also implicated in the decline. Dessu et al. (2018) 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p w14:paraId="461E037C" w14:textId="77777777" w:rsidR="00472C87" w:rsidRDefault="00000000">
      <w:pPr>
        <w:pStyle w:val="Heading3"/>
      </w:pPr>
      <w:bookmarkStart w:id="19" w:name="conclusions"/>
      <w:r>
        <w:t>4.1 Conclusions</w:t>
      </w:r>
    </w:p>
    <w:p w14:paraId="08787B53" w14:textId="77777777" w:rsidR="00472C87" w:rsidRDefault="00000000">
      <w:pPr>
        <w:pStyle w:val="FirstParagraph"/>
      </w:pPr>
      <w:r>
        <w:t xml:space="preserve">This study provided a detailed assessment of long-term water temperature and salinity changes in Tampa Bay supported by datasets from three long-term monitoring programs of different length </w:t>
      </w:r>
      <w:r>
        <w:lastRenderedPageBreak/>
        <w:t xml:space="preserve">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 </w:t>
      </w:r>
      <w:hyperlink r:id="rId11">
        <w:r>
          <w:rPr>
            <w:rStyle w:val="Hyperlink"/>
          </w:rPr>
          <w:t>https://tbep-tech.github.io/otb-temp/tempeval</w:t>
        </w:r>
      </w:hyperlink>
      <w:r>
        <w:t>). Morpohological or physiological measurements at the individual level could also provide early indications of heat and osmotic stress.</w:t>
      </w:r>
    </w:p>
    <w:p w14:paraId="111FD960" w14:textId="77777777" w:rsidR="00472C87" w:rsidRDefault="00000000">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 (Greening and Janicki 2006; Greening et al. 2014).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w:t>
      </w:r>
      <w:r>
        <w:lastRenderedPageBreak/>
        <w:t>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14:paraId="0DE2F086" w14:textId="77777777" w:rsidR="00472C87" w:rsidRDefault="00000000">
      <w:r>
        <w:br w:type="page"/>
      </w:r>
    </w:p>
    <w:p w14:paraId="56320471" w14:textId="77777777" w:rsidR="00472C87" w:rsidRDefault="00000000">
      <w:pPr>
        <w:pStyle w:val="Heading2"/>
      </w:pPr>
      <w:bookmarkStart w:id="20" w:name="figures"/>
      <w:bookmarkEnd w:id="18"/>
      <w:bookmarkEnd w:id="19"/>
      <w:r>
        <w:lastRenderedPageBreak/>
        <w:t>Figures</w:t>
      </w:r>
    </w:p>
    <w:tbl>
      <w:tblPr>
        <w:tblW w:w="5000" w:type="pct"/>
        <w:tblLayout w:type="fixed"/>
        <w:tblLook w:val="0000" w:firstRow="0" w:lastRow="0" w:firstColumn="0" w:lastColumn="0" w:noHBand="0" w:noVBand="0"/>
      </w:tblPr>
      <w:tblGrid>
        <w:gridCol w:w="9576"/>
      </w:tblGrid>
      <w:tr w:rsidR="00472C87" w14:paraId="14E1B5A3" w14:textId="77777777">
        <w:tc>
          <w:tcPr>
            <w:tcW w:w="7920" w:type="dxa"/>
          </w:tcPr>
          <w:p w14:paraId="57E152FE" w14:textId="77777777" w:rsidR="00472C87" w:rsidRDefault="00000000">
            <w:pPr>
              <w:pStyle w:val="Compact"/>
              <w:jc w:val="center"/>
            </w:pPr>
            <w:bookmarkStart w:id="21" w:name="fig-map"/>
            <w:r>
              <w:rPr>
                <w:noProof/>
              </w:rPr>
              <w:drawing>
                <wp:inline distT="0" distB="0" distL="0" distR="0" wp14:anchorId="38AEA953" wp14:editId="1FA2B7D6">
                  <wp:extent cx="3669832" cy="5963478"/>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figs/map.png"/>
                          <pic:cNvPicPr>
                            <a:picLocks noChangeAspect="1" noChangeArrowheads="1"/>
                          </pic:cNvPicPr>
                        </pic:nvPicPr>
                        <pic:blipFill>
                          <a:blip r:embed="rId12"/>
                          <a:stretch>
                            <a:fillRect/>
                          </a:stretch>
                        </pic:blipFill>
                        <pic:spPr bwMode="auto">
                          <a:xfrm>
                            <a:off x="0" y="0"/>
                            <a:ext cx="3669832" cy="5963478"/>
                          </a:xfrm>
                          <a:prstGeom prst="rect">
                            <a:avLst/>
                          </a:prstGeom>
                          <a:noFill/>
                          <a:ln w="9525">
                            <a:noFill/>
                            <a:headEnd/>
                            <a:tailEnd/>
                          </a:ln>
                        </pic:spPr>
                      </pic:pic>
                    </a:graphicData>
                  </a:graphic>
                </wp:inline>
              </w:drawing>
            </w:r>
          </w:p>
          <w:p w14:paraId="7A39C258" w14:textId="77777777" w:rsidR="00472C87" w:rsidRDefault="00000000">
            <w:pPr>
              <w:pStyle w:val="ImageCaption"/>
              <w:spacing w:before="200"/>
            </w:pPr>
            <w:r>
              <w:t>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tc>
        <w:bookmarkEnd w:id="21"/>
      </w:tr>
    </w:tbl>
    <w:p w14:paraId="3201F7DF" w14:textId="77777777" w:rsidR="00472C87" w:rsidRDefault="00000000">
      <w:r>
        <w:br w:type="page"/>
      </w:r>
    </w:p>
    <w:tbl>
      <w:tblPr>
        <w:tblW w:w="5000" w:type="pct"/>
        <w:tblLayout w:type="fixed"/>
        <w:tblLook w:val="0000" w:firstRow="0" w:lastRow="0" w:firstColumn="0" w:lastColumn="0" w:noHBand="0" w:noVBand="0"/>
      </w:tblPr>
      <w:tblGrid>
        <w:gridCol w:w="9576"/>
      </w:tblGrid>
      <w:tr w:rsidR="00472C87" w14:paraId="69A8A813" w14:textId="77777777">
        <w:tc>
          <w:tcPr>
            <w:tcW w:w="7920" w:type="dxa"/>
          </w:tcPr>
          <w:p w14:paraId="108EEEB2" w14:textId="77777777" w:rsidR="00472C87" w:rsidRDefault="00000000">
            <w:pPr>
              <w:pStyle w:val="Compact"/>
              <w:jc w:val="center"/>
            </w:pPr>
            <w:bookmarkStart w:id="22" w:name="fig-seagrasschg"/>
            <w:r>
              <w:rPr>
                <w:noProof/>
              </w:rPr>
              <w:lastRenderedPageBreak/>
              <w:drawing>
                <wp:inline distT="0" distB="0" distL="0" distR="0" wp14:anchorId="407348AF" wp14:editId="21B84767">
                  <wp:extent cx="5943600" cy="59436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figs/seagrasschg.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5667DD7B" w14:textId="77777777" w:rsidR="00472C87" w:rsidRDefault="00000000">
            <w:pPr>
              <w:pStyle w:val="ImageCaption"/>
              <w:spacing w:before="200"/>
            </w:pPr>
            <w:r>
              <w:t>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tc>
        <w:bookmarkEnd w:id="22"/>
      </w:tr>
    </w:tbl>
    <w:p w14:paraId="0644CC6E" w14:textId="77777777" w:rsidR="00472C87" w:rsidRDefault="00000000">
      <w:r>
        <w:br w:type="page"/>
      </w:r>
    </w:p>
    <w:tbl>
      <w:tblPr>
        <w:tblW w:w="5000" w:type="pct"/>
        <w:tblLayout w:type="fixed"/>
        <w:tblLook w:val="0000" w:firstRow="0" w:lastRow="0" w:firstColumn="0" w:lastColumn="0" w:noHBand="0" w:noVBand="0"/>
      </w:tblPr>
      <w:tblGrid>
        <w:gridCol w:w="9576"/>
      </w:tblGrid>
      <w:tr w:rsidR="00472C87" w14:paraId="045D412B" w14:textId="77777777">
        <w:tc>
          <w:tcPr>
            <w:tcW w:w="7920" w:type="dxa"/>
          </w:tcPr>
          <w:p w14:paraId="18633E2D" w14:textId="77777777" w:rsidR="00472C87" w:rsidRDefault="00000000">
            <w:pPr>
              <w:pStyle w:val="Compact"/>
              <w:jc w:val="center"/>
            </w:pPr>
            <w:bookmarkStart w:id="23" w:name="fig-concept"/>
            <w:r>
              <w:rPr>
                <w:noProof/>
              </w:rPr>
              <w:lastRenderedPageBreak/>
              <w:drawing>
                <wp:inline distT="0" distB="0" distL="0" distR="0" wp14:anchorId="35980E7D" wp14:editId="2570A39C">
                  <wp:extent cx="4905519" cy="500279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figs/concept.png"/>
                          <pic:cNvPicPr>
                            <a:picLocks noChangeAspect="1" noChangeArrowheads="1"/>
                          </pic:cNvPicPr>
                        </pic:nvPicPr>
                        <pic:blipFill>
                          <a:blip r:embed="rId14"/>
                          <a:stretch>
                            <a:fillRect/>
                          </a:stretch>
                        </pic:blipFill>
                        <pic:spPr bwMode="auto">
                          <a:xfrm>
                            <a:off x="0" y="0"/>
                            <a:ext cx="4905519" cy="5002796"/>
                          </a:xfrm>
                          <a:prstGeom prst="rect">
                            <a:avLst/>
                          </a:prstGeom>
                          <a:noFill/>
                          <a:ln w="9525">
                            <a:noFill/>
                            <a:headEnd/>
                            <a:tailEnd/>
                          </a:ln>
                        </pic:spPr>
                      </pic:pic>
                    </a:graphicData>
                  </a:graphic>
                </wp:inline>
              </w:drawing>
            </w:r>
          </w:p>
          <w:p w14:paraId="32551040" w14:textId="77777777" w:rsidR="00472C87" w:rsidRDefault="00000000">
            <w:pPr>
              <w:pStyle w:val="ImageCaption"/>
              <w:spacing w:before="200"/>
            </w:pPr>
            <w:r>
              <w:t>Fig. 3: Conceptual stressor diagram demonstrating a two-dimensional niche space for temperature and salinity. Tampa Bay is trending towards the bottom right.</w:t>
            </w:r>
          </w:p>
        </w:tc>
        <w:bookmarkEnd w:id="23"/>
      </w:tr>
    </w:tbl>
    <w:p w14:paraId="0899C0E7" w14:textId="77777777" w:rsidR="00472C87" w:rsidRDefault="00000000">
      <w:r>
        <w:br w:type="page"/>
      </w:r>
    </w:p>
    <w:tbl>
      <w:tblPr>
        <w:tblW w:w="5000" w:type="pct"/>
        <w:tblLayout w:type="fixed"/>
        <w:tblLook w:val="0000" w:firstRow="0" w:lastRow="0" w:firstColumn="0" w:lastColumn="0" w:noHBand="0" w:noVBand="0"/>
      </w:tblPr>
      <w:tblGrid>
        <w:gridCol w:w="9576"/>
      </w:tblGrid>
      <w:tr w:rsidR="00472C87" w14:paraId="12A78AD9" w14:textId="77777777">
        <w:tc>
          <w:tcPr>
            <w:tcW w:w="7920" w:type="dxa"/>
          </w:tcPr>
          <w:p w14:paraId="0D8A0CD4" w14:textId="77777777" w:rsidR="00472C87" w:rsidRDefault="00000000">
            <w:pPr>
              <w:pStyle w:val="Compact"/>
              <w:jc w:val="center"/>
            </w:pPr>
            <w:bookmarkStart w:id="24" w:name="fig-meteowqraw"/>
            <w:r>
              <w:rPr>
                <w:noProof/>
              </w:rPr>
              <w:lastRenderedPageBreak/>
              <w:drawing>
                <wp:inline distT="0" distB="0" distL="0" distR="0" wp14:anchorId="6D41551C" wp14:editId="7E6B1146">
                  <wp:extent cx="5943600" cy="6368142"/>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figs/meteowqraw.png"/>
                          <pic:cNvPicPr>
                            <a:picLocks noChangeAspect="1" noChangeArrowheads="1"/>
                          </pic:cNvPicPr>
                        </pic:nvPicPr>
                        <pic:blipFill>
                          <a:blip r:embed="rId15"/>
                          <a:stretch>
                            <a:fillRect/>
                          </a:stretch>
                        </pic:blipFill>
                        <pic:spPr bwMode="auto">
                          <a:xfrm>
                            <a:off x="0" y="0"/>
                            <a:ext cx="5943600" cy="6368142"/>
                          </a:xfrm>
                          <a:prstGeom prst="rect">
                            <a:avLst/>
                          </a:prstGeom>
                          <a:noFill/>
                          <a:ln w="9525">
                            <a:noFill/>
                            <a:headEnd/>
                            <a:tailEnd/>
                          </a:ln>
                        </pic:spPr>
                      </pic:pic>
                    </a:graphicData>
                  </a:graphic>
                </wp:inline>
              </w:drawing>
            </w:r>
          </w:p>
          <w:p w14:paraId="041AC942" w14:textId="77777777" w:rsidR="00472C87" w:rsidRDefault="00000000">
            <w:pPr>
              <w:pStyle w:val="ImageCaption"/>
              <w:spacing w:before="200"/>
            </w:pPr>
            <w:r>
              <w:t>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tc>
        <w:bookmarkEnd w:id="24"/>
      </w:tr>
    </w:tbl>
    <w:p w14:paraId="40865E34" w14:textId="77777777" w:rsidR="00472C87" w:rsidRDefault="00000000">
      <w:r>
        <w:br w:type="page"/>
      </w:r>
    </w:p>
    <w:tbl>
      <w:tblPr>
        <w:tblW w:w="5000" w:type="pct"/>
        <w:tblLayout w:type="fixed"/>
        <w:tblLook w:val="0000" w:firstRow="0" w:lastRow="0" w:firstColumn="0" w:lastColumn="0" w:noHBand="0" w:noVBand="0"/>
      </w:tblPr>
      <w:tblGrid>
        <w:gridCol w:w="9576"/>
      </w:tblGrid>
      <w:tr w:rsidR="00472C87" w14:paraId="5DF801C3" w14:textId="77777777">
        <w:tc>
          <w:tcPr>
            <w:tcW w:w="7920" w:type="dxa"/>
          </w:tcPr>
          <w:p w14:paraId="7DD8D3A5" w14:textId="77777777" w:rsidR="00472C87" w:rsidRDefault="00000000">
            <w:pPr>
              <w:pStyle w:val="Compact"/>
              <w:jc w:val="center"/>
            </w:pPr>
            <w:bookmarkStart w:id="25" w:name="fig-kendall"/>
            <w:r>
              <w:rPr>
                <w:noProof/>
              </w:rPr>
              <w:lastRenderedPageBreak/>
              <w:drawing>
                <wp:inline distT="0" distB="0" distL="0" distR="0" wp14:anchorId="6C829F3E" wp14:editId="6A23EE41">
                  <wp:extent cx="5943600" cy="2815389"/>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figs/kendall.png"/>
                          <pic:cNvPicPr>
                            <a:picLocks noChangeAspect="1" noChangeArrowheads="1"/>
                          </pic:cNvPicPr>
                        </pic:nvPicPr>
                        <pic:blipFill>
                          <a:blip r:embed="rId16"/>
                          <a:stretch>
                            <a:fillRect/>
                          </a:stretch>
                        </pic:blipFill>
                        <pic:spPr bwMode="auto">
                          <a:xfrm>
                            <a:off x="0" y="0"/>
                            <a:ext cx="5943600" cy="2815389"/>
                          </a:xfrm>
                          <a:prstGeom prst="rect">
                            <a:avLst/>
                          </a:prstGeom>
                          <a:noFill/>
                          <a:ln w="9525">
                            <a:noFill/>
                            <a:headEnd/>
                            <a:tailEnd/>
                          </a:ln>
                        </pic:spPr>
                      </pic:pic>
                    </a:graphicData>
                  </a:graphic>
                </wp:inline>
              </w:drawing>
            </w:r>
          </w:p>
          <w:p w14:paraId="023C4A38" w14:textId="77777777" w:rsidR="00472C87" w:rsidRDefault="00000000">
            <w:pPr>
              <w:pStyle w:val="ImageCaption"/>
              <w:spacing w:before="200"/>
            </w:pPr>
            <w:r>
              <w:t>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sSupPr>
                  <m:ctrlPr>
                    <w:rPr>
                      <w:rFonts w:ascii="Cambria Math" w:hAnsi="Cambria Math"/>
                    </w:rPr>
                  </m:ctrlPr>
                </m:sSupPr>
                <m:e>
                  <m:r>
                    <w:rPr>
                      <w:rFonts w:ascii="Cambria Math" w:hAnsi="Cambria Math"/>
                    </w:rPr>
                    <m:t>​</m:t>
                  </m:r>
                </m:e>
                <m:sup>
                  <m:r>
                    <w:rPr>
                      <w:rFonts w:ascii="Cambria Math" w:hAnsi="Cambria Math"/>
                    </w:rPr>
                    <m:t>-1</m:t>
                  </m:r>
                </m:sup>
              </m:sSup>
            </m:oMath>
            <w:r>
              <w:t>). Summarized seasonal trends by month are shown as (b) the average magnitude of change (slope) per month for stations in each bay segment for temperature and salinity. Bay segment outlines are shown in (a); OTB: Old Tampa Bay, HB: Hillsborough Bay, MTB: Middle Tampa Bay, LTB: Lower Tampa Bay.</w:t>
            </w:r>
          </w:p>
        </w:tc>
        <w:bookmarkEnd w:id="25"/>
      </w:tr>
    </w:tbl>
    <w:p w14:paraId="0E687142" w14:textId="77777777" w:rsidR="00472C87" w:rsidRDefault="00000000">
      <w:r>
        <w:br w:type="page"/>
      </w:r>
    </w:p>
    <w:tbl>
      <w:tblPr>
        <w:tblW w:w="5000" w:type="pct"/>
        <w:tblLayout w:type="fixed"/>
        <w:tblLook w:val="0000" w:firstRow="0" w:lastRow="0" w:firstColumn="0" w:lastColumn="0" w:noHBand="0" w:noVBand="0"/>
      </w:tblPr>
      <w:tblGrid>
        <w:gridCol w:w="9576"/>
      </w:tblGrid>
      <w:tr w:rsidR="00472C87" w14:paraId="6D94EAB0" w14:textId="77777777">
        <w:tc>
          <w:tcPr>
            <w:tcW w:w="7920" w:type="dxa"/>
          </w:tcPr>
          <w:p w14:paraId="57CDAC2B" w14:textId="77777777" w:rsidR="00472C87" w:rsidRDefault="00000000">
            <w:pPr>
              <w:pStyle w:val="Compact"/>
              <w:jc w:val="center"/>
            </w:pPr>
            <w:bookmarkStart w:id="26" w:name="fig-mixeff"/>
            <w:r>
              <w:rPr>
                <w:noProof/>
              </w:rPr>
              <w:lastRenderedPageBreak/>
              <w:drawing>
                <wp:inline distT="0" distB="0" distL="0" distR="0" wp14:anchorId="7F7820A1" wp14:editId="3E88CBB5">
                  <wp:extent cx="5943600" cy="5094514"/>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figs/mixeff.png"/>
                          <pic:cNvPicPr>
                            <a:picLocks noChangeAspect="1" noChangeArrowheads="1"/>
                          </pic:cNvPicPr>
                        </pic:nvPicPr>
                        <pic:blipFill>
                          <a:blip r:embed="rId17"/>
                          <a:stretch>
                            <a:fillRect/>
                          </a:stretch>
                        </pic:blipFill>
                        <pic:spPr bwMode="auto">
                          <a:xfrm>
                            <a:off x="0" y="0"/>
                            <a:ext cx="5943600" cy="5094514"/>
                          </a:xfrm>
                          <a:prstGeom prst="rect">
                            <a:avLst/>
                          </a:prstGeom>
                          <a:noFill/>
                          <a:ln w="9525">
                            <a:noFill/>
                            <a:headEnd/>
                            <a:tailEnd/>
                          </a:ln>
                        </pic:spPr>
                      </pic:pic>
                    </a:graphicData>
                  </a:graphic>
                </wp:inline>
              </w:drawing>
            </w:r>
          </w:p>
          <w:p w14:paraId="0852DA7F" w14:textId="77777777" w:rsidR="00472C87" w:rsidRDefault="00000000">
            <w:pPr>
              <w:pStyle w:val="ImageCaption"/>
              <w:spacing w:before="200"/>
            </w:pPr>
            <w:r>
              <w:t xml:space="preserve">Fig. 6: Example of mixed effects models for the estimated number of days per year that temperature (red) or salinity (blue) were above or below thresholds of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tc>
        <w:bookmarkEnd w:id="26"/>
      </w:tr>
    </w:tbl>
    <w:p w14:paraId="04FC56C1" w14:textId="77777777" w:rsidR="00472C87" w:rsidRDefault="00000000">
      <w:r>
        <w:br w:type="page"/>
      </w:r>
    </w:p>
    <w:tbl>
      <w:tblPr>
        <w:tblW w:w="5000" w:type="pct"/>
        <w:tblLayout w:type="fixed"/>
        <w:tblLook w:val="0000" w:firstRow="0" w:lastRow="0" w:firstColumn="0" w:lastColumn="0" w:noHBand="0" w:noVBand="0"/>
      </w:tblPr>
      <w:tblGrid>
        <w:gridCol w:w="9576"/>
      </w:tblGrid>
      <w:tr w:rsidR="00472C87" w14:paraId="286A1160" w14:textId="77777777">
        <w:tc>
          <w:tcPr>
            <w:tcW w:w="7920" w:type="dxa"/>
          </w:tcPr>
          <w:p w14:paraId="5F98E47B" w14:textId="77777777" w:rsidR="00472C87" w:rsidRDefault="00000000">
            <w:pPr>
              <w:pStyle w:val="Compact"/>
              <w:jc w:val="center"/>
            </w:pPr>
            <w:bookmarkStart w:id="27" w:name="fig-sgmod1"/>
            <w:r>
              <w:rPr>
                <w:noProof/>
              </w:rPr>
              <w:lastRenderedPageBreak/>
              <w:drawing>
                <wp:inline distT="0" distB="0" distL="0" distR="0" wp14:anchorId="20FBA51D" wp14:editId="70FA1283">
                  <wp:extent cx="5943600" cy="5200649"/>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figs/sgmod1.png"/>
                          <pic:cNvPicPr>
                            <a:picLocks noChangeAspect="1" noChangeArrowheads="1"/>
                          </pic:cNvPicPr>
                        </pic:nvPicPr>
                        <pic:blipFill>
                          <a:blip r:embed="rId18"/>
                          <a:stretch>
                            <a:fillRect/>
                          </a:stretch>
                        </pic:blipFill>
                        <pic:spPr bwMode="auto">
                          <a:xfrm>
                            <a:off x="0" y="0"/>
                            <a:ext cx="5943600" cy="5200649"/>
                          </a:xfrm>
                          <a:prstGeom prst="rect">
                            <a:avLst/>
                          </a:prstGeom>
                          <a:noFill/>
                          <a:ln w="9525">
                            <a:noFill/>
                            <a:headEnd/>
                            <a:tailEnd/>
                          </a:ln>
                        </pic:spPr>
                      </pic:pic>
                    </a:graphicData>
                  </a:graphic>
                </wp:inline>
              </w:drawing>
            </w:r>
          </w:p>
          <w:p w14:paraId="07822FA2" w14:textId="77777777" w:rsidR="00472C87" w:rsidRDefault="00000000">
            <w:pPr>
              <w:pStyle w:val="ImageCaption"/>
              <w:spacing w:before="200"/>
            </w:pPr>
            <w:r>
              <w:t xml:space="preserve">Fig. 7: Partial effects of smoothers (rows) by bay segment (columns) from a Generalized Additive Model used to describe seagrass change relative to year, light attenuation, the number of days each year when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and the number of days each year when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0.93, Deviance explained = 97%</w:t>
            </w:r>
          </w:p>
        </w:tc>
        <w:bookmarkEnd w:id="27"/>
      </w:tr>
    </w:tbl>
    <w:p w14:paraId="08295A35" w14:textId="77777777" w:rsidR="00472C87" w:rsidRDefault="00000000">
      <w:r>
        <w:br w:type="page"/>
      </w:r>
    </w:p>
    <w:tbl>
      <w:tblPr>
        <w:tblW w:w="5000" w:type="pct"/>
        <w:tblLayout w:type="fixed"/>
        <w:tblLook w:val="0000" w:firstRow="0" w:lastRow="0" w:firstColumn="0" w:lastColumn="0" w:noHBand="0" w:noVBand="0"/>
      </w:tblPr>
      <w:tblGrid>
        <w:gridCol w:w="9576"/>
      </w:tblGrid>
      <w:tr w:rsidR="00472C87" w14:paraId="64B36A33" w14:textId="77777777">
        <w:tc>
          <w:tcPr>
            <w:tcW w:w="7920" w:type="dxa"/>
          </w:tcPr>
          <w:p w14:paraId="35765DEC" w14:textId="77777777" w:rsidR="00472C87" w:rsidRDefault="00000000">
            <w:pPr>
              <w:pStyle w:val="Compact"/>
              <w:jc w:val="center"/>
            </w:pPr>
            <w:bookmarkStart w:id="28" w:name="fig-sgmod2"/>
            <w:r>
              <w:rPr>
                <w:noProof/>
              </w:rPr>
              <w:lastRenderedPageBreak/>
              <w:drawing>
                <wp:inline distT="0" distB="0" distL="0" distR="0" wp14:anchorId="44A528A5" wp14:editId="0F1521EE">
                  <wp:extent cx="5943600" cy="4457699"/>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figs/sgmod2.png"/>
                          <pic:cNvPicPr>
                            <a:picLocks noChangeAspect="1" noChangeArrowheads="1"/>
                          </pic:cNvPicPr>
                        </pic:nvPicPr>
                        <pic:blipFill>
                          <a:blip r:embed="rId19"/>
                          <a:stretch>
                            <a:fillRect/>
                          </a:stretch>
                        </pic:blipFill>
                        <pic:spPr bwMode="auto">
                          <a:xfrm>
                            <a:off x="0" y="0"/>
                            <a:ext cx="5943600" cy="4457699"/>
                          </a:xfrm>
                          <a:prstGeom prst="rect">
                            <a:avLst/>
                          </a:prstGeom>
                          <a:noFill/>
                          <a:ln w="9525">
                            <a:noFill/>
                            <a:headEnd/>
                            <a:tailEnd/>
                          </a:ln>
                        </pic:spPr>
                      </pic:pic>
                    </a:graphicData>
                  </a:graphic>
                </wp:inline>
              </w:drawing>
            </w:r>
          </w:p>
          <w:p w14:paraId="18FE0931" w14:textId="77777777" w:rsidR="00472C87" w:rsidRDefault="00000000">
            <w:pPr>
              <w:pStyle w:val="ImageCaption"/>
              <w:spacing w:before="200"/>
            </w:pPr>
            <w:r>
              <w:t>Fig. 8: Partial effects of smoothers (rows) by bay segment (columns) from Generalized Additive Models evaluating seagrass changes versus year, temperature, and salinity for the (a) FIM (first three columns evaluating mean annual percent cover from 0-100, n = 81,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0.81, Deviance explained = 89%) and (b) PDEM (right column evaluating annual frequency occurrence from 0-1 in OTB only, n = 19, Adj. R</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tc>
        <w:bookmarkEnd w:id="28"/>
      </w:tr>
    </w:tbl>
    <w:p w14:paraId="51FE18B8" w14:textId="77777777" w:rsidR="00472C87" w:rsidRDefault="00000000">
      <w:r>
        <w:br w:type="page"/>
      </w:r>
    </w:p>
    <w:p w14:paraId="1C071DCB" w14:textId="77777777" w:rsidR="00472C87" w:rsidRDefault="00000000">
      <w:pPr>
        <w:pStyle w:val="Heading2"/>
      </w:pPr>
      <w:bookmarkStart w:id="29" w:name="tables"/>
      <w:bookmarkEnd w:id="20"/>
      <w:r>
        <w:lastRenderedPageBreak/>
        <w:t>Tables</w:t>
      </w:r>
    </w:p>
    <w:tbl>
      <w:tblPr>
        <w:tblW w:w="5000" w:type="pct"/>
        <w:tblLook w:val="0000" w:firstRow="0" w:lastRow="0" w:firstColumn="0" w:lastColumn="0" w:noHBand="0" w:noVBand="0"/>
      </w:tblPr>
      <w:tblGrid>
        <w:gridCol w:w="9576"/>
      </w:tblGrid>
      <w:tr w:rsidR="00472C87" w14:paraId="3AB6039E" w14:textId="77777777" w:rsidTr="00F01F7F">
        <w:tc>
          <w:tcPr>
            <w:tcW w:w="7920" w:type="dxa"/>
          </w:tcPr>
          <w:p w14:paraId="580EAB25" w14:textId="77777777" w:rsidR="00472C87" w:rsidRDefault="00000000">
            <w:pPr>
              <w:pStyle w:val="ImageCaption"/>
              <w:spacing w:before="200"/>
            </w:pPr>
            <w:bookmarkStart w:id="30" w:name="tbl-dattab"/>
            <w:r>
              <w:t>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W w:w="5000" w:type="pct"/>
              <w:tblLook w:val="0020" w:firstRow="1" w:lastRow="0" w:firstColumn="0" w:lastColumn="0" w:noHBand="0" w:noVBand="0"/>
            </w:tblPr>
            <w:tblGrid>
              <w:gridCol w:w="1239"/>
              <w:gridCol w:w="2447"/>
              <w:gridCol w:w="2074"/>
              <w:gridCol w:w="1170"/>
              <w:gridCol w:w="2430"/>
            </w:tblGrid>
            <w:tr w:rsidR="00F01F7F" w:rsidRPr="00F01F7F" w14:paraId="3FB60BD6" w14:textId="77777777" w:rsidTr="00F01F7F">
              <w:trPr>
                <w:tblHeader/>
              </w:trPr>
              <w:tc>
                <w:tcPr>
                  <w:tcW w:w="661" w:type="pct"/>
                  <w:tcBorders>
                    <w:top w:val="single" w:sz="4" w:space="0" w:color="auto"/>
                    <w:bottom w:val="single" w:sz="4" w:space="0" w:color="auto"/>
                  </w:tcBorders>
                </w:tcPr>
                <w:p w14:paraId="45C87F56" w14:textId="77777777" w:rsidR="00472C87" w:rsidRPr="00F01F7F" w:rsidRDefault="00000000" w:rsidP="00F01F7F">
                  <w:pPr>
                    <w:pStyle w:val="Compact"/>
                  </w:pPr>
                  <w:r w:rsidRPr="00F01F7F">
                    <w:t>Dataset</w:t>
                  </w:r>
                </w:p>
              </w:tc>
              <w:tc>
                <w:tcPr>
                  <w:tcW w:w="1307" w:type="pct"/>
                  <w:tcBorders>
                    <w:top w:val="single" w:sz="4" w:space="0" w:color="auto"/>
                    <w:bottom w:val="single" w:sz="4" w:space="0" w:color="auto"/>
                  </w:tcBorders>
                </w:tcPr>
                <w:p w14:paraId="37C9D85D" w14:textId="77777777" w:rsidR="00472C87" w:rsidRPr="00F01F7F" w:rsidRDefault="00000000" w:rsidP="00F01F7F">
                  <w:pPr>
                    <w:pStyle w:val="Compact"/>
                  </w:pPr>
                  <w:r w:rsidRPr="00F01F7F">
                    <w:t>Description</w:t>
                  </w:r>
                </w:p>
              </w:tc>
              <w:tc>
                <w:tcPr>
                  <w:tcW w:w="1108" w:type="pct"/>
                  <w:tcBorders>
                    <w:top w:val="single" w:sz="4" w:space="0" w:color="auto"/>
                    <w:bottom w:val="single" w:sz="4" w:space="0" w:color="auto"/>
                  </w:tcBorders>
                </w:tcPr>
                <w:p w14:paraId="557E449F" w14:textId="77777777" w:rsidR="00472C87" w:rsidRPr="00F01F7F" w:rsidRDefault="00000000" w:rsidP="00F01F7F">
                  <w:pPr>
                    <w:pStyle w:val="Compact"/>
                  </w:pPr>
                  <w:r w:rsidRPr="00F01F7F">
                    <w:t>Temporal</w:t>
                  </w:r>
                </w:p>
              </w:tc>
              <w:tc>
                <w:tcPr>
                  <w:tcW w:w="625" w:type="pct"/>
                  <w:tcBorders>
                    <w:top w:val="single" w:sz="4" w:space="0" w:color="auto"/>
                    <w:bottom w:val="single" w:sz="4" w:space="0" w:color="auto"/>
                  </w:tcBorders>
                </w:tcPr>
                <w:p w14:paraId="681B639F" w14:textId="77777777" w:rsidR="00472C87" w:rsidRPr="00F01F7F" w:rsidRDefault="00000000" w:rsidP="00F01F7F">
                  <w:pPr>
                    <w:pStyle w:val="Compact"/>
                  </w:pPr>
                  <w:r w:rsidRPr="00F01F7F">
                    <w:t>Spatial</w:t>
                  </w:r>
                </w:p>
              </w:tc>
              <w:tc>
                <w:tcPr>
                  <w:tcW w:w="1298" w:type="pct"/>
                  <w:tcBorders>
                    <w:top w:val="single" w:sz="4" w:space="0" w:color="auto"/>
                    <w:bottom w:val="single" w:sz="4" w:space="0" w:color="auto"/>
                  </w:tcBorders>
                </w:tcPr>
                <w:p w14:paraId="7DC9BF1F" w14:textId="77777777" w:rsidR="00472C87" w:rsidRPr="00F01F7F" w:rsidRDefault="00000000" w:rsidP="00F01F7F">
                  <w:pPr>
                    <w:pStyle w:val="Compact"/>
                  </w:pPr>
                  <w:r w:rsidRPr="00F01F7F">
                    <w:t>Analysis</w:t>
                  </w:r>
                </w:p>
              </w:tc>
            </w:tr>
            <w:tr w:rsidR="00F01F7F" w:rsidRPr="00F01F7F" w14:paraId="27F352E5" w14:textId="77777777" w:rsidTr="00F01F7F">
              <w:tc>
                <w:tcPr>
                  <w:tcW w:w="661" w:type="pct"/>
                  <w:tcBorders>
                    <w:top w:val="single" w:sz="4" w:space="0" w:color="auto"/>
                    <w:bottom w:val="single" w:sz="4" w:space="0" w:color="auto"/>
                  </w:tcBorders>
                </w:tcPr>
                <w:p w14:paraId="45F0E915" w14:textId="77777777" w:rsidR="00472C87" w:rsidRPr="00F01F7F" w:rsidRDefault="00000000" w:rsidP="00F01F7F">
                  <w:pPr>
                    <w:pStyle w:val="Compact"/>
                    <w:rPr>
                      <w:sz w:val="20"/>
                      <w:szCs w:val="20"/>
                    </w:rPr>
                  </w:pPr>
                  <w:r w:rsidRPr="00F01F7F">
                    <w:rPr>
                      <w:sz w:val="20"/>
                      <w:szCs w:val="20"/>
                    </w:rPr>
                    <w:t>SWFWMD aerial maps</w:t>
                  </w:r>
                </w:p>
              </w:tc>
              <w:tc>
                <w:tcPr>
                  <w:tcW w:w="1307" w:type="pct"/>
                  <w:tcBorders>
                    <w:top w:val="single" w:sz="4" w:space="0" w:color="auto"/>
                    <w:bottom w:val="single" w:sz="4" w:space="0" w:color="auto"/>
                  </w:tcBorders>
                </w:tcPr>
                <w:p w14:paraId="462AAA63" w14:textId="77777777" w:rsidR="00472C87" w:rsidRPr="00F01F7F" w:rsidRDefault="00000000" w:rsidP="00F01F7F">
                  <w:pPr>
                    <w:pStyle w:val="Compact"/>
                    <w:rPr>
                      <w:sz w:val="20"/>
                      <w:szCs w:val="20"/>
                    </w:rPr>
                  </w:pPr>
                  <w:r w:rsidRPr="00F01F7F">
                    <w:rPr>
                      <w:sz w:val="20"/>
                      <w:szCs w:val="20"/>
                    </w:rPr>
                    <w:t>Seagrass coverage in acres</w:t>
                  </w:r>
                </w:p>
              </w:tc>
              <w:tc>
                <w:tcPr>
                  <w:tcW w:w="1108" w:type="pct"/>
                  <w:tcBorders>
                    <w:top w:val="single" w:sz="4" w:space="0" w:color="auto"/>
                    <w:bottom w:val="single" w:sz="4" w:space="0" w:color="auto"/>
                  </w:tcBorders>
                </w:tcPr>
                <w:p w14:paraId="6DD7770C" w14:textId="77777777" w:rsidR="00472C87" w:rsidRPr="00F01F7F" w:rsidRDefault="00000000" w:rsidP="00F01F7F">
                  <w:pPr>
                    <w:pStyle w:val="Compact"/>
                    <w:rPr>
                      <w:sz w:val="20"/>
                      <w:szCs w:val="20"/>
                    </w:rPr>
                  </w:pPr>
                  <w:r w:rsidRPr="00F01F7F">
                    <w:rPr>
                      <w:sz w:val="20"/>
                      <w:szCs w:val="20"/>
                    </w:rPr>
                    <w:t>1988 - 2022, biennial</w:t>
                  </w:r>
                </w:p>
              </w:tc>
              <w:tc>
                <w:tcPr>
                  <w:tcW w:w="625" w:type="pct"/>
                  <w:tcBorders>
                    <w:top w:val="single" w:sz="4" w:space="0" w:color="auto"/>
                    <w:bottom w:val="single" w:sz="4" w:space="0" w:color="auto"/>
                  </w:tcBorders>
                </w:tcPr>
                <w:p w14:paraId="7DFEF474" w14:textId="77777777" w:rsidR="00472C87" w:rsidRPr="00F01F7F" w:rsidRDefault="00000000" w:rsidP="00F01F7F">
                  <w:pPr>
                    <w:pStyle w:val="Compact"/>
                    <w:rPr>
                      <w:sz w:val="20"/>
                      <w:szCs w:val="20"/>
                    </w:rPr>
                  </w:pPr>
                  <w:r w:rsidRPr="00F01F7F">
                    <w:rPr>
                      <w:sz w:val="20"/>
                      <w:szCs w:val="20"/>
                    </w:rPr>
                    <w:t>Whole bay</w:t>
                  </w:r>
                </w:p>
              </w:tc>
              <w:tc>
                <w:tcPr>
                  <w:tcW w:w="1298" w:type="pct"/>
                  <w:tcBorders>
                    <w:top w:val="single" w:sz="4" w:space="0" w:color="auto"/>
                    <w:bottom w:val="single" w:sz="4" w:space="0" w:color="auto"/>
                  </w:tcBorders>
                </w:tcPr>
                <w:p w14:paraId="38F4F1F7" w14:textId="77777777" w:rsidR="00472C87" w:rsidRPr="00F01F7F" w:rsidRDefault="00000000" w:rsidP="00F01F7F">
                  <w:pPr>
                    <w:pStyle w:val="Compact"/>
                    <w:rPr>
                      <w:sz w:val="20"/>
                      <w:szCs w:val="20"/>
                    </w:rPr>
                  </w:pPr>
                  <w:r w:rsidRPr="00F01F7F">
                    <w:rPr>
                      <w:sz w:val="20"/>
                      <w:szCs w:val="20"/>
                    </w:rPr>
                    <w:t>Biennial trends by bay segment, visual only</w:t>
                  </w:r>
                </w:p>
              </w:tc>
            </w:tr>
            <w:tr w:rsidR="00F01F7F" w:rsidRPr="00F01F7F" w14:paraId="216BDFB2" w14:textId="77777777" w:rsidTr="00F01F7F">
              <w:tc>
                <w:tcPr>
                  <w:tcW w:w="661" w:type="pct"/>
                  <w:tcBorders>
                    <w:top w:val="single" w:sz="4" w:space="0" w:color="auto"/>
                    <w:bottom w:val="single" w:sz="4" w:space="0" w:color="auto"/>
                  </w:tcBorders>
                </w:tcPr>
                <w:p w14:paraId="3CBFDD94" w14:textId="77777777" w:rsidR="00472C87" w:rsidRPr="00F01F7F" w:rsidRDefault="00000000" w:rsidP="00F01F7F">
                  <w:pPr>
                    <w:pStyle w:val="Compact"/>
                    <w:rPr>
                      <w:sz w:val="20"/>
                      <w:szCs w:val="20"/>
                    </w:rPr>
                  </w:pPr>
                  <w:r w:rsidRPr="00F01F7F">
                    <w:rPr>
                      <w:sz w:val="20"/>
                      <w:szCs w:val="20"/>
                    </w:rPr>
                    <w:t>Transect data</w:t>
                  </w:r>
                </w:p>
              </w:tc>
              <w:tc>
                <w:tcPr>
                  <w:tcW w:w="1307" w:type="pct"/>
                  <w:tcBorders>
                    <w:top w:val="single" w:sz="4" w:space="0" w:color="auto"/>
                    <w:bottom w:val="single" w:sz="4" w:space="0" w:color="auto"/>
                  </w:tcBorders>
                </w:tcPr>
                <w:p w14:paraId="27A44E0F" w14:textId="77777777" w:rsidR="00472C87" w:rsidRPr="00F01F7F" w:rsidRDefault="00000000" w:rsidP="00F01F7F">
                  <w:pPr>
                    <w:pStyle w:val="Compact"/>
                    <w:rPr>
                      <w:sz w:val="20"/>
                      <w:szCs w:val="20"/>
                    </w:rPr>
                  </w:pPr>
                  <w:r w:rsidRPr="00F01F7F">
                    <w:rPr>
                      <w:sz w:val="20"/>
                      <w:szCs w:val="20"/>
                    </w:rPr>
                    <w:t>Seagrass frequency occurrence by species</w:t>
                  </w:r>
                </w:p>
              </w:tc>
              <w:tc>
                <w:tcPr>
                  <w:tcW w:w="1108" w:type="pct"/>
                  <w:tcBorders>
                    <w:top w:val="single" w:sz="4" w:space="0" w:color="auto"/>
                    <w:bottom w:val="single" w:sz="4" w:space="0" w:color="auto"/>
                  </w:tcBorders>
                </w:tcPr>
                <w:p w14:paraId="65536060" w14:textId="77777777" w:rsidR="00472C87" w:rsidRPr="00F01F7F" w:rsidRDefault="00000000" w:rsidP="00F01F7F">
                  <w:pPr>
                    <w:pStyle w:val="Compact"/>
                    <w:rPr>
                      <w:sz w:val="20"/>
                      <w:szCs w:val="20"/>
                    </w:rPr>
                  </w:pPr>
                  <w:r w:rsidRPr="00F01F7F">
                    <w:rPr>
                      <w:sz w:val="20"/>
                      <w:szCs w:val="20"/>
                    </w:rPr>
                    <w:t>1999 - 2022, annual</w:t>
                  </w:r>
                </w:p>
              </w:tc>
              <w:tc>
                <w:tcPr>
                  <w:tcW w:w="625" w:type="pct"/>
                  <w:tcBorders>
                    <w:top w:val="single" w:sz="4" w:space="0" w:color="auto"/>
                    <w:bottom w:val="single" w:sz="4" w:space="0" w:color="auto"/>
                  </w:tcBorders>
                </w:tcPr>
                <w:p w14:paraId="4AA5354A" w14:textId="77777777" w:rsidR="00472C87" w:rsidRPr="00F01F7F" w:rsidRDefault="00000000" w:rsidP="00F01F7F">
                  <w:pPr>
                    <w:pStyle w:val="Compact"/>
                    <w:rPr>
                      <w:sz w:val="20"/>
                      <w:szCs w:val="20"/>
                    </w:rPr>
                  </w:pPr>
                  <w:r w:rsidRPr="00F01F7F">
                    <w:rPr>
                      <w:sz w:val="20"/>
                      <w:szCs w:val="20"/>
                    </w:rPr>
                    <w:t>Whole bay, 62 transects</w:t>
                  </w:r>
                </w:p>
              </w:tc>
              <w:tc>
                <w:tcPr>
                  <w:tcW w:w="1298" w:type="pct"/>
                  <w:tcBorders>
                    <w:top w:val="single" w:sz="4" w:space="0" w:color="auto"/>
                    <w:bottom w:val="single" w:sz="4" w:space="0" w:color="auto"/>
                  </w:tcBorders>
                </w:tcPr>
                <w:p w14:paraId="3EFA3FBC" w14:textId="77777777" w:rsidR="00472C87" w:rsidRPr="00F01F7F" w:rsidRDefault="00000000" w:rsidP="00F01F7F">
                  <w:pPr>
                    <w:pStyle w:val="Compact"/>
                    <w:rPr>
                      <w:sz w:val="20"/>
                      <w:szCs w:val="20"/>
                    </w:rPr>
                  </w:pPr>
                  <w:r w:rsidRPr="00F01F7F">
                    <w:rPr>
                      <w:sz w:val="20"/>
                      <w:szCs w:val="20"/>
                    </w:rPr>
                    <w:t>Annual trends by bay segment and species, comparison with temperature, salinity, and light attenuation as stressor metrics or observed data at annual scale</w:t>
                  </w:r>
                </w:p>
              </w:tc>
            </w:tr>
            <w:tr w:rsidR="00F01F7F" w:rsidRPr="00F01F7F" w14:paraId="0BC48913" w14:textId="77777777" w:rsidTr="00F01F7F">
              <w:tc>
                <w:tcPr>
                  <w:tcW w:w="661" w:type="pct"/>
                  <w:tcBorders>
                    <w:top w:val="single" w:sz="4" w:space="0" w:color="auto"/>
                    <w:bottom w:val="single" w:sz="4" w:space="0" w:color="auto"/>
                  </w:tcBorders>
                </w:tcPr>
                <w:p w14:paraId="427185AF" w14:textId="77777777" w:rsidR="00472C87" w:rsidRPr="00F01F7F" w:rsidRDefault="00000000" w:rsidP="00F01F7F">
                  <w:pPr>
                    <w:pStyle w:val="Compact"/>
                    <w:rPr>
                      <w:sz w:val="20"/>
                      <w:szCs w:val="20"/>
                    </w:rPr>
                  </w:pPr>
                  <w:r w:rsidRPr="00F01F7F">
                    <w:rPr>
                      <w:sz w:val="20"/>
                      <w:szCs w:val="20"/>
                    </w:rPr>
                    <w:t>EPC</w:t>
                  </w:r>
                </w:p>
              </w:tc>
              <w:tc>
                <w:tcPr>
                  <w:tcW w:w="1307" w:type="pct"/>
                  <w:tcBorders>
                    <w:top w:val="single" w:sz="4" w:space="0" w:color="auto"/>
                    <w:bottom w:val="single" w:sz="4" w:space="0" w:color="auto"/>
                  </w:tcBorders>
                </w:tcPr>
                <w:p w14:paraId="18225222" w14:textId="77777777" w:rsidR="00472C87" w:rsidRPr="00F01F7F" w:rsidRDefault="00000000" w:rsidP="00F01F7F">
                  <w:pPr>
                    <w:pStyle w:val="Compact"/>
                    <w:rPr>
                      <w:sz w:val="20"/>
                      <w:szCs w:val="20"/>
                    </w:rPr>
                  </w:pPr>
                  <w:r w:rsidRPr="00F01F7F">
                    <w:rPr>
                      <w:sz w:val="20"/>
                      <w:szCs w:val="20"/>
                    </w:rPr>
                    <w:t>Water quality monitoring samples</w:t>
                  </w:r>
                </w:p>
              </w:tc>
              <w:tc>
                <w:tcPr>
                  <w:tcW w:w="1108" w:type="pct"/>
                  <w:tcBorders>
                    <w:top w:val="single" w:sz="4" w:space="0" w:color="auto"/>
                    <w:bottom w:val="single" w:sz="4" w:space="0" w:color="auto"/>
                  </w:tcBorders>
                </w:tcPr>
                <w:p w14:paraId="77B5A7BB" w14:textId="77777777" w:rsidR="00472C87" w:rsidRPr="00F01F7F" w:rsidRDefault="00000000" w:rsidP="00F01F7F">
                  <w:pPr>
                    <w:pStyle w:val="Compact"/>
                    <w:rPr>
                      <w:sz w:val="20"/>
                      <w:szCs w:val="20"/>
                    </w:rPr>
                  </w:pPr>
                  <w:r w:rsidRPr="00F01F7F">
                    <w:rPr>
                      <w:sz w:val="20"/>
                      <w:szCs w:val="20"/>
                    </w:rPr>
                    <w:t>1975 - 2022, monthly</w:t>
                  </w:r>
                </w:p>
              </w:tc>
              <w:tc>
                <w:tcPr>
                  <w:tcW w:w="625" w:type="pct"/>
                  <w:tcBorders>
                    <w:top w:val="single" w:sz="4" w:space="0" w:color="auto"/>
                    <w:bottom w:val="single" w:sz="4" w:space="0" w:color="auto"/>
                  </w:tcBorders>
                </w:tcPr>
                <w:p w14:paraId="0EF0B8C8" w14:textId="77777777" w:rsidR="00472C87" w:rsidRPr="00F01F7F" w:rsidRDefault="00000000" w:rsidP="00F01F7F">
                  <w:pPr>
                    <w:pStyle w:val="Compact"/>
                    <w:rPr>
                      <w:sz w:val="20"/>
                      <w:szCs w:val="20"/>
                    </w:rPr>
                  </w:pPr>
                  <w:r w:rsidRPr="00F01F7F">
                    <w:rPr>
                      <w:sz w:val="20"/>
                      <w:szCs w:val="20"/>
                    </w:rPr>
                    <w:t>Whole bay, fixed sites</w:t>
                  </w:r>
                </w:p>
              </w:tc>
              <w:tc>
                <w:tcPr>
                  <w:tcW w:w="1298" w:type="pct"/>
                  <w:tcBorders>
                    <w:top w:val="single" w:sz="4" w:space="0" w:color="auto"/>
                    <w:bottom w:val="single" w:sz="4" w:space="0" w:color="auto"/>
                  </w:tcBorders>
                </w:tcPr>
                <w:p w14:paraId="43ED9045" w14:textId="77777777" w:rsidR="00472C87" w:rsidRPr="00F01F7F" w:rsidRDefault="00000000" w:rsidP="00F01F7F">
                  <w:pPr>
                    <w:pStyle w:val="Compact"/>
                    <w:rPr>
                      <w:sz w:val="20"/>
                      <w:szCs w:val="20"/>
                    </w:rPr>
                  </w:pPr>
                  <w:r w:rsidRPr="00F01F7F">
                    <w:rPr>
                      <w:sz w:val="20"/>
                      <w:szCs w:val="20"/>
                    </w:rPr>
                    <w:t>Trends in annual change and seasonal Kendall tests, estimate of stressor metrics as number of days above/below threshold</w:t>
                  </w:r>
                </w:p>
              </w:tc>
            </w:tr>
            <w:tr w:rsidR="00F01F7F" w:rsidRPr="00F01F7F" w14:paraId="3B1DEFD0" w14:textId="77777777" w:rsidTr="00F01F7F">
              <w:tc>
                <w:tcPr>
                  <w:tcW w:w="661" w:type="pct"/>
                  <w:tcBorders>
                    <w:top w:val="single" w:sz="4" w:space="0" w:color="auto"/>
                    <w:bottom w:val="single" w:sz="4" w:space="0" w:color="auto"/>
                  </w:tcBorders>
                </w:tcPr>
                <w:p w14:paraId="0DCB67DC" w14:textId="77777777" w:rsidR="00472C87" w:rsidRPr="00F01F7F" w:rsidRDefault="00000000" w:rsidP="00F01F7F">
                  <w:pPr>
                    <w:pStyle w:val="Compact"/>
                    <w:rPr>
                      <w:sz w:val="20"/>
                      <w:szCs w:val="20"/>
                    </w:rPr>
                  </w:pPr>
                  <w:r w:rsidRPr="00F01F7F">
                    <w:rPr>
                      <w:sz w:val="20"/>
                      <w:szCs w:val="20"/>
                    </w:rPr>
                    <w:t>FIM</w:t>
                  </w:r>
                </w:p>
              </w:tc>
              <w:tc>
                <w:tcPr>
                  <w:tcW w:w="1307" w:type="pct"/>
                  <w:tcBorders>
                    <w:top w:val="single" w:sz="4" w:space="0" w:color="auto"/>
                    <w:bottom w:val="single" w:sz="4" w:space="0" w:color="auto"/>
                  </w:tcBorders>
                </w:tcPr>
                <w:p w14:paraId="4F5C211D" w14:textId="77777777" w:rsidR="00472C87" w:rsidRPr="00F01F7F" w:rsidRDefault="00000000" w:rsidP="00F01F7F">
                  <w:pPr>
                    <w:pStyle w:val="Compact"/>
                    <w:rPr>
                      <w:sz w:val="20"/>
                      <w:szCs w:val="20"/>
                    </w:rPr>
                  </w:pPr>
                  <w:r w:rsidRPr="00F01F7F">
                    <w:rPr>
                      <w:sz w:val="20"/>
                      <w:szCs w:val="20"/>
                    </w:rPr>
                    <w:t>Nearshore temperature and salinity, seagrass species and cover</w:t>
                  </w:r>
                </w:p>
              </w:tc>
              <w:tc>
                <w:tcPr>
                  <w:tcW w:w="1108" w:type="pct"/>
                  <w:tcBorders>
                    <w:top w:val="single" w:sz="4" w:space="0" w:color="auto"/>
                    <w:bottom w:val="single" w:sz="4" w:space="0" w:color="auto"/>
                  </w:tcBorders>
                </w:tcPr>
                <w:p w14:paraId="1C6F263C" w14:textId="77777777" w:rsidR="00472C87" w:rsidRPr="00F01F7F" w:rsidRDefault="00000000" w:rsidP="00F01F7F">
                  <w:pPr>
                    <w:pStyle w:val="Compact"/>
                    <w:rPr>
                      <w:sz w:val="20"/>
                      <w:szCs w:val="20"/>
                    </w:rPr>
                  </w:pPr>
                  <w:r w:rsidRPr="00F01F7F">
                    <w:rPr>
                      <w:sz w:val="20"/>
                      <w:szCs w:val="20"/>
                    </w:rPr>
                    <w:t>1996 to 2022, monthly</w:t>
                  </w:r>
                </w:p>
              </w:tc>
              <w:tc>
                <w:tcPr>
                  <w:tcW w:w="625" w:type="pct"/>
                  <w:tcBorders>
                    <w:top w:val="single" w:sz="4" w:space="0" w:color="auto"/>
                    <w:bottom w:val="single" w:sz="4" w:space="0" w:color="auto"/>
                  </w:tcBorders>
                </w:tcPr>
                <w:p w14:paraId="6F1A9752" w14:textId="77777777" w:rsidR="00472C87" w:rsidRPr="00F01F7F" w:rsidRDefault="00000000" w:rsidP="00F01F7F">
                  <w:pPr>
                    <w:pStyle w:val="Compact"/>
                    <w:rPr>
                      <w:sz w:val="20"/>
                      <w:szCs w:val="20"/>
                    </w:rPr>
                  </w:pPr>
                  <w:r w:rsidRPr="00F01F7F">
                    <w:rPr>
                      <w:sz w:val="20"/>
                      <w:szCs w:val="20"/>
                    </w:rPr>
                    <w:t>Whole bay shallow, stratified random sites</w:t>
                  </w:r>
                </w:p>
              </w:tc>
              <w:tc>
                <w:tcPr>
                  <w:tcW w:w="1298" w:type="pct"/>
                  <w:tcBorders>
                    <w:top w:val="single" w:sz="4" w:space="0" w:color="auto"/>
                    <w:bottom w:val="single" w:sz="4" w:space="0" w:color="auto"/>
                  </w:tcBorders>
                </w:tcPr>
                <w:p w14:paraId="6A2C2896" w14:textId="77777777" w:rsidR="00472C87" w:rsidRPr="00F01F7F" w:rsidRDefault="00000000" w:rsidP="00F01F7F">
                  <w:pPr>
                    <w:pStyle w:val="Compact"/>
                    <w:rPr>
                      <w:sz w:val="20"/>
                      <w:szCs w:val="20"/>
                    </w:rPr>
                  </w:pPr>
                  <w:r w:rsidRPr="00F01F7F">
                    <w:rPr>
                      <w:sz w:val="20"/>
                      <w:szCs w:val="20"/>
                    </w:rPr>
                    <w:t>Trends in annual observed temperature, salinity, comparison to annual seagrass % cover</w:t>
                  </w:r>
                </w:p>
              </w:tc>
            </w:tr>
            <w:tr w:rsidR="00F01F7F" w:rsidRPr="00F01F7F" w14:paraId="69FEC4B4" w14:textId="77777777" w:rsidTr="00F01F7F">
              <w:tc>
                <w:tcPr>
                  <w:tcW w:w="661" w:type="pct"/>
                  <w:tcBorders>
                    <w:top w:val="single" w:sz="4" w:space="0" w:color="auto"/>
                    <w:bottom w:val="single" w:sz="4" w:space="0" w:color="auto"/>
                  </w:tcBorders>
                </w:tcPr>
                <w:p w14:paraId="0685D8EE" w14:textId="77777777" w:rsidR="00472C87" w:rsidRPr="00F01F7F" w:rsidRDefault="00000000" w:rsidP="00F01F7F">
                  <w:pPr>
                    <w:pStyle w:val="Compact"/>
                    <w:rPr>
                      <w:sz w:val="20"/>
                      <w:szCs w:val="20"/>
                    </w:rPr>
                  </w:pPr>
                  <w:r w:rsidRPr="00F01F7F">
                    <w:rPr>
                      <w:sz w:val="20"/>
                      <w:szCs w:val="20"/>
                    </w:rPr>
                    <w:t>PDEM</w:t>
                  </w:r>
                </w:p>
              </w:tc>
              <w:tc>
                <w:tcPr>
                  <w:tcW w:w="1307" w:type="pct"/>
                  <w:tcBorders>
                    <w:top w:val="single" w:sz="4" w:space="0" w:color="auto"/>
                    <w:bottom w:val="single" w:sz="4" w:space="0" w:color="auto"/>
                  </w:tcBorders>
                </w:tcPr>
                <w:p w14:paraId="57DFD82F" w14:textId="77777777" w:rsidR="00472C87" w:rsidRPr="00F01F7F" w:rsidRDefault="00000000" w:rsidP="00F01F7F">
                  <w:pPr>
                    <w:pStyle w:val="Compact"/>
                    <w:rPr>
                      <w:sz w:val="20"/>
                      <w:szCs w:val="20"/>
                    </w:rPr>
                  </w:pPr>
                  <w:r w:rsidRPr="00F01F7F">
                    <w:rPr>
                      <w:sz w:val="20"/>
                      <w:szCs w:val="20"/>
                    </w:rPr>
                    <w:t>Water quality and seagrass presence/absence</w:t>
                  </w:r>
                </w:p>
              </w:tc>
              <w:tc>
                <w:tcPr>
                  <w:tcW w:w="1108" w:type="pct"/>
                  <w:tcBorders>
                    <w:top w:val="single" w:sz="4" w:space="0" w:color="auto"/>
                    <w:bottom w:val="single" w:sz="4" w:space="0" w:color="auto"/>
                  </w:tcBorders>
                </w:tcPr>
                <w:p w14:paraId="417565FB" w14:textId="77777777" w:rsidR="00472C87" w:rsidRPr="00F01F7F" w:rsidRDefault="00000000" w:rsidP="00F01F7F">
                  <w:pPr>
                    <w:pStyle w:val="Compact"/>
                    <w:rPr>
                      <w:sz w:val="20"/>
                      <w:szCs w:val="20"/>
                    </w:rPr>
                  </w:pPr>
                  <w:r w:rsidRPr="00F01F7F">
                    <w:rPr>
                      <w:sz w:val="20"/>
                      <w:szCs w:val="20"/>
                    </w:rPr>
                    <w:t>2003 - 2022, monthly</w:t>
                  </w:r>
                </w:p>
              </w:tc>
              <w:tc>
                <w:tcPr>
                  <w:tcW w:w="625" w:type="pct"/>
                  <w:tcBorders>
                    <w:top w:val="single" w:sz="4" w:space="0" w:color="auto"/>
                    <w:bottom w:val="single" w:sz="4" w:space="0" w:color="auto"/>
                  </w:tcBorders>
                </w:tcPr>
                <w:p w14:paraId="4FD61F08" w14:textId="77777777" w:rsidR="00472C87" w:rsidRPr="00F01F7F" w:rsidRDefault="00000000" w:rsidP="00F01F7F">
                  <w:pPr>
                    <w:pStyle w:val="Compact"/>
                    <w:rPr>
                      <w:sz w:val="20"/>
                      <w:szCs w:val="20"/>
                    </w:rPr>
                  </w:pPr>
                  <w:r w:rsidRPr="00F01F7F">
                    <w:rPr>
                      <w:sz w:val="20"/>
                      <w:szCs w:val="20"/>
                    </w:rPr>
                    <w:t>Old Tampa Bay, stratified random sites</w:t>
                  </w:r>
                </w:p>
              </w:tc>
              <w:tc>
                <w:tcPr>
                  <w:tcW w:w="1298" w:type="pct"/>
                  <w:tcBorders>
                    <w:top w:val="single" w:sz="4" w:space="0" w:color="auto"/>
                    <w:bottom w:val="single" w:sz="4" w:space="0" w:color="auto"/>
                  </w:tcBorders>
                </w:tcPr>
                <w:p w14:paraId="64714F5E" w14:textId="77777777" w:rsidR="00472C87" w:rsidRPr="00F01F7F" w:rsidRDefault="00000000" w:rsidP="00F01F7F">
                  <w:pPr>
                    <w:pStyle w:val="Compact"/>
                    <w:rPr>
                      <w:sz w:val="20"/>
                      <w:szCs w:val="20"/>
                    </w:rPr>
                  </w:pPr>
                  <w:r w:rsidRPr="00F01F7F">
                    <w:rPr>
                      <w:sz w:val="20"/>
                      <w:szCs w:val="20"/>
                    </w:rPr>
                    <w:t>Trends in annual observed temperature, salinity, comparison to annual seagrass frequency occurrence</w:t>
                  </w:r>
                </w:p>
              </w:tc>
            </w:tr>
            <w:tr w:rsidR="00F01F7F" w:rsidRPr="00F01F7F" w14:paraId="7F9C028C" w14:textId="77777777" w:rsidTr="00F01F7F">
              <w:tc>
                <w:tcPr>
                  <w:tcW w:w="661" w:type="pct"/>
                  <w:tcBorders>
                    <w:top w:val="single" w:sz="4" w:space="0" w:color="auto"/>
                    <w:bottom w:val="single" w:sz="4" w:space="0" w:color="auto"/>
                  </w:tcBorders>
                </w:tcPr>
                <w:p w14:paraId="6DCD1B62" w14:textId="77777777" w:rsidR="00472C87" w:rsidRPr="00F01F7F" w:rsidRDefault="00000000" w:rsidP="00F01F7F">
                  <w:pPr>
                    <w:pStyle w:val="Compact"/>
                    <w:rPr>
                      <w:sz w:val="20"/>
                      <w:szCs w:val="20"/>
                    </w:rPr>
                  </w:pPr>
                  <w:r w:rsidRPr="00F01F7F">
                    <w:rPr>
                      <w:sz w:val="20"/>
                      <w:szCs w:val="20"/>
                    </w:rPr>
                    <w:t>Tampa International Airport</w:t>
                  </w:r>
                </w:p>
              </w:tc>
              <w:tc>
                <w:tcPr>
                  <w:tcW w:w="1307" w:type="pct"/>
                  <w:tcBorders>
                    <w:top w:val="single" w:sz="4" w:space="0" w:color="auto"/>
                    <w:bottom w:val="single" w:sz="4" w:space="0" w:color="auto"/>
                  </w:tcBorders>
                </w:tcPr>
                <w:p w14:paraId="70A07150" w14:textId="77777777" w:rsidR="00472C87" w:rsidRPr="00F01F7F" w:rsidRDefault="00000000" w:rsidP="00F01F7F">
                  <w:pPr>
                    <w:pStyle w:val="Compact"/>
                    <w:rPr>
                      <w:sz w:val="20"/>
                      <w:szCs w:val="20"/>
                    </w:rPr>
                  </w:pPr>
                  <w:r w:rsidRPr="00F01F7F">
                    <w:rPr>
                      <w:sz w:val="20"/>
                      <w:szCs w:val="20"/>
                    </w:rPr>
                    <w:t>Air temperature</w:t>
                  </w:r>
                </w:p>
              </w:tc>
              <w:tc>
                <w:tcPr>
                  <w:tcW w:w="1108" w:type="pct"/>
                  <w:tcBorders>
                    <w:top w:val="single" w:sz="4" w:space="0" w:color="auto"/>
                    <w:bottom w:val="single" w:sz="4" w:space="0" w:color="auto"/>
                  </w:tcBorders>
                </w:tcPr>
                <w:p w14:paraId="56280DDC" w14:textId="77777777" w:rsidR="00472C87" w:rsidRPr="00F01F7F" w:rsidRDefault="00000000" w:rsidP="00F01F7F">
                  <w:pPr>
                    <w:pStyle w:val="Compact"/>
                    <w:rPr>
                      <w:sz w:val="20"/>
                      <w:szCs w:val="20"/>
                    </w:rPr>
                  </w:pPr>
                  <w:r w:rsidRPr="00F01F7F">
                    <w:rPr>
                      <w:sz w:val="20"/>
                      <w:szCs w:val="20"/>
                    </w:rPr>
                    <w:t>1975 - 2022, annual</w:t>
                  </w:r>
                </w:p>
              </w:tc>
              <w:tc>
                <w:tcPr>
                  <w:tcW w:w="625" w:type="pct"/>
                  <w:tcBorders>
                    <w:top w:val="single" w:sz="4" w:space="0" w:color="auto"/>
                    <w:bottom w:val="single" w:sz="4" w:space="0" w:color="auto"/>
                  </w:tcBorders>
                </w:tcPr>
                <w:p w14:paraId="59A89E3E" w14:textId="77777777" w:rsidR="00472C87" w:rsidRPr="00F01F7F" w:rsidRDefault="00000000" w:rsidP="00F01F7F">
                  <w:pPr>
                    <w:pStyle w:val="Compact"/>
                    <w:rPr>
                      <w:sz w:val="20"/>
                      <w:szCs w:val="20"/>
                    </w:rPr>
                  </w:pPr>
                  <w:r w:rsidRPr="00F01F7F">
                    <w:rPr>
                      <w:sz w:val="20"/>
                      <w:szCs w:val="20"/>
                    </w:rPr>
                    <w:t>27.979</w:t>
                  </w:r>
                  <m:oMath>
                    <m:sSup>
                      <m:sSupPr>
                        <m:ctrlPr>
                          <w:rPr>
                            <w:rFonts w:ascii="Cambria Math" w:hAnsi="Cambria Math"/>
                            <w:sz w:val="20"/>
                            <w:szCs w:val="20"/>
                          </w:rPr>
                        </m:ctrlPr>
                      </m:sSupPr>
                      <m:e>
                        <m:r>
                          <w:rPr>
                            <w:rFonts w:ascii="Cambria Math" w:hAnsi="Cambria Math"/>
                            <w:sz w:val="20"/>
                            <w:szCs w:val="20"/>
                          </w:rPr>
                          <m:t>​</m:t>
                        </m:r>
                      </m:e>
                      <m:sup>
                        <m:r>
                          <m:rPr>
                            <m:sty m:val="p"/>
                          </m:rPr>
                          <w:rPr>
                            <w:rFonts w:ascii="Cambria Math" w:hAnsi="Cambria Math"/>
                            <w:sz w:val="20"/>
                            <w:szCs w:val="20"/>
                          </w:rPr>
                          <m:t>∘</m:t>
                        </m:r>
                      </m:sup>
                    </m:sSup>
                  </m:oMath>
                  <w:r w:rsidRPr="00F01F7F">
                    <w:rPr>
                      <w:sz w:val="20"/>
                      <w:szCs w:val="20"/>
                    </w:rPr>
                    <w:t>N, 82.535</w:t>
                  </w:r>
                  <m:oMath>
                    <m:sSup>
                      <m:sSupPr>
                        <m:ctrlPr>
                          <w:rPr>
                            <w:rFonts w:ascii="Cambria Math" w:hAnsi="Cambria Math"/>
                            <w:sz w:val="20"/>
                            <w:szCs w:val="20"/>
                          </w:rPr>
                        </m:ctrlPr>
                      </m:sSupPr>
                      <m:e>
                        <m:r>
                          <w:rPr>
                            <w:rFonts w:ascii="Cambria Math" w:hAnsi="Cambria Math"/>
                            <w:sz w:val="20"/>
                            <w:szCs w:val="20"/>
                          </w:rPr>
                          <m:t>​</m:t>
                        </m:r>
                      </m:e>
                      <m:sup>
                        <m:r>
                          <m:rPr>
                            <m:sty m:val="p"/>
                          </m:rPr>
                          <w:rPr>
                            <w:rFonts w:ascii="Cambria Math" w:hAnsi="Cambria Math"/>
                            <w:sz w:val="20"/>
                            <w:szCs w:val="20"/>
                          </w:rPr>
                          <m:t>∘</m:t>
                        </m:r>
                      </m:sup>
                    </m:sSup>
                  </m:oMath>
                  <w:r w:rsidRPr="00F01F7F">
                    <w:rPr>
                      <w:sz w:val="20"/>
                      <w:szCs w:val="20"/>
                    </w:rPr>
                    <w:t>W</w:t>
                  </w:r>
                </w:p>
              </w:tc>
              <w:tc>
                <w:tcPr>
                  <w:tcW w:w="1298" w:type="pct"/>
                  <w:tcBorders>
                    <w:top w:val="single" w:sz="4" w:space="0" w:color="auto"/>
                    <w:bottom w:val="single" w:sz="4" w:space="0" w:color="auto"/>
                  </w:tcBorders>
                </w:tcPr>
                <w:p w14:paraId="34CB8AE3" w14:textId="77777777" w:rsidR="00472C87" w:rsidRPr="00F01F7F" w:rsidRDefault="00000000" w:rsidP="00F01F7F">
                  <w:pPr>
                    <w:pStyle w:val="Compact"/>
                    <w:rPr>
                      <w:sz w:val="20"/>
                      <w:szCs w:val="20"/>
                    </w:rPr>
                  </w:pPr>
                  <w:r w:rsidRPr="00F01F7F">
                    <w:rPr>
                      <w:sz w:val="20"/>
                      <w:szCs w:val="20"/>
                    </w:rPr>
                    <w:t>Annual trend</w:t>
                  </w:r>
                </w:p>
              </w:tc>
            </w:tr>
            <w:tr w:rsidR="00F01F7F" w:rsidRPr="00F01F7F" w14:paraId="1F45D45F" w14:textId="77777777" w:rsidTr="00F01F7F">
              <w:tc>
                <w:tcPr>
                  <w:tcW w:w="661" w:type="pct"/>
                  <w:tcBorders>
                    <w:top w:val="single" w:sz="4" w:space="0" w:color="auto"/>
                    <w:bottom w:val="single" w:sz="4" w:space="0" w:color="auto"/>
                  </w:tcBorders>
                </w:tcPr>
                <w:p w14:paraId="1F1ABE21" w14:textId="77777777" w:rsidR="00472C87" w:rsidRPr="00F01F7F" w:rsidRDefault="00000000" w:rsidP="00F01F7F">
                  <w:pPr>
                    <w:pStyle w:val="Compact"/>
                    <w:rPr>
                      <w:sz w:val="20"/>
                      <w:szCs w:val="20"/>
                    </w:rPr>
                  </w:pPr>
                  <w:r w:rsidRPr="00F01F7F">
                    <w:rPr>
                      <w:sz w:val="20"/>
                      <w:szCs w:val="20"/>
                    </w:rPr>
                    <w:t>SWFWMD precipitation</w:t>
                  </w:r>
                </w:p>
              </w:tc>
              <w:tc>
                <w:tcPr>
                  <w:tcW w:w="1307" w:type="pct"/>
                  <w:tcBorders>
                    <w:top w:val="single" w:sz="4" w:space="0" w:color="auto"/>
                    <w:bottom w:val="single" w:sz="4" w:space="0" w:color="auto"/>
                  </w:tcBorders>
                </w:tcPr>
                <w:p w14:paraId="5FFCC8D6" w14:textId="77777777" w:rsidR="00472C87" w:rsidRPr="00F01F7F" w:rsidRDefault="00000000" w:rsidP="00F01F7F">
                  <w:pPr>
                    <w:pStyle w:val="Compact"/>
                    <w:rPr>
                      <w:sz w:val="20"/>
                      <w:szCs w:val="20"/>
                    </w:rPr>
                  </w:pPr>
                  <w:r w:rsidRPr="00F01F7F">
                    <w:rPr>
                      <w:sz w:val="20"/>
                      <w:szCs w:val="20"/>
                    </w:rPr>
                    <w:t>Area-weighted precipitation for the wet season (June-September) for the Tampa Bay watershed</w:t>
                  </w:r>
                </w:p>
              </w:tc>
              <w:tc>
                <w:tcPr>
                  <w:tcW w:w="1108" w:type="pct"/>
                  <w:tcBorders>
                    <w:top w:val="single" w:sz="4" w:space="0" w:color="auto"/>
                    <w:bottom w:val="single" w:sz="4" w:space="0" w:color="auto"/>
                  </w:tcBorders>
                </w:tcPr>
                <w:p w14:paraId="7FB19334" w14:textId="77777777" w:rsidR="00472C87" w:rsidRPr="00F01F7F" w:rsidRDefault="00000000" w:rsidP="00F01F7F">
                  <w:pPr>
                    <w:pStyle w:val="Compact"/>
                    <w:rPr>
                      <w:sz w:val="20"/>
                      <w:szCs w:val="20"/>
                    </w:rPr>
                  </w:pPr>
                  <w:r w:rsidRPr="00F01F7F">
                    <w:rPr>
                      <w:sz w:val="20"/>
                      <w:szCs w:val="20"/>
                    </w:rPr>
                    <w:t>1975-2022, annual</w:t>
                  </w:r>
                </w:p>
              </w:tc>
              <w:tc>
                <w:tcPr>
                  <w:tcW w:w="625" w:type="pct"/>
                  <w:tcBorders>
                    <w:top w:val="single" w:sz="4" w:space="0" w:color="auto"/>
                    <w:bottom w:val="single" w:sz="4" w:space="0" w:color="auto"/>
                  </w:tcBorders>
                </w:tcPr>
                <w:p w14:paraId="5A692D72" w14:textId="77777777" w:rsidR="00472C87" w:rsidRPr="00F01F7F" w:rsidRDefault="00000000" w:rsidP="00F01F7F">
                  <w:pPr>
                    <w:pStyle w:val="Compact"/>
                    <w:rPr>
                      <w:sz w:val="20"/>
                      <w:szCs w:val="20"/>
                    </w:rPr>
                  </w:pPr>
                  <w:r w:rsidRPr="00F01F7F">
                    <w:rPr>
                      <w:sz w:val="20"/>
                      <w:szCs w:val="20"/>
                    </w:rPr>
                    <w:t>Whole watershed</w:t>
                  </w:r>
                </w:p>
              </w:tc>
              <w:tc>
                <w:tcPr>
                  <w:tcW w:w="1298" w:type="pct"/>
                  <w:tcBorders>
                    <w:top w:val="single" w:sz="4" w:space="0" w:color="auto"/>
                    <w:bottom w:val="single" w:sz="4" w:space="0" w:color="auto"/>
                  </w:tcBorders>
                </w:tcPr>
                <w:p w14:paraId="10015C7D" w14:textId="77777777" w:rsidR="00472C87" w:rsidRPr="00F01F7F" w:rsidRDefault="00000000" w:rsidP="00F01F7F">
                  <w:pPr>
                    <w:pStyle w:val="Compact"/>
                    <w:rPr>
                      <w:sz w:val="20"/>
                      <w:szCs w:val="20"/>
                    </w:rPr>
                  </w:pPr>
                  <w:r w:rsidRPr="00F01F7F">
                    <w:rPr>
                      <w:sz w:val="20"/>
                      <w:szCs w:val="20"/>
                    </w:rPr>
                    <w:t>Annual trend</w:t>
                  </w:r>
                </w:p>
              </w:tc>
            </w:tr>
            <w:bookmarkEnd w:id="30"/>
          </w:tbl>
          <w:p w14:paraId="54F0F363" w14:textId="77777777" w:rsidR="00472C87" w:rsidRDefault="00472C87"/>
        </w:tc>
      </w:tr>
    </w:tbl>
    <w:p w14:paraId="73B59864" w14:textId="77777777" w:rsidR="00472C87" w:rsidRDefault="00000000">
      <w:r>
        <w:br w:type="page"/>
      </w:r>
    </w:p>
    <w:tbl>
      <w:tblPr>
        <w:tblW w:w="5000" w:type="pct"/>
        <w:tblLook w:val="0000" w:firstRow="0" w:lastRow="0" w:firstColumn="0" w:lastColumn="0" w:noHBand="0" w:noVBand="0"/>
      </w:tblPr>
      <w:tblGrid>
        <w:gridCol w:w="9576"/>
      </w:tblGrid>
      <w:tr w:rsidR="00472C87" w14:paraId="68048EE0" w14:textId="77777777" w:rsidTr="00F01F7F">
        <w:tc>
          <w:tcPr>
            <w:tcW w:w="7920" w:type="dxa"/>
          </w:tcPr>
          <w:p w14:paraId="18A425EC" w14:textId="77777777" w:rsidR="00472C87" w:rsidRDefault="00000000">
            <w:pPr>
              <w:pStyle w:val="ImageCaption"/>
              <w:spacing w:before="200"/>
            </w:pPr>
            <w:bookmarkStart w:id="31" w:name="tbl-temptrndtab"/>
            <w:r>
              <w:lastRenderedPageBreak/>
              <w:t>Table 2: Bottom temperature trends (</w:t>
            </w:r>
            <m:oMath>
              <m:sSup>
                <m:sSupPr>
                  <m:ctrlPr>
                    <w:rPr>
                      <w:rFonts w:ascii="Cambria Math" w:hAnsi="Cambria Math"/>
                    </w:rPr>
                  </m:ctrlPr>
                </m:sSupPr>
                <m:e>
                  <m:r>
                    <w:rPr>
                      <w:rFonts w:ascii="Cambria Math" w:hAnsi="Cambria Math"/>
                    </w:rPr>
                    <m:t>​</m:t>
                  </m:r>
                </m:e>
                <m:sup>
                  <m:r>
                    <w:rPr>
                      <w:rFonts w:ascii="Cambria Math" w:hAnsi="Cambria Math"/>
                    </w:rPr>
                    <m:t>∘</m:t>
                  </m:r>
                </m:sup>
              </m:sSup>
            </m:oMath>
            <w:r>
              <w:t>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W w:w="5000" w:type="pct"/>
              <w:tblLook w:val="0020" w:firstRow="1" w:lastRow="0" w:firstColumn="0" w:lastColumn="0" w:noHBand="0" w:noVBand="0"/>
            </w:tblPr>
            <w:tblGrid>
              <w:gridCol w:w="1170"/>
              <w:gridCol w:w="118"/>
              <w:gridCol w:w="1404"/>
              <w:gridCol w:w="936"/>
              <w:gridCol w:w="1638"/>
              <w:gridCol w:w="1305"/>
              <w:gridCol w:w="1269"/>
              <w:gridCol w:w="1520"/>
            </w:tblGrid>
            <w:tr w:rsidR="00472C87" w14:paraId="36F40945" w14:textId="77777777" w:rsidTr="00F01F7F">
              <w:trPr>
                <w:tblHeader/>
              </w:trPr>
              <w:tc>
                <w:tcPr>
                  <w:tcW w:w="625" w:type="pct"/>
                  <w:tcBorders>
                    <w:top w:val="single" w:sz="4" w:space="0" w:color="auto"/>
                    <w:bottom w:val="single" w:sz="4" w:space="0" w:color="auto"/>
                  </w:tcBorders>
                </w:tcPr>
                <w:p w14:paraId="6C4F904B" w14:textId="77777777" w:rsidR="00472C87" w:rsidRDefault="00000000">
                  <w:pPr>
                    <w:pStyle w:val="Compact"/>
                    <w:jc w:val="center"/>
                  </w:pPr>
                  <w:r>
                    <w:t>Start year</w:t>
                  </w:r>
                </w:p>
              </w:tc>
              <w:tc>
                <w:tcPr>
                  <w:tcW w:w="813" w:type="pct"/>
                  <w:gridSpan w:val="2"/>
                  <w:tcBorders>
                    <w:top w:val="single" w:sz="4" w:space="0" w:color="auto"/>
                    <w:bottom w:val="single" w:sz="4" w:space="0" w:color="auto"/>
                  </w:tcBorders>
                </w:tcPr>
                <w:p w14:paraId="435F8AFA" w14:textId="77777777" w:rsidR="00472C87" w:rsidRDefault="00000000">
                  <w:pPr>
                    <w:pStyle w:val="Compact"/>
                    <w:jc w:val="center"/>
                  </w:pPr>
                  <w:r>
                    <w:t>Bay segment</w:t>
                  </w:r>
                </w:p>
              </w:tc>
              <w:tc>
                <w:tcPr>
                  <w:tcW w:w="500" w:type="pct"/>
                  <w:tcBorders>
                    <w:top w:val="single" w:sz="4" w:space="0" w:color="auto"/>
                    <w:bottom w:val="single" w:sz="4" w:space="0" w:color="auto"/>
                  </w:tcBorders>
                </w:tcPr>
                <w:p w14:paraId="43636ADE" w14:textId="77777777" w:rsidR="00472C87" w:rsidRDefault="00000000">
                  <w:pPr>
                    <w:pStyle w:val="Compact"/>
                    <w:jc w:val="center"/>
                  </w:pPr>
                  <w:r>
                    <w:t>Dataset</w:t>
                  </w:r>
                </w:p>
              </w:tc>
              <w:tc>
                <w:tcPr>
                  <w:tcW w:w="875" w:type="pct"/>
                  <w:tcBorders>
                    <w:top w:val="single" w:sz="4" w:space="0" w:color="auto"/>
                    <w:bottom w:val="single" w:sz="4" w:space="0" w:color="auto"/>
                  </w:tcBorders>
                </w:tcPr>
                <w:p w14:paraId="58079C84" w14:textId="77777777" w:rsidR="00472C87" w:rsidRDefault="00000000">
                  <w:pPr>
                    <w:pStyle w:val="Compact"/>
                    <w:jc w:val="center"/>
                  </w:pPr>
                  <w:r>
                    <w:t>Change / year</w:t>
                  </w:r>
                </w:p>
              </w:tc>
              <w:tc>
                <w:tcPr>
                  <w:tcW w:w="697" w:type="pct"/>
                  <w:tcBorders>
                    <w:top w:val="single" w:sz="4" w:space="0" w:color="auto"/>
                    <w:bottom w:val="single" w:sz="4" w:space="0" w:color="auto"/>
                  </w:tcBorders>
                </w:tcPr>
                <w:p w14:paraId="370C53F0" w14:textId="77777777" w:rsidR="00472C87" w:rsidRDefault="00000000">
                  <w:pPr>
                    <w:pStyle w:val="Compact"/>
                    <w:jc w:val="center"/>
                  </w:pPr>
                  <w:r>
                    <w:t>Start value</w:t>
                  </w:r>
                </w:p>
              </w:tc>
              <w:tc>
                <w:tcPr>
                  <w:tcW w:w="678" w:type="pct"/>
                  <w:tcBorders>
                    <w:top w:val="single" w:sz="4" w:space="0" w:color="auto"/>
                    <w:bottom w:val="single" w:sz="4" w:space="0" w:color="auto"/>
                  </w:tcBorders>
                </w:tcPr>
                <w:p w14:paraId="6EFCEBD0" w14:textId="77777777" w:rsidR="00472C87" w:rsidRDefault="00000000">
                  <w:pPr>
                    <w:pStyle w:val="Compact"/>
                    <w:jc w:val="center"/>
                  </w:pPr>
                  <w:r>
                    <w:t>End value</w:t>
                  </w:r>
                </w:p>
              </w:tc>
              <w:tc>
                <w:tcPr>
                  <w:tcW w:w="812" w:type="pct"/>
                  <w:tcBorders>
                    <w:top w:val="single" w:sz="4" w:space="0" w:color="auto"/>
                    <w:bottom w:val="single" w:sz="4" w:space="0" w:color="auto"/>
                  </w:tcBorders>
                </w:tcPr>
                <w:p w14:paraId="77EF6B4B" w14:textId="77777777" w:rsidR="00472C87" w:rsidRDefault="00000000">
                  <w:pPr>
                    <w:pStyle w:val="Compact"/>
                    <w:jc w:val="center"/>
                  </w:pPr>
                  <w:r>
                    <w:t>Total change</w:t>
                  </w:r>
                </w:p>
              </w:tc>
            </w:tr>
            <w:tr w:rsidR="00472C87" w14:paraId="34B6916E" w14:textId="77777777" w:rsidTr="00F01F7F">
              <w:tc>
                <w:tcPr>
                  <w:tcW w:w="688" w:type="pct"/>
                  <w:gridSpan w:val="2"/>
                  <w:tcBorders>
                    <w:top w:val="single" w:sz="4" w:space="0" w:color="auto"/>
                  </w:tcBorders>
                </w:tcPr>
                <w:p w14:paraId="4B145AA2" w14:textId="77777777" w:rsidR="00472C87" w:rsidRDefault="00000000">
                  <w:pPr>
                    <w:pStyle w:val="Compact"/>
                    <w:jc w:val="center"/>
                  </w:pPr>
                  <w:r>
                    <w:t>1975</w:t>
                  </w:r>
                </w:p>
              </w:tc>
              <w:tc>
                <w:tcPr>
                  <w:tcW w:w="750" w:type="pct"/>
                  <w:tcBorders>
                    <w:top w:val="single" w:sz="4" w:space="0" w:color="auto"/>
                  </w:tcBorders>
                </w:tcPr>
                <w:p w14:paraId="66E5C607" w14:textId="77777777" w:rsidR="00472C87" w:rsidRDefault="00000000">
                  <w:pPr>
                    <w:pStyle w:val="Compact"/>
                    <w:jc w:val="center"/>
                  </w:pPr>
                  <w:r>
                    <w:t>OTB</w:t>
                  </w:r>
                </w:p>
              </w:tc>
              <w:tc>
                <w:tcPr>
                  <w:tcW w:w="500" w:type="pct"/>
                  <w:tcBorders>
                    <w:top w:val="single" w:sz="4" w:space="0" w:color="auto"/>
                  </w:tcBorders>
                </w:tcPr>
                <w:p w14:paraId="17EAD7D5" w14:textId="77777777" w:rsidR="00472C87" w:rsidRDefault="00000000">
                  <w:pPr>
                    <w:pStyle w:val="Compact"/>
                    <w:jc w:val="center"/>
                  </w:pPr>
                  <w:r>
                    <w:t>EPC</w:t>
                  </w:r>
                </w:p>
              </w:tc>
              <w:tc>
                <w:tcPr>
                  <w:tcW w:w="875" w:type="pct"/>
                  <w:tcBorders>
                    <w:top w:val="single" w:sz="4" w:space="0" w:color="auto"/>
                  </w:tcBorders>
                </w:tcPr>
                <w:p w14:paraId="2766BF54" w14:textId="77777777" w:rsidR="00472C87" w:rsidRDefault="00000000">
                  <w:pPr>
                    <w:pStyle w:val="Compact"/>
                    <w:jc w:val="center"/>
                  </w:pPr>
                  <w:r>
                    <w:t>0.03 (0.01)</w:t>
                  </w:r>
                </w:p>
              </w:tc>
              <w:tc>
                <w:tcPr>
                  <w:tcW w:w="697" w:type="pct"/>
                  <w:tcBorders>
                    <w:top w:val="single" w:sz="4" w:space="0" w:color="auto"/>
                  </w:tcBorders>
                </w:tcPr>
                <w:p w14:paraId="2BC6AECB" w14:textId="77777777" w:rsidR="00472C87" w:rsidRDefault="00000000">
                  <w:pPr>
                    <w:pStyle w:val="Compact"/>
                    <w:jc w:val="center"/>
                  </w:pPr>
                  <w:r>
                    <w:t>23.4</w:t>
                  </w:r>
                </w:p>
              </w:tc>
              <w:tc>
                <w:tcPr>
                  <w:tcW w:w="678" w:type="pct"/>
                  <w:tcBorders>
                    <w:top w:val="single" w:sz="4" w:space="0" w:color="auto"/>
                  </w:tcBorders>
                </w:tcPr>
                <w:p w14:paraId="002C5AD8" w14:textId="77777777" w:rsidR="00472C87" w:rsidRDefault="00000000">
                  <w:pPr>
                    <w:pStyle w:val="Compact"/>
                    <w:jc w:val="center"/>
                  </w:pPr>
                  <w:r>
                    <w:t>24.7</w:t>
                  </w:r>
                </w:p>
              </w:tc>
              <w:tc>
                <w:tcPr>
                  <w:tcW w:w="812" w:type="pct"/>
                  <w:tcBorders>
                    <w:top w:val="single" w:sz="4" w:space="0" w:color="auto"/>
                  </w:tcBorders>
                </w:tcPr>
                <w:p w14:paraId="40A5D3AE" w14:textId="77777777" w:rsidR="00472C87" w:rsidRDefault="00000000">
                  <w:pPr>
                    <w:pStyle w:val="Compact"/>
                    <w:jc w:val="center"/>
                  </w:pPr>
                  <w:r>
                    <w:t>1.3</w:t>
                  </w:r>
                </w:p>
              </w:tc>
            </w:tr>
            <w:tr w:rsidR="00472C87" w14:paraId="12A288CE" w14:textId="77777777" w:rsidTr="00F01F7F">
              <w:tc>
                <w:tcPr>
                  <w:tcW w:w="688" w:type="pct"/>
                  <w:gridSpan w:val="2"/>
                </w:tcPr>
                <w:p w14:paraId="5AF5FB4E" w14:textId="77777777" w:rsidR="00472C87" w:rsidRDefault="00472C87">
                  <w:pPr>
                    <w:pStyle w:val="Compact"/>
                  </w:pPr>
                </w:p>
              </w:tc>
              <w:tc>
                <w:tcPr>
                  <w:tcW w:w="750" w:type="pct"/>
                </w:tcPr>
                <w:p w14:paraId="29B6D114" w14:textId="77777777" w:rsidR="00472C87" w:rsidRDefault="00000000">
                  <w:pPr>
                    <w:pStyle w:val="Compact"/>
                    <w:jc w:val="center"/>
                  </w:pPr>
                  <w:r>
                    <w:t>HB</w:t>
                  </w:r>
                </w:p>
              </w:tc>
              <w:tc>
                <w:tcPr>
                  <w:tcW w:w="500" w:type="pct"/>
                </w:tcPr>
                <w:p w14:paraId="657FBBC3" w14:textId="77777777" w:rsidR="00472C87" w:rsidRDefault="00000000">
                  <w:pPr>
                    <w:pStyle w:val="Compact"/>
                    <w:jc w:val="center"/>
                  </w:pPr>
                  <w:r>
                    <w:t>EPC</w:t>
                  </w:r>
                </w:p>
              </w:tc>
              <w:tc>
                <w:tcPr>
                  <w:tcW w:w="875" w:type="pct"/>
                </w:tcPr>
                <w:p w14:paraId="70531D53" w14:textId="77777777" w:rsidR="00472C87" w:rsidRDefault="00000000">
                  <w:pPr>
                    <w:pStyle w:val="Compact"/>
                    <w:jc w:val="center"/>
                  </w:pPr>
                  <w:r>
                    <w:t>0.04 (0.01)</w:t>
                  </w:r>
                </w:p>
              </w:tc>
              <w:tc>
                <w:tcPr>
                  <w:tcW w:w="697" w:type="pct"/>
                </w:tcPr>
                <w:p w14:paraId="3F98F229" w14:textId="77777777" w:rsidR="00472C87" w:rsidRDefault="00000000">
                  <w:pPr>
                    <w:pStyle w:val="Compact"/>
                    <w:jc w:val="center"/>
                  </w:pPr>
                  <w:r>
                    <w:t>23.4</w:t>
                  </w:r>
                </w:p>
              </w:tc>
              <w:tc>
                <w:tcPr>
                  <w:tcW w:w="678" w:type="pct"/>
                </w:tcPr>
                <w:p w14:paraId="698EF638" w14:textId="77777777" w:rsidR="00472C87" w:rsidRDefault="00000000">
                  <w:pPr>
                    <w:pStyle w:val="Compact"/>
                    <w:jc w:val="center"/>
                  </w:pPr>
                  <w:r>
                    <w:t>25.1</w:t>
                  </w:r>
                </w:p>
              </w:tc>
              <w:tc>
                <w:tcPr>
                  <w:tcW w:w="812" w:type="pct"/>
                </w:tcPr>
                <w:p w14:paraId="2C88AEB1" w14:textId="77777777" w:rsidR="00472C87" w:rsidRDefault="00000000">
                  <w:pPr>
                    <w:pStyle w:val="Compact"/>
                    <w:jc w:val="center"/>
                  </w:pPr>
                  <w:r>
                    <w:t>1.7</w:t>
                  </w:r>
                </w:p>
              </w:tc>
            </w:tr>
            <w:tr w:rsidR="00472C87" w14:paraId="197696E7" w14:textId="77777777" w:rsidTr="00F01F7F">
              <w:tc>
                <w:tcPr>
                  <w:tcW w:w="688" w:type="pct"/>
                  <w:gridSpan w:val="2"/>
                </w:tcPr>
                <w:p w14:paraId="00670BC6" w14:textId="77777777" w:rsidR="00472C87" w:rsidRDefault="00472C87">
                  <w:pPr>
                    <w:pStyle w:val="Compact"/>
                  </w:pPr>
                </w:p>
              </w:tc>
              <w:tc>
                <w:tcPr>
                  <w:tcW w:w="750" w:type="pct"/>
                </w:tcPr>
                <w:p w14:paraId="0C3B629B" w14:textId="77777777" w:rsidR="00472C87" w:rsidRDefault="00000000">
                  <w:pPr>
                    <w:pStyle w:val="Compact"/>
                    <w:jc w:val="center"/>
                  </w:pPr>
                  <w:r>
                    <w:t>MTB</w:t>
                  </w:r>
                </w:p>
              </w:tc>
              <w:tc>
                <w:tcPr>
                  <w:tcW w:w="500" w:type="pct"/>
                </w:tcPr>
                <w:p w14:paraId="5D428636" w14:textId="77777777" w:rsidR="00472C87" w:rsidRDefault="00000000">
                  <w:pPr>
                    <w:pStyle w:val="Compact"/>
                    <w:jc w:val="center"/>
                  </w:pPr>
                  <w:r>
                    <w:t>EPC</w:t>
                  </w:r>
                </w:p>
              </w:tc>
              <w:tc>
                <w:tcPr>
                  <w:tcW w:w="875" w:type="pct"/>
                </w:tcPr>
                <w:p w14:paraId="5C23ACC8" w14:textId="77777777" w:rsidR="00472C87" w:rsidRDefault="00000000">
                  <w:pPr>
                    <w:pStyle w:val="Compact"/>
                    <w:jc w:val="center"/>
                  </w:pPr>
                  <w:r>
                    <w:t>0.03 (0.01)</w:t>
                  </w:r>
                </w:p>
              </w:tc>
              <w:tc>
                <w:tcPr>
                  <w:tcW w:w="697" w:type="pct"/>
                </w:tcPr>
                <w:p w14:paraId="5FA86A24" w14:textId="77777777" w:rsidR="00472C87" w:rsidRDefault="00000000">
                  <w:pPr>
                    <w:pStyle w:val="Compact"/>
                    <w:jc w:val="center"/>
                  </w:pPr>
                  <w:r>
                    <w:t>23.3</w:t>
                  </w:r>
                </w:p>
              </w:tc>
              <w:tc>
                <w:tcPr>
                  <w:tcW w:w="678" w:type="pct"/>
                </w:tcPr>
                <w:p w14:paraId="5AFCE016" w14:textId="77777777" w:rsidR="00472C87" w:rsidRDefault="00000000">
                  <w:pPr>
                    <w:pStyle w:val="Compact"/>
                    <w:jc w:val="center"/>
                  </w:pPr>
                  <w:r>
                    <w:t>24.8</w:t>
                  </w:r>
                </w:p>
              </w:tc>
              <w:tc>
                <w:tcPr>
                  <w:tcW w:w="812" w:type="pct"/>
                </w:tcPr>
                <w:p w14:paraId="322D933F" w14:textId="77777777" w:rsidR="00472C87" w:rsidRDefault="00000000">
                  <w:pPr>
                    <w:pStyle w:val="Compact"/>
                    <w:jc w:val="center"/>
                  </w:pPr>
                  <w:r>
                    <w:t>1.5</w:t>
                  </w:r>
                </w:p>
              </w:tc>
            </w:tr>
            <w:tr w:rsidR="00472C87" w14:paraId="00FA0CFD" w14:textId="77777777" w:rsidTr="00F01F7F">
              <w:tc>
                <w:tcPr>
                  <w:tcW w:w="688" w:type="pct"/>
                  <w:gridSpan w:val="2"/>
                </w:tcPr>
                <w:p w14:paraId="7587EC8A" w14:textId="77777777" w:rsidR="00472C87" w:rsidRDefault="00472C87">
                  <w:pPr>
                    <w:pStyle w:val="Compact"/>
                  </w:pPr>
                </w:p>
              </w:tc>
              <w:tc>
                <w:tcPr>
                  <w:tcW w:w="750" w:type="pct"/>
                </w:tcPr>
                <w:p w14:paraId="7A8A550D" w14:textId="77777777" w:rsidR="00472C87" w:rsidRDefault="00000000">
                  <w:pPr>
                    <w:pStyle w:val="Compact"/>
                    <w:jc w:val="center"/>
                  </w:pPr>
                  <w:r>
                    <w:t>LTB</w:t>
                  </w:r>
                </w:p>
              </w:tc>
              <w:tc>
                <w:tcPr>
                  <w:tcW w:w="500" w:type="pct"/>
                </w:tcPr>
                <w:p w14:paraId="27EDDBB8" w14:textId="77777777" w:rsidR="00472C87" w:rsidRDefault="00000000">
                  <w:pPr>
                    <w:pStyle w:val="Compact"/>
                    <w:jc w:val="center"/>
                  </w:pPr>
                  <w:r>
                    <w:t>EPC</w:t>
                  </w:r>
                </w:p>
              </w:tc>
              <w:tc>
                <w:tcPr>
                  <w:tcW w:w="875" w:type="pct"/>
                </w:tcPr>
                <w:p w14:paraId="6B12EF64" w14:textId="77777777" w:rsidR="00472C87" w:rsidRDefault="00000000">
                  <w:pPr>
                    <w:pStyle w:val="Compact"/>
                    <w:jc w:val="center"/>
                  </w:pPr>
                  <w:r>
                    <w:t>0.03 (0.01)</w:t>
                  </w:r>
                </w:p>
              </w:tc>
              <w:tc>
                <w:tcPr>
                  <w:tcW w:w="697" w:type="pct"/>
                </w:tcPr>
                <w:p w14:paraId="5076CF74" w14:textId="77777777" w:rsidR="00472C87" w:rsidRDefault="00000000">
                  <w:pPr>
                    <w:pStyle w:val="Compact"/>
                    <w:jc w:val="center"/>
                  </w:pPr>
                  <w:r>
                    <w:t>23.3</w:t>
                  </w:r>
                </w:p>
              </w:tc>
              <w:tc>
                <w:tcPr>
                  <w:tcW w:w="678" w:type="pct"/>
                </w:tcPr>
                <w:p w14:paraId="7901865B" w14:textId="77777777" w:rsidR="00472C87" w:rsidRDefault="00000000">
                  <w:pPr>
                    <w:pStyle w:val="Compact"/>
                    <w:jc w:val="center"/>
                  </w:pPr>
                  <w:r>
                    <w:t>24.8</w:t>
                  </w:r>
                </w:p>
              </w:tc>
              <w:tc>
                <w:tcPr>
                  <w:tcW w:w="812" w:type="pct"/>
                </w:tcPr>
                <w:p w14:paraId="4A8C3C81" w14:textId="77777777" w:rsidR="00472C87" w:rsidRDefault="00000000">
                  <w:pPr>
                    <w:pStyle w:val="Compact"/>
                    <w:jc w:val="center"/>
                  </w:pPr>
                  <w:r>
                    <w:t>1.5</w:t>
                  </w:r>
                </w:p>
              </w:tc>
            </w:tr>
            <w:tr w:rsidR="00472C87" w14:paraId="09E908C1" w14:textId="77777777" w:rsidTr="00F01F7F">
              <w:tc>
                <w:tcPr>
                  <w:tcW w:w="688" w:type="pct"/>
                  <w:gridSpan w:val="2"/>
                </w:tcPr>
                <w:p w14:paraId="13D0FD83" w14:textId="77777777" w:rsidR="00472C87" w:rsidRDefault="00000000">
                  <w:pPr>
                    <w:pStyle w:val="Compact"/>
                    <w:jc w:val="center"/>
                  </w:pPr>
                  <w:r>
                    <w:t>1996</w:t>
                  </w:r>
                </w:p>
              </w:tc>
              <w:tc>
                <w:tcPr>
                  <w:tcW w:w="750" w:type="pct"/>
                </w:tcPr>
                <w:p w14:paraId="539A3586" w14:textId="77777777" w:rsidR="00472C87" w:rsidRDefault="00000000">
                  <w:pPr>
                    <w:pStyle w:val="Compact"/>
                    <w:jc w:val="center"/>
                  </w:pPr>
                  <w:r>
                    <w:t>OTB</w:t>
                  </w:r>
                </w:p>
              </w:tc>
              <w:tc>
                <w:tcPr>
                  <w:tcW w:w="500" w:type="pct"/>
                </w:tcPr>
                <w:p w14:paraId="5E043E17" w14:textId="77777777" w:rsidR="00472C87" w:rsidRDefault="00000000">
                  <w:pPr>
                    <w:pStyle w:val="Compact"/>
                    <w:jc w:val="center"/>
                  </w:pPr>
                  <w:r>
                    <w:t>EPC</w:t>
                  </w:r>
                </w:p>
              </w:tc>
              <w:tc>
                <w:tcPr>
                  <w:tcW w:w="875" w:type="pct"/>
                </w:tcPr>
                <w:p w14:paraId="63CEE9CC" w14:textId="77777777" w:rsidR="00472C87" w:rsidRDefault="00000000">
                  <w:pPr>
                    <w:pStyle w:val="Compact"/>
                    <w:jc w:val="center"/>
                  </w:pPr>
                  <w:r>
                    <w:t>0.04 (0.02)</w:t>
                  </w:r>
                </w:p>
              </w:tc>
              <w:tc>
                <w:tcPr>
                  <w:tcW w:w="697" w:type="pct"/>
                </w:tcPr>
                <w:p w14:paraId="13EC111A" w14:textId="77777777" w:rsidR="00472C87" w:rsidRDefault="00000000">
                  <w:pPr>
                    <w:pStyle w:val="Compact"/>
                    <w:jc w:val="center"/>
                  </w:pPr>
                  <w:r>
                    <w:t>23.6</w:t>
                  </w:r>
                </w:p>
              </w:tc>
              <w:tc>
                <w:tcPr>
                  <w:tcW w:w="678" w:type="pct"/>
                </w:tcPr>
                <w:p w14:paraId="6258CBB0" w14:textId="77777777" w:rsidR="00472C87" w:rsidRDefault="00000000">
                  <w:pPr>
                    <w:pStyle w:val="Compact"/>
                    <w:jc w:val="center"/>
                  </w:pPr>
                  <w:r>
                    <w:t>24.8</w:t>
                  </w:r>
                </w:p>
              </w:tc>
              <w:tc>
                <w:tcPr>
                  <w:tcW w:w="812" w:type="pct"/>
                </w:tcPr>
                <w:p w14:paraId="038B1674" w14:textId="77777777" w:rsidR="00472C87" w:rsidRDefault="00000000">
                  <w:pPr>
                    <w:pStyle w:val="Compact"/>
                    <w:jc w:val="center"/>
                  </w:pPr>
                  <w:r>
                    <w:t>1.2</w:t>
                  </w:r>
                </w:p>
              </w:tc>
            </w:tr>
            <w:tr w:rsidR="00472C87" w14:paraId="001E197B" w14:textId="77777777" w:rsidTr="00F01F7F">
              <w:tc>
                <w:tcPr>
                  <w:tcW w:w="688" w:type="pct"/>
                  <w:gridSpan w:val="2"/>
                </w:tcPr>
                <w:p w14:paraId="4C0198D2" w14:textId="77777777" w:rsidR="00472C87" w:rsidRDefault="00472C87">
                  <w:pPr>
                    <w:pStyle w:val="Compact"/>
                  </w:pPr>
                </w:p>
              </w:tc>
              <w:tc>
                <w:tcPr>
                  <w:tcW w:w="750" w:type="pct"/>
                </w:tcPr>
                <w:p w14:paraId="74509FC8" w14:textId="77777777" w:rsidR="00472C87" w:rsidRDefault="00472C87">
                  <w:pPr>
                    <w:pStyle w:val="Compact"/>
                  </w:pPr>
                </w:p>
              </w:tc>
              <w:tc>
                <w:tcPr>
                  <w:tcW w:w="500" w:type="pct"/>
                </w:tcPr>
                <w:p w14:paraId="540EA049" w14:textId="77777777" w:rsidR="00472C87" w:rsidRDefault="00000000">
                  <w:pPr>
                    <w:pStyle w:val="Compact"/>
                    <w:jc w:val="center"/>
                  </w:pPr>
                  <w:r>
                    <w:t>FIM</w:t>
                  </w:r>
                </w:p>
              </w:tc>
              <w:tc>
                <w:tcPr>
                  <w:tcW w:w="875" w:type="pct"/>
                </w:tcPr>
                <w:p w14:paraId="5027E843" w14:textId="77777777" w:rsidR="00472C87" w:rsidRDefault="00000000">
                  <w:pPr>
                    <w:pStyle w:val="Compact"/>
                    <w:jc w:val="center"/>
                  </w:pPr>
                  <w:r>
                    <w:t>0.05 (0.02)</w:t>
                  </w:r>
                </w:p>
              </w:tc>
              <w:tc>
                <w:tcPr>
                  <w:tcW w:w="697" w:type="pct"/>
                </w:tcPr>
                <w:p w14:paraId="260620B7" w14:textId="77777777" w:rsidR="00472C87" w:rsidRDefault="00000000">
                  <w:pPr>
                    <w:pStyle w:val="Compact"/>
                    <w:jc w:val="center"/>
                  </w:pPr>
                  <w:r>
                    <w:t>23.5</w:t>
                  </w:r>
                </w:p>
              </w:tc>
              <w:tc>
                <w:tcPr>
                  <w:tcW w:w="678" w:type="pct"/>
                </w:tcPr>
                <w:p w14:paraId="5421E62B" w14:textId="77777777" w:rsidR="00472C87" w:rsidRDefault="00000000">
                  <w:pPr>
                    <w:pStyle w:val="Compact"/>
                    <w:jc w:val="center"/>
                  </w:pPr>
                  <w:r>
                    <w:t>24.8</w:t>
                  </w:r>
                </w:p>
              </w:tc>
              <w:tc>
                <w:tcPr>
                  <w:tcW w:w="812" w:type="pct"/>
                </w:tcPr>
                <w:p w14:paraId="3387E9B8" w14:textId="77777777" w:rsidR="00472C87" w:rsidRDefault="00000000">
                  <w:pPr>
                    <w:pStyle w:val="Compact"/>
                    <w:jc w:val="center"/>
                  </w:pPr>
                  <w:r>
                    <w:t>1.3</w:t>
                  </w:r>
                </w:p>
              </w:tc>
            </w:tr>
            <w:tr w:rsidR="00472C87" w14:paraId="5AB8CE96" w14:textId="77777777" w:rsidTr="00F01F7F">
              <w:tc>
                <w:tcPr>
                  <w:tcW w:w="688" w:type="pct"/>
                  <w:gridSpan w:val="2"/>
                </w:tcPr>
                <w:p w14:paraId="1DC42ACC" w14:textId="77777777" w:rsidR="00472C87" w:rsidRDefault="00472C87">
                  <w:pPr>
                    <w:pStyle w:val="Compact"/>
                  </w:pPr>
                </w:p>
              </w:tc>
              <w:tc>
                <w:tcPr>
                  <w:tcW w:w="750" w:type="pct"/>
                </w:tcPr>
                <w:p w14:paraId="09AAA6E9" w14:textId="77777777" w:rsidR="00472C87" w:rsidRDefault="00000000">
                  <w:pPr>
                    <w:pStyle w:val="Compact"/>
                    <w:jc w:val="center"/>
                  </w:pPr>
                  <w:r>
                    <w:t>HB</w:t>
                  </w:r>
                </w:p>
              </w:tc>
              <w:tc>
                <w:tcPr>
                  <w:tcW w:w="500" w:type="pct"/>
                </w:tcPr>
                <w:p w14:paraId="72D1EF7D" w14:textId="77777777" w:rsidR="00472C87" w:rsidRDefault="00000000">
                  <w:pPr>
                    <w:pStyle w:val="Compact"/>
                    <w:jc w:val="center"/>
                  </w:pPr>
                  <w:r>
                    <w:t>EPC</w:t>
                  </w:r>
                </w:p>
              </w:tc>
              <w:tc>
                <w:tcPr>
                  <w:tcW w:w="875" w:type="pct"/>
                </w:tcPr>
                <w:p w14:paraId="7ADD8D1C" w14:textId="77777777" w:rsidR="00472C87" w:rsidRDefault="00000000">
                  <w:pPr>
                    <w:pStyle w:val="Compact"/>
                    <w:jc w:val="center"/>
                  </w:pPr>
                  <w:r>
                    <w:t>0.06 (0.01)</w:t>
                  </w:r>
                </w:p>
              </w:tc>
              <w:tc>
                <w:tcPr>
                  <w:tcW w:w="697" w:type="pct"/>
                </w:tcPr>
                <w:p w14:paraId="207B715F" w14:textId="77777777" w:rsidR="00472C87" w:rsidRDefault="00000000">
                  <w:pPr>
                    <w:pStyle w:val="Compact"/>
                    <w:jc w:val="center"/>
                  </w:pPr>
                  <w:r>
                    <w:t>23.8</w:t>
                  </w:r>
                </w:p>
              </w:tc>
              <w:tc>
                <w:tcPr>
                  <w:tcW w:w="678" w:type="pct"/>
                </w:tcPr>
                <w:p w14:paraId="3AB90947" w14:textId="77777777" w:rsidR="00472C87" w:rsidRDefault="00000000">
                  <w:pPr>
                    <w:pStyle w:val="Compact"/>
                    <w:jc w:val="center"/>
                  </w:pPr>
                  <w:r>
                    <w:t>25.3</w:t>
                  </w:r>
                </w:p>
              </w:tc>
              <w:tc>
                <w:tcPr>
                  <w:tcW w:w="812" w:type="pct"/>
                </w:tcPr>
                <w:p w14:paraId="67A5B25F" w14:textId="77777777" w:rsidR="00472C87" w:rsidRDefault="00000000">
                  <w:pPr>
                    <w:pStyle w:val="Compact"/>
                    <w:jc w:val="center"/>
                  </w:pPr>
                  <w:r>
                    <w:t>1.5</w:t>
                  </w:r>
                </w:p>
              </w:tc>
            </w:tr>
            <w:tr w:rsidR="00472C87" w14:paraId="012A7D86" w14:textId="77777777" w:rsidTr="00F01F7F">
              <w:tc>
                <w:tcPr>
                  <w:tcW w:w="688" w:type="pct"/>
                  <w:gridSpan w:val="2"/>
                </w:tcPr>
                <w:p w14:paraId="7EDA35CB" w14:textId="77777777" w:rsidR="00472C87" w:rsidRDefault="00472C87">
                  <w:pPr>
                    <w:pStyle w:val="Compact"/>
                  </w:pPr>
                </w:p>
              </w:tc>
              <w:tc>
                <w:tcPr>
                  <w:tcW w:w="750" w:type="pct"/>
                </w:tcPr>
                <w:p w14:paraId="144E9CC4" w14:textId="77777777" w:rsidR="00472C87" w:rsidRDefault="00472C87">
                  <w:pPr>
                    <w:pStyle w:val="Compact"/>
                  </w:pPr>
                </w:p>
              </w:tc>
              <w:tc>
                <w:tcPr>
                  <w:tcW w:w="500" w:type="pct"/>
                </w:tcPr>
                <w:p w14:paraId="26E0D3F6" w14:textId="77777777" w:rsidR="00472C87" w:rsidRDefault="00000000">
                  <w:pPr>
                    <w:pStyle w:val="Compact"/>
                    <w:jc w:val="center"/>
                  </w:pPr>
                  <w:r>
                    <w:t>FIM</w:t>
                  </w:r>
                </w:p>
              </w:tc>
              <w:tc>
                <w:tcPr>
                  <w:tcW w:w="875" w:type="pct"/>
                </w:tcPr>
                <w:p w14:paraId="1A304628" w14:textId="77777777" w:rsidR="00472C87" w:rsidRDefault="00000000">
                  <w:pPr>
                    <w:pStyle w:val="Compact"/>
                    <w:jc w:val="center"/>
                  </w:pPr>
                  <w:r>
                    <w:t>0.05 (0.02)</w:t>
                  </w:r>
                </w:p>
              </w:tc>
              <w:tc>
                <w:tcPr>
                  <w:tcW w:w="697" w:type="pct"/>
                </w:tcPr>
                <w:p w14:paraId="49003270" w14:textId="77777777" w:rsidR="00472C87" w:rsidRDefault="00000000">
                  <w:pPr>
                    <w:pStyle w:val="Compact"/>
                    <w:jc w:val="center"/>
                  </w:pPr>
                  <w:r>
                    <w:t>24.0</w:t>
                  </w:r>
                </w:p>
              </w:tc>
              <w:tc>
                <w:tcPr>
                  <w:tcW w:w="678" w:type="pct"/>
                </w:tcPr>
                <w:p w14:paraId="279BDE96" w14:textId="77777777" w:rsidR="00472C87" w:rsidRDefault="00000000">
                  <w:pPr>
                    <w:pStyle w:val="Compact"/>
                    <w:jc w:val="center"/>
                  </w:pPr>
                  <w:r>
                    <w:t>25.3</w:t>
                  </w:r>
                </w:p>
              </w:tc>
              <w:tc>
                <w:tcPr>
                  <w:tcW w:w="812" w:type="pct"/>
                </w:tcPr>
                <w:p w14:paraId="21B6E98D" w14:textId="77777777" w:rsidR="00472C87" w:rsidRDefault="00000000">
                  <w:pPr>
                    <w:pStyle w:val="Compact"/>
                    <w:jc w:val="center"/>
                  </w:pPr>
                  <w:r>
                    <w:t>1.3</w:t>
                  </w:r>
                </w:p>
              </w:tc>
            </w:tr>
            <w:tr w:rsidR="00472C87" w14:paraId="1C4B1A60" w14:textId="77777777" w:rsidTr="00F01F7F">
              <w:tc>
                <w:tcPr>
                  <w:tcW w:w="688" w:type="pct"/>
                  <w:gridSpan w:val="2"/>
                </w:tcPr>
                <w:p w14:paraId="561E331A" w14:textId="77777777" w:rsidR="00472C87" w:rsidRDefault="00472C87">
                  <w:pPr>
                    <w:pStyle w:val="Compact"/>
                  </w:pPr>
                </w:p>
              </w:tc>
              <w:tc>
                <w:tcPr>
                  <w:tcW w:w="750" w:type="pct"/>
                </w:tcPr>
                <w:p w14:paraId="5F9B59D7" w14:textId="77777777" w:rsidR="00472C87" w:rsidRDefault="00000000">
                  <w:pPr>
                    <w:pStyle w:val="Compact"/>
                    <w:jc w:val="center"/>
                  </w:pPr>
                  <w:r>
                    <w:t>MTB</w:t>
                  </w:r>
                </w:p>
              </w:tc>
              <w:tc>
                <w:tcPr>
                  <w:tcW w:w="500" w:type="pct"/>
                </w:tcPr>
                <w:p w14:paraId="65D279E6" w14:textId="77777777" w:rsidR="00472C87" w:rsidRDefault="00000000">
                  <w:pPr>
                    <w:pStyle w:val="Compact"/>
                    <w:jc w:val="center"/>
                  </w:pPr>
                  <w:r>
                    <w:t>EPC</w:t>
                  </w:r>
                </w:p>
              </w:tc>
              <w:tc>
                <w:tcPr>
                  <w:tcW w:w="875" w:type="pct"/>
                </w:tcPr>
                <w:p w14:paraId="569B62DE" w14:textId="77777777" w:rsidR="00472C87" w:rsidRDefault="00000000">
                  <w:pPr>
                    <w:pStyle w:val="Compact"/>
                    <w:jc w:val="center"/>
                  </w:pPr>
                  <w:r>
                    <w:t>0.04 (0.01)</w:t>
                  </w:r>
                </w:p>
              </w:tc>
              <w:tc>
                <w:tcPr>
                  <w:tcW w:w="697" w:type="pct"/>
                </w:tcPr>
                <w:p w14:paraId="222CB139" w14:textId="77777777" w:rsidR="00472C87" w:rsidRDefault="00000000">
                  <w:pPr>
                    <w:pStyle w:val="Compact"/>
                    <w:jc w:val="center"/>
                  </w:pPr>
                  <w:r>
                    <w:t>23.8</w:t>
                  </w:r>
                </w:p>
              </w:tc>
              <w:tc>
                <w:tcPr>
                  <w:tcW w:w="678" w:type="pct"/>
                </w:tcPr>
                <w:p w14:paraId="279791A1" w14:textId="77777777" w:rsidR="00472C87" w:rsidRDefault="00000000">
                  <w:pPr>
                    <w:pStyle w:val="Compact"/>
                    <w:jc w:val="center"/>
                  </w:pPr>
                  <w:r>
                    <w:t>24.8</w:t>
                  </w:r>
                </w:p>
              </w:tc>
              <w:tc>
                <w:tcPr>
                  <w:tcW w:w="812" w:type="pct"/>
                </w:tcPr>
                <w:p w14:paraId="7CBA909F" w14:textId="77777777" w:rsidR="00472C87" w:rsidRDefault="00000000">
                  <w:pPr>
                    <w:pStyle w:val="Compact"/>
                    <w:jc w:val="center"/>
                  </w:pPr>
                  <w:r>
                    <w:t>1.0</w:t>
                  </w:r>
                </w:p>
              </w:tc>
            </w:tr>
            <w:tr w:rsidR="00472C87" w14:paraId="26209191" w14:textId="77777777" w:rsidTr="00F01F7F">
              <w:tc>
                <w:tcPr>
                  <w:tcW w:w="688" w:type="pct"/>
                  <w:gridSpan w:val="2"/>
                </w:tcPr>
                <w:p w14:paraId="083F9D09" w14:textId="77777777" w:rsidR="00472C87" w:rsidRDefault="00472C87">
                  <w:pPr>
                    <w:pStyle w:val="Compact"/>
                  </w:pPr>
                </w:p>
              </w:tc>
              <w:tc>
                <w:tcPr>
                  <w:tcW w:w="750" w:type="pct"/>
                </w:tcPr>
                <w:p w14:paraId="0B7812AD" w14:textId="77777777" w:rsidR="00472C87" w:rsidRDefault="00472C87">
                  <w:pPr>
                    <w:pStyle w:val="Compact"/>
                  </w:pPr>
                </w:p>
              </w:tc>
              <w:tc>
                <w:tcPr>
                  <w:tcW w:w="500" w:type="pct"/>
                </w:tcPr>
                <w:p w14:paraId="1871375D" w14:textId="77777777" w:rsidR="00472C87" w:rsidRDefault="00000000">
                  <w:pPr>
                    <w:pStyle w:val="Compact"/>
                    <w:jc w:val="center"/>
                  </w:pPr>
                  <w:r>
                    <w:t>FIM</w:t>
                  </w:r>
                </w:p>
              </w:tc>
              <w:tc>
                <w:tcPr>
                  <w:tcW w:w="875" w:type="pct"/>
                </w:tcPr>
                <w:p w14:paraId="4A65AD52" w14:textId="77777777" w:rsidR="00472C87" w:rsidRDefault="00000000">
                  <w:pPr>
                    <w:pStyle w:val="Compact"/>
                    <w:jc w:val="center"/>
                  </w:pPr>
                  <w:r>
                    <w:t>0.03 (0.02)</w:t>
                  </w:r>
                </w:p>
              </w:tc>
              <w:tc>
                <w:tcPr>
                  <w:tcW w:w="697" w:type="pct"/>
                </w:tcPr>
                <w:p w14:paraId="39B70805" w14:textId="77777777" w:rsidR="00472C87" w:rsidRDefault="00000000">
                  <w:pPr>
                    <w:pStyle w:val="Compact"/>
                    <w:jc w:val="center"/>
                  </w:pPr>
                  <w:r>
                    <w:t>24.0</w:t>
                  </w:r>
                </w:p>
              </w:tc>
              <w:tc>
                <w:tcPr>
                  <w:tcW w:w="678" w:type="pct"/>
                </w:tcPr>
                <w:p w14:paraId="3DBB6A81" w14:textId="77777777" w:rsidR="00472C87" w:rsidRDefault="00000000">
                  <w:pPr>
                    <w:pStyle w:val="Compact"/>
                    <w:jc w:val="center"/>
                  </w:pPr>
                  <w:r>
                    <w:t>24.8</w:t>
                  </w:r>
                </w:p>
              </w:tc>
              <w:tc>
                <w:tcPr>
                  <w:tcW w:w="812" w:type="pct"/>
                </w:tcPr>
                <w:p w14:paraId="59F1A3AA" w14:textId="77777777" w:rsidR="00472C87" w:rsidRDefault="00000000">
                  <w:pPr>
                    <w:pStyle w:val="Compact"/>
                    <w:jc w:val="center"/>
                  </w:pPr>
                  <w:r>
                    <w:t>0.8</w:t>
                  </w:r>
                </w:p>
              </w:tc>
            </w:tr>
            <w:tr w:rsidR="00472C87" w14:paraId="6D6381EB" w14:textId="77777777" w:rsidTr="00F01F7F">
              <w:tc>
                <w:tcPr>
                  <w:tcW w:w="688" w:type="pct"/>
                  <w:gridSpan w:val="2"/>
                </w:tcPr>
                <w:p w14:paraId="4A7D353A" w14:textId="77777777" w:rsidR="00472C87" w:rsidRDefault="00472C87">
                  <w:pPr>
                    <w:pStyle w:val="Compact"/>
                  </w:pPr>
                </w:p>
              </w:tc>
              <w:tc>
                <w:tcPr>
                  <w:tcW w:w="750" w:type="pct"/>
                </w:tcPr>
                <w:p w14:paraId="406FCBD6" w14:textId="77777777" w:rsidR="00472C87" w:rsidRDefault="00000000">
                  <w:pPr>
                    <w:pStyle w:val="Compact"/>
                    <w:jc w:val="center"/>
                  </w:pPr>
                  <w:r>
                    <w:t>LTB</w:t>
                  </w:r>
                </w:p>
              </w:tc>
              <w:tc>
                <w:tcPr>
                  <w:tcW w:w="500" w:type="pct"/>
                </w:tcPr>
                <w:p w14:paraId="1BEB9B73" w14:textId="77777777" w:rsidR="00472C87" w:rsidRDefault="00000000">
                  <w:pPr>
                    <w:pStyle w:val="Compact"/>
                    <w:jc w:val="center"/>
                  </w:pPr>
                  <w:r>
                    <w:t>EPC</w:t>
                  </w:r>
                </w:p>
              </w:tc>
              <w:tc>
                <w:tcPr>
                  <w:tcW w:w="875" w:type="pct"/>
                </w:tcPr>
                <w:p w14:paraId="38B741ED" w14:textId="77777777" w:rsidR="00472C87" w:rsidRDefault="00000000">
                  <w:pPr>
                    <w:pStyle w:val="Compact"/>
                    <w:jc w:val="center"/>
                  </w:pPr>
                  <w:r>
                    <w:t>0.03 (0.01)</w:t>
                  </w:r>
                </w:p>
              </w:tc>
              <w:tc>
                <w:tcPr>
                  <w:tcW w:w="697" w:type="pct"/>
                </w:tcPr>
                <w:p w14:paraId="6968EEF2" w14:textId="77777777" w:rsidR="00472C87" w:rsidRDefault="00000000">
                  <w:pPr>
                    <w:pStyle w:val="Compact"/>
                    <w:jc w:val="center"/>
                  </w:pPr>
                  <w:r>
                    <w:t>23.9</w:t>
                  </w:r>
                </w:p>
              </w:tc>
              <w:tc>
                <w:tcPr>
                  <w:tcW w:w="678" w:type="pct"/>
                </w:tcPr>
                <w:p w14:paraId="79A3AF8C" w14:textId="77777777" w:rsidR="00472C87" w:rsidRDefault="00000000">
                  <w:pPr>
                    <w:pStyle w:val="Compact"/>
                    <w:jc w:val="center"/>
                  </w:pPr>
                  <w:r>
                    <w:t>24.8</w:t>
                  </w:r>
                </w:p>
              </w:tc>
              <w:tc>
                <w:tcPr>
                  <w:tcW w:w="812" w:type="pct"/>
                </w:tcPr>
                <w:p w14:paraId="179294CF" w14:textId="77777777" w:rsidR="00472C87" w:rsidRDefault="00000000">
                  <w:pPr>
                    <w:pStyle w:val="Compact"/>
                    <w:jc w:val="center"/>
                  </w:pPr>
                  <w:r>
                    <w:t>0.9</w:t>
                  </w:r>
                </w:p>
              </w:tc>
            </w:tr>
            <w:tr w:rsidR="00472C87" w14:paraId="22A64B5A" w14:textId="77777777" w:rsidTr="00F01F7F">
              <w:tc>
                <w:tcPr>
                  <w:tcW w:w="688" w:type="pct"/>
                  <w:gridSpan w:val="2"/>
                </w:tcPr>
                <w:p w14:paraId="1D7C0178" w14:textId="77777777" w:rsidR="00472C87" w:rsidRDefault="00472C87">
                  <w:pPr>
                    <w:pStyle w:val="Compact"/>
                  </w:pPr>
                </w:p>
              </w:tc>
              <w:tc>
                <w:tcPr>
                  <w:tcW w:w="750" w:type="pct"/>
                </w:tcPr>
                <w:p w14:paraId="39511E0E" w14:textId="77777777" w:rsidR="00472C87" w:rsidRDefault="00472C87">
                  <w:pPr>
                    <w:pStyle w:val="Compact"/>
                  </w:pPr>
                </w:p>
              </w:tc>
              <w:tc>
                <w:tcPr>
                  <w:tcW w:w="500" w:type="pct"/>
                </w:tcPr>
                <w:p w14:paraId="77FAC12B" w14:textId="77777777" w:rsidR="00472C87" w:rsidRDefault="00000000">
                  <w:pPr>
                    <w:pStyle w:val="Compact"/>
                    <w:jc w:val="center"/>
                  </w:pPr>
                  <w:r>
                    <w:t>FIM</w:t>
                  </w:r>
                </w:p>
              </w:tc>
              <w:tc>
                <w:tcPr>
                  <w:tcW w:w="875" w:type="pct"/>
                </w:tcPr>
                <w:p w14:paraId="69D196C3" w14:textId="77777777" w:rsidR="00472C87" w:rsidRDefault="00000000">
                  <w:pPr>
                    <w:pStyle w:val="Compact"/>
                    <w:jc w:val="center"/>
                  </w:pPr>
                  <w:r>
                    <w:t>0.02 (0.02)</w:t>
                  </w:r>
                </w:p>
              </w:tc>
              <w:tc>
                <w:tcPr>
                  <w:tcW w:w="697" w:type="pct"/>
                </w:tcPr>
                <w:p w14:paraId="2891B8B1" w14:textId="77777777" w:rsidR="00472C87" w:rsidRDefault="00000000">
                  <w:pPr>
                    <w:pStyle w:val="Compact"/>
                    <w:jc w:val="center"/>
                  </w:pPr>
                  <w:r>
                    <w:t>24.1</w:t>
                  </w:r>
                </w:p>
              </w:tc>
              <w:tc>
                <w:tcPr>
                  <w:tcW w:w="678" w:type="pct"/>
                </w:tcPr>
                <w:p w14:paraId="79672FD2" w14:textId="77777777" w:rsidR="00472C87" w:rsidRDefault="00000000">
                  <w:pPr>
                    <w:pStyle w:val="Compact"/>
                    <w:jc w:val="center"/>
                  </w:pPr>
                  <w:r>
                    <w:t>24.6</w:t>
                  </w:r>
                </w:p>
              </w:tc>
              <w:tc>
                <w:tcPr>
                  <w:tcW w:w="812" w:type="pct"/>
                </w:tcPr>
                <w:p w14:paraId="06A27D1C" w14:textId="77777777" w:rsidR="00472C87" w:rsidRDefault="00000000">
                  <w:pPr>
                    <w:pStyle w:val="Compact"/>
                    <w:jc w:val="center"/>
                  </w:pPr>
                  <w:r>
                    <w:t>0.5</w:t>
                  </w:r>
                </w:p>
              </w:tc>
            </w:tr>
            <w:tr w:rsidR="00472C87" w14:paraId="50091BEC" w14:textId="77777777" w:rsidTr="00F01F7F">
              <w:tc>
                <w:tcPr>
                  <w:tcW w:w="688" w:type="pct"/>
                  <w:gridSpan w:val="2"/>
                </w:tcPr>
                <w:p w14:paraId="60A58DAA" w14:textId="77777777" w:rsidR="00472C87" w:rsidRDefault="00000000">
                  <w:pPr>
                    <w:pStyle w:val="Compact"/>
                    <w:jc w:val="center"/>
                  </w:pPr>
                  <w:r>
                    <w:t>2004</w:t>
                  </w:r>
                </w:p>
              </w:tc>
              <w:tc>
                <w:tcPr>
                  <w:tcW w:w="750" w:type="pct"/>
                </w:tcPr>
                <w:p w14:paraId="4A38A805" w14:textId="77777777" w:rsidR="00472C87" w:rsidRDefault="00000000">
                  <w:pPr>
                    <w:pStyle w:val="Compact"/>
                    <w:jc w:val="center"/>
                  </w:pPr>
                  <w:r>
                    <w:t>OTB</w:t>
                  </w:r>
                </w:p>
              </w:tc>
              <w:tc>
                <w:tcPr>
                  <w:tcW w:w="500" w:type="pct"/>
                </w:tcPr>
                <w:p w14:paraId="7A92ABEB" w14:textId="77777777" w:rsidR="00472C87" w:rsidRDefault="00000000">
                  <w:pPr>
                    <w:pStyle w:val="Compact"/>
                    <w:jc w:val="center"/>
                  </w:pPr>
                  <w:r>
                    <w:t>EPC</w:t>
                  </w:r>
                </w:p>
              </w:tc>
              <w:tc>
                <w:tcPr>
                  <w:tcW w:w="875" w:type="pct"/>
                </w:tcPr>
                <w:p w14:paraId="67DA49FC" w14:textId="77777777" w:rsidR="00472C87" w:rsidRDefault="00000000">
                  <w:pPr>
                    <w:pStyle w:val="Compact"/>
                    <w:jc w:val="center"/>
                  </w:pPr>
                  <w:r>
                    <w:t>0.06 (0.02)</w:t>
                  </w:r>
                </w:p>
              </w:tc>
              <w:tc>
                <w:tcPr>
                  <w:tcW w:w="697" w:type="pct"/>
                </w:tcPr>
                <w:p w14:paraId="3C552CE0" w14:textId="77777777" w:rsidR="00472C87" w:rsidRDefault="00000000">
                  <w:pPr>
                    <w:pStyle w:val="Compact"/>
                    <w:jc w:val="center"/>
                  </w:pPr>
                  <w:r>
                    <w:t>23.8</w:t>
                  </w:r>
                </w:p>
              </w:tc>
              <w:tc>
                <w:tcPr>
                  <w:tcW w:w="678" w:type="pct"/>
                </w:tcPr>
                <w:p w14:paraId="2AA76F88" w14:textId="77777777" w:rsidR="00472C87" w:rsidRDefault="00000000">
                  <w:pPr>
                    <w:pStyle w:val="Compact"/>
                    <w:jc w:val="center"/>
                  </w:pPr>
                  <w:r>
                    <w:t>25.0</w:t>
                  </w:r>
                </w:p>
              </w:tc>
              <w:tc>
                <w:tcPr>
                  <w:tcW w:w="812" w:type="pct"/>
                </w:tcPr>
                <w:p w14:paraId="746E8C4B" w14:textId="77777777" w:rsidR="00472C87" w:rsidRDefault="00000000">
                  <w:pPr>
                    <w:pStyle w:val="Compact"/>
                    <w:jc w:val="center"/>
                  </w:pPr>
                  <w:r>
                    <w:t>1.2</w:t>
                  </w:r>
                </w:p>
              </w:tc>
            </w:tr>
            <w:tr w:rsidR="00472C87" w14:paraId="5B372CD1" w14:textId="77777777" w:rsidTr="00F01F7F">
              <w:tc>
                <w:tcPr>
                  <w:tcW w:w="688" w:type="pct"/>
                  <w:gridSpan w:val="2"/>
                </w:tcPr>
                <w:p w14:paraId="0880FE2F" w14:textId="77777777" w:rsidR="00472C87" w:rsidRDefault="00472C87">
                  <w:pPr>
                    <w:pStyle w:val="Compact"/>
                  </w:pPr>
                </w:p>
              </w:tc>
              <w:tc>
                <w:tcPr>
                  <w:tcW w:w="750" w:type="pct"/>
                </w:tcPr>
                <w:p w14:paraId="57A4158F" w14:textId="77777777" w:rsidR="00472C87" w:rsidRDefault="00472C87">
                  <w:pPr>
                    <w:pStyle w:val="Compact"/>
                  </w:pPr>
                </w:p>
              </w:tc>
              <w:tc>
                <w:tcPr>
                  <w:tcW w:w="500" w:type="pct"/>
                </w:tcPr>
                <w:p w14:paraId="4CDBE989" w14:textId="77777777" w:rsidR="00472C87" w:rsidRDefault="00000000">
                  <w:pPr>
                    <w:pStyle w:val="Compact"/>
                    <w:jc w:val="center"/>
                  </w:pPr>
                  <w:r>
                    <w:t>FIM</w:t>
                  </w:r>
                </w:p>
              </w:tc>
              <w:tc>
                <w:tcPr>
                  <w:tcW w:w="875" w:type="pct"/>
                </w:tcPr>
                <w:p w14:paraId="2B9B1DC3" w14:textId="77777777" w:rsidR="00472C87" w:rsidRDefault="00000000">
                  <w:pPr>
                    <w:pStyle w:val="Compact"/>
                    <w:jc w:val="center"/>
                  </w:pPr>
                  <w:r>
                    <w:t>0.06 (0.03)</w:t>
                  </w:r>
                </w:p>
              </w:tc>
              <w:tc>
                <w:tcPr>
                  <w:tcW w:w="697" w:type="pct"/>
                </w:tcPr>
                <w:p w14:paraId="78D19861" w14:textId="77777777" w:rsidR="00472C87" w:rsidRDefault="00000000">
                  <w:pPr>
                    <w:pStyle w:val="Compact"/>
                    <w:jc w:val="center"/>
                  </w:pPr>
                  <w:r>
                    <w:t>23.8</w:t>
                  </w:r>
                </w:p>
              </w:tc>
              <w:tc>
                <w:tcPr>
                  <w:tcW w:w="678" w:type="pct"/>
                </w:tcPr>
                <w:p w14:paraId="1BCFB993" w14:textId="77777777" w:rsidR="00472C87" w:rsidRDefault="00000000">
                  <w:pPr>
                    <w:pStyle w:val="Compact"/>
                    <w:jc w:val="center"/>
                  </w:pPr>
                  <w:r>
                    <w:t>24.9</w:t>
                  </w:r>
                </w:p>
              </w:tc>
              <w:tc>
                <w:tcPr>
                  <w:tcW w:w="812" w:type="pct"/>
                </w:tcPr>
                <w:p w14:paraId="0B0F0B75" w14:textId="77777777" w:rsidR="00472C87" w:rsidRDefault="00000000">
                  <w:pPr>
                    <w:pStyle w:val="Compact"/>
                    <w:jc w:val="center"/>
                  </w:pPr>
                  <w:r>
                    <w:t>1.1</w:t>
                  </w:r>
                </w:p>
              </w:tc>
            </w:tr>
            <w:tr w:rsidR="00472C87" w14:paraId="4F37FC7D" w14:textId="77777777" w:rsidTr="00F01F7F">
              <w:tc>
                <w:tcPr>
                  <w:tcW w:w="688" w:type="pct"/>
                  <w:gridSpan w:val="2"/>
                </w:tcPr>
                <w:p w14:paraId="6EBF394C" w14:textId="77777777" w:rsidR="00472C87" w:rsidRDefault="00472C87">
                  <w:pPr>
                    <w:pStyle w:val="Compact"/>
                  </w:pPr>
                </w:p>
              </w:tc>
              <w:tc>
                <w:tcPr>
                  <w:tcW w:w="750" w:type="pct"/>
                </w:tcPr>
                <w:p w14:paraId="3905FD9D" w14:textId="77777777" w:rsidR="00472C87" w:rsidRDefault="00472C87">
                  <w:pPr>
                    <w:pStyle w:val="Compact"/>
                  </w:pPr>
                </w:p>
              </w:tc>
              <w:tc>
                <w:tcPr>
                  <w:tcW w:w="500" w:type="pct"/>
                </w:tcPr>
                <w:p w14:paraId="35DF442E" w14:textId="77777777" w:rsidR="00472C87" w:rsidRDefault="00000000">
                  <w:pPr>
                    <w:pStyle w:val="Compact"/>
                    <w:jc w:val="center"/>
                  </w:pPr>
                  <w:r>
                    <w:t>PDEM</w:t>
                  </w:r>
                </w:p>
              </w:tc>
              <w:tc>
                <w:tcPr>
                  <w:tcW w:w="875" w:type="pct"/>
                </w:tcPr>
                <w:p w14:paraId="514771E0" w14:textId="77777777" w:rsidR="00472C87" w:rsidRDefault="00000000">
                  <w:pPr>
                    <w:pStyle w:val="Compact"/>
                    <w:jc w:val="center"/>
                  </w:pPr>
                  <w:r>
                    <w:t>0.04 (0.03)</w:t>
                  </w:r>
                </w:p>
              </w:tc>
              <w:tc>
                <w:tcPr>
                  <w:tcW w:w="697" w:type="pct"/>
                </w:tcPr>
                <w:p w14:paraId="3CE87E0F" w14:textId="77777777" w:rsidR="00472C87" w:rsidRDefault="00000000">
                  <w:pPr>
                    <w:pStyle w:val="Compact"/>
                    <w:jc w:val="center"/>
                  </w:pPr>
                  <w:r>
                    <w:t>24.4</w:t>
                  </w:r>
                </w:p>
              </w:tc>
              <w:tc>
                <w:tcPr>
                  <w:tcW w:w="678" w:type="pct"/>
                </w:tcPr>
                <w:p w14:paraId="3E38DD91" w14:textId="77777777" w:rsidR="00472C87" w:rsidRDefault="00000000">
                  <w:pPr>
                    <w:pStyle w:val="Compact"/>
                    <w:jc w:val="center"/>
                  </w:pPr>
                  <w:r>
                    <w:t>25.2</w:t>
                  </w:r>
                </w:p>
              </w:tc>
              <w:tc>
                <w:tcPr>
                  <w:tcW w:w="812" w:type="pct"/>
                </w:tcPr>
                <w:p w14:paraId="2698CE88" w14:textId="77777777" w:rsidR="00472C87" w:rsidRDefault="00000000">
                  <w:pPr>
                    <w:pStyle w:val="Compact"/>
                    <w:jc w:val="center"/>
                  </w:pPr>
                  <w:r>
                    <w:t>0.8</w:t>
                  </w:r>
                </w:p>
              </w:tc>
            </w:tr>
            <w:tr w:rsidR="00472C87" w14:paraId="523D1F1F" w14:textId="77777777" w:rsidTr="00F01F7F">
              <w:tc>
                <w:tcPr>
                  <w:tcW w:w="688" w:type="pct"/>
                  <w:gridSpan w:val="2"/>
                </w:tcPr>
                <w:p w14:paraId="31DE3362" w14:textId="77777777" w:rsidR="00472C87" w:rsidRDefault="00472C87">
                  <w:pPr>
                    <w:pStyle w:val="Compact"/>
                  </w:pPr>
                </w:p>
              </w:tc>
              <w:tc>
                <w:tcPr>
                  <w:tcW w:w="750" w:type="pct"/>
                </w:tcPr>
                <w:p w14:paraId="346606A0" w14:textId="77777777" w:rsidR="00472C87" w:rsidRDefault="00000000">
                  <w:pPr>
                    <w:pStyle w:val="Compact"/>
                    <w:jc w:val="center"/>
                  </w:pPr>
                  <w:r>
                    <w:t>HB</w:t>
                  </w:r>
                </w:p>
              </w:tc>
              <w:tc>
                <w:tcPr>
                  <w:tcW w:w="500" w:type="pct"/>
                </w:tcPr>
                <w:p w14:paraId="491901AA" w14:textId="77777777" w:rsidR="00472C87" w:rsidRDefault="00000000">
                  <w:pPr>
                    <w:pStyle w:val="Compact"/>
                    <w:jc w:val="center"/>
                  </w:pPr>
                  <w:r>
                    <w:t>EPC</w:t>
                  </w:r>
                </w:p>
              </w:tc>
              <w:tc>
                <w:tcPr>
                  <w:tcW w:w="875" w:type="pct"/>
                </w:tcPr>
                <w:p w14:paraId="5F61B2EB" w14:textId="77777777" w:rsidR="00472C87" w:rsidRDefault="00000000">
                  <w:pPr>
                    <w:pStyle w:val="Compact"/>
                    <w:jc w:val="center"/>
                  </w:pPr>
                  <w:r>
                    <w:t>0.09 (0.02)</w:t>
                  </w:r>
                </w:p>
              </w:tc>
              <w:tc>
                <w:tcPr>
                  <w:tcW w:w="697" w:type="pct"/>
                </w:tcPr>
                <w:p w14:paraId="4219CB3F" w14:textId="77777777" w:rsidR="00472C87" w:rsidRDefault="00000000">
                  <w:pPr>
                    <w:pStyle w:val="Compact"/>
                    <w:jc w:val="center"/>
                  </w:pPr>
                  <w:r>
                    <w:t>23.9</w:t>
                  </w:r>
                </w:p>
              </w:tc>
              <w:tc>
                <w:tcPr>
                  <w:tcW w:w="678" w:type="pct"/>
                </w:tcPr>
                <w:p w14:paraId="7296FC9C" w14:textId="77777777" w:rsidR="00472C87" w:rsidRDefault="00000000">
                  <w:pPr>
                    <w:pStyle w:val="Compact"/>
                    <w:jc w:val="center"/>
                  </w:pPr>
                  <w:r>
                    <w:t>25.5</w:t>
                  </w:r>
                </w:p>
              </w:tc>
              <w:tc>
                <w:tcPr>
                  <w:tcW w:w="812" w:type="pct"/>
                </w:tcPr>
                <w:p w14:paraId="2565ECE0" w14:textId="77777777" w:rsidR="00472C87" w:rsidRDefault="00000000">
                  <w:pPr>
                    <w:pStyle w:val="Compact"/>
                    <w:jc w:val="center"/>
                  </w:pPr>
                  <w:r>
                    <w:t>1.6</w:t>
                  </w:r>
                </w:p>
              </w:tc>
            </w:tr>
            <w:tr w:rsidR="00472C87" w14:paraId="4387C3B8" w14:textId="77777777" w:rsidTr="00F01F7F">
              <w:tc>
                <w:tcPr>
                  <w:tcW w:w="688" w:type="pct"/>
                  <w:gridSpan w:val="2"/>
                </w:tcPr>
                <w:p w14:paraId="0DDFC89F" w14:textId="77777777" w:rsidR="00472C87" w:rsidRDefault="00472C87">
                  <w:pPr>
                    <w:pStyle w:val="Compact"/>
                  </w:pPr>
                </w:p>
              </w:tc>
              <w:tc>
                <w:tcPr>
                  <w:tcW w:w="750" w:type="pct"/>
                </w:tcPr>
                <w:p w14:paraId="5D2045DD" w14:textId="77777777" w:rsidR="00472C87" w:rsidRDefault="00472C87">
                  <w:pPr>
                    <w:pStyle w:val="Compact"/>
                  </w:pPr>
                </w:p>
              </w:tc>
              <w:tc>
                <w:tcPr>
                  <w:tcW w:w="500" w:type="pct"/>
                </w:tcPr>
                <w:p w14:paraId="3A2521C7" w14:textId="77777777" w:rsidR="00472C87" w:rsidRDefault="00000000">
                  <w:pPr>
                    <w:pStyle w:val="Compact"/>
                    <w:jc w:val="center"/>
                  </w:pPr>
                  <w:r>
                    <w:t>FIM</w:t>
                  </w:r>
                </w:p>
              </w:tc>
              <w:tc>
                <w:tcPr>
                  <w:tcW w:w="875" w:type="pct"/>
                </w:tcPr>
                <w:p w14:paraId="3D8D97C0" w14:textId="77777777" w:rsidR="00472C87" w:rsidRDefault="00000000">
                  <w:pPr>
                    <w:pStyle w:val="Compact"/>
                    <w:jc w:val="center"/>
                  </w:pPr>
                  <w:r>
                    <w:t>0.1 (0.04)</w:t>
                  </w:r>
                </w:p>
              </w:tc>
              <w:tc>
                <w:tcPr>
                  <w:tcW w:w="697" w:type="pct"/>
                </w:tcPr>
                <w:p w14:paraId="7C036D06" w14:textId="77777777" w:rsidR="00472C87" w:rsidRDefault="00000000">
                  <w:pPr>
                    <w:pStyle w:val="Compact"/>
                    <w:jc w:val="center"/>
                  </w:pPr>
                  <w:r>
                    <w:t>23.9</w:t>
                  </w:r>
                </w:p>
              </w:tc>
              <w:tc>
                <w:tcPr>
                  <w:tcW w:w="678" w:type="pct"/>
                </w:tcPr>
                <w:p w14:paraId="2A7A7BF0" w14:textId="77777777" w:rsidR="00472C87" w:rsidRDefault="00000000">
                  <w:pPr>
                    <w:pStyle w:val="Compact"/>
                    <w:jc w:val="center"/>
                  </w:pPr>
                  <w:r>
                    <w:t>25.7</w:t>
                  </w:r>
                </w:p>
              </w:tc>
              <w:tc>
                <w:tcPr>
                  <w:tcW w:w="812" w:type="pct"/>
                </w:tcPr>
                <w:p w14:paraId="37F16A4C" w14:textId="77777777" w:rsidR="00472C87" w:rsidRDefault="00000000">
                  <w:pPr>
                    <w:pStyle w:val="Compact"/>
                    <w:jc w:val="center"/>
                  </w:pPr>
                  <w:r>
                    <w:t>1.8</w:t>
                  </w:r>
                </w:p>
              </w:tc>
            </w:tr>
            <w:tr w:rsidR="00472C87" w14:paraId="589D5E39" w14:textId="77777777" w:rsidTr="00F01F7F">
              <w:tc>
                <w:tcPr>
                  <w:tcW w:w="688" w:type="pct"/>
                  <w:gridSpan w:val="2"/>
                </w:tcPr>
                <w:p w14:paraId="4A6C4914" w14:textId="77777777" w:rsidR="00472C87" w:rsidRDefault="00472C87">
                  <w:pPr>
                    <w:pStyle w:val="Compact"/>
                  </w:pPr>
                </w:p>
              </w:tc>
              <w:tc>
                <w:tcPr>
                  <w:tcW w:w="750" w:type="pct"/>
                </w:tcPr>
                <w:p w14:paraId="373C58EF" w14:textId="77777777" w:rsidR="00472C87" w:rsidRDefault="00000000">
                  <w:pPr>
                    <w:pStyle w:val="Compact"/>
                    <w:jc w:val="center"/>
                  </w:pPr>
                  <w:r>
                    <w:t>MTB</w:t>
                  </w:r>
                </w:p>
              </w:tc>
              <w:tc>
                <w:tcPr>
                  <w:tcW w:w="500" w:type="pct"/>
                </w:tcPr>
                <w:p w14:paraId="212CAC68" w14:textId="77777777" w:rsidR="00472C87" w:rsidRDefault="00000000">
                  <w:pPr>
                    <w:pStyle w:val="Compact"/>
                    <w:jc w:val="center"/>
                  </w:pPr>
                  <w:r>
                    <w:t>EPC</w:t>
                  </w:r>
                </w:p>
              </w:tc>
              <w:tc>
                <w:tcPr>
                  <w:tcW w:w="875" w:type="pct"/>
                </w:tcPr>
                <w:p w14:paraId="49DED49E" w14:textId="77777777" w:rsidR="00472C87" w:rsidRDefault="00000000">
                  <w:pPr>
                    <w:pStyle w:val="Compact"/>
                    <w:jc w:val="center"/>
                  </w:pPr>
                  <w:r>
                    <w:t>0.07 (0.02)</w:t>
                  </w:r>
                </w:p>
              </w:tc>
              <w:tc>
                <w:tcPr>
                  <w:tcW w:w="697" w:type="pct"/>
                </w:tcPr>
                <w:p w14:paraId="048F8C24" w14:textId="77777777" w:rsidR="00472C87" w:rsidRDefault="00000000">
                  <w:pPr>
                    <w:pStyle w:val="Compact"/>
                    <w:jc w:val="center"/>
                  </w:pPr>
                  <w:r>
                    <w:t>23.8</w:t>
                  </w:r>
                </w:p>
              </w:tc>
              <w:tc>
                <w:tcPr>
                  <w:tcW w:w="678" w:type="pct"/>
                </w:tcPr>
                <w:p w14:paraId="11FFF349" w14:textId="77777777" w:rsidR="00472C87" w:rsidRDefault="00000000">
                  <w:pPr>
                    <w:pStyle w:val="Compact"/>
                    <w:jc w:val="center"/>
                  </w:pPr>
                  <w:r>
                    <w:t>25.0</w:t>
                  </w:r>
                </w:p>
              </w:tc>
              <w:tc>
                <w:tcPr>
                  <w:tcW w:w="812" w:type="pct"/>
                </w:tcPr>
                <w:p w14:paraId="2324DF75" w14:textId="77777777" w:rsidR="00472C87" w:rsidRDefault="00000000">
                  <w:pPr>
                    <w:pStyle w:val="Compact"/>
                    <w:jc w:val="center"/>
                  </w:pPr>
                  <w:r>
                    <w:t>1.2</w:t>
                  </w:r>
                </w:p>
              </w:tc>
            </w:tr>
            <w:tr w:rsidR="00472C87" w14:paraId="3DEEE3DE" w14:textId="77777777" w:rsidTr="00F01F7F">
              <w:tc>
                <w:tcPr>
                  <w:tcW w:w="688" w:type="pct"/>
                  <w:gridSpan w:val="2"/>
                </w:tcPr>
                <w:p w14:paraId="28349EEE" w14:textId="77777777" w:rsidR="00472C87" w:rsidRDefault="00472C87">
                  <w:pPr>
                    <w:pStyle w:val="Compact"/>
                  </w:pPr>
                </w:p>
              </w:tc>
              <w:tc>
                <w:tcPr>
                  <w:tcW w:w="750" w:type="pct"/>
                </w:tcPr>
                <w:p w14:paraId="05C1CB5C" w14:textId="77777777" w:rsidR="00472C87" w:rsidRDefault="00472C87">
                  <w:pPr>
                    <w:pStyle w:val="Compact"/>
                  </w:pPr>
                </w:p>
              </w:tc>
              <w:tc>
                <w:tcPr>
                  <w:tcW w:w="500" w:type="pct"/>
                </w:tcPr>
                <w:p w14:paraId="76A3330E" w14:textId="77777777" w:rsidR="00472C87" w:rsidRDefault="00000000">
                  <w:pPr>
                    <w:pStyle w:val="Compact"/>
                    <w:jc w:val="center"/>
                  </w:pPr>
                  <w:r>
                    <w:t>FIM</w:t>
                  </w:r>
                </w:p>
              </w:tc>
              <w:tc>
                <w:tcPr>
                  <w:tcW w:w="875" w:type="pct"/>
                </w:tcPr>
                <w:p w14:paraId="6DEA877C" w14:textId="77777777" w:rsidR="00472C87" w:rsidRDefault="00000000">
                  <w:pPr>
                    <w:pStyle w:val="Compact"/>
                    <w:jc w:val="center"/>
                  </w:pPr>
                  <w:r>
                    <w:t>0.07 (0.04)</w:t>
                  </w:r>
                </w:p>
              </w:tc>
              <w:tc>
                <w:tcPr>
                  <w:tcW w:w="697" w:type="pct"/>
                </w:tcPr>
                <w:p w14:paraId="595C935C" w14:textId="77777777" w:rsidR="00472C87" w:rsidRDefault="00000000">
                  <w:pPr>
                    <w:pStyle w:val="Compact"/>
                    <w:jc w:val="center"/>
                  </w:pPr>
                  <w:r>
                    <w:t>23.8</w:t>
                  </w:r>
                </w:p>
              </w:tc>
              <w:tc>
                <w:tcPr>
                  <w:tcW w:w="678" w:type="pct"/>
                </w:tcPr>
                <w:p w14:paraId="4F8E1F3D" w14:textId="77777777" w:rsidR="00472C87" w:rsidRDefault="00000000">
                  <w:pPr>
                    <w:pStyle w:val="Compact"/>
                    <w:jc w:val="center"/>
                  </w:pPr>
                  <w:r>
                    <w:t>25.1</w:t>
                  </w:r>
                </w:p>
              </w:tc>
              <w:tc>
                <w:tcPr>
                  <w:tcW w:w="812" w:type="pct"/>
                </w:tcPr>
                <w:p w14:paraId="1A5159CE" w14:textId="77777777" w:rsidR="00472C87" w:rsidRDefault="00000000">
                  <w:pPr>
                    <w:pStyle w:val="Compact"/>
                    <w:jc w:val="center"/>
                  </w:pPr>
                  <w:r>
                    <w:t>1.3</w:t>
                  </w:r>
                </w:p>
              </w:tc>
            </w:tr>
            <w:tr w:rsidR="00472C87" w14:paraId="31E0C33E" w14:textId="77777777" w:rsidTr="00F01F7F">
              <w:tc>
                <w:tcPr>
                  <w:tcW w:w="688" w:type="pct"/>
                  <w:gridSpan w:val="2"/>
                </w:tcPr>
                <w:p w14:paraId="10A87FB0" w14:textId="77777777" w:rsidR="00472C87" w:rsidRDefault="00472C87">
                  <w:pPr>
                    <w:pStyle w:val="Compact"/>
                  </w:pPr>
                </w:p>
              </w:tc>
              <w:tc>
                <w:tcPr>
                  <w:tcW w:w="750" w:type="pct"/>
                </w:tcPr>
                <w:p w14:paraId="2B3733B8" w14:textId="77777777" w:rsidR="00472C87" w:rsidRDefault="00000000">
                  <w:pPr>
                    <w:pStyle w:val="Compact"/>
                    <w:jc w:val="center"/>
                  </w:pPr>
                  <w:r>
                    <w:t>LTB</w:t>
                  </w:r>
                </w:p>
              </w:tc>
              <w:tc>
                <w:tcPr>
                  <w:tcW w:w="500" w:type="pct"/>
                </w:tcPr>
                <w:p w14:paraId="7FC7D6D5" w14:textId="77777777" w:rsidR="00472C87" w:rsidRDefault="00000000">
                  <w:pPr>
                    <w:pStyle w:val="Compact"/>
                    <w:jc w:val="center"/>
                  </w:pPr>
                  <w:r>
                    <w:t>EPC</w:t>
                  </w:r>
                </w:p>
              </w:tc>
              <w:tc>
                <w:tcPr>
                  <w:tcW w:w="875" w:type="pct"/>
                </w:tcPr>
                <w:p w14:paraId="3089A40A" w14:textId="77777777" w:rsidR="00472C87" w:rsidRDefault="00000000">
                  <w:pPr>
                    <w:pStyle w:val="Compact"/>
                    <w:jc w:val="center"/>
                  </w:pPr>
                  <w:r>
                    <w:t>0.06 (0.02)</w:t>
                  </w:r>
                </w:p>
              </w:tc>
              <w:tc>
                <w:tcPr>
                  <w:tcW w:w="697" w:type="pct"/>
                </w:tcPr>
                <w:p w14:paraId="2B66D473" w14:textId="77777777" w:rsidR="00472C87" w:rsidRDefault="00000000">
                  <w:pPr>
                    <w:pStyle w:val="Compact"/>
                    <w:jc w:val="center"/>
                  </w:pPr>
                  <w:r>
                    <w:t>23.8</w:t>
                  </w:r>
                </w:p>
              </w:tc>
              <w:tc>
                <w:tcPr>
                  <w:tcW w:w="678" w:type="pct"/>
                </w:tcPr>
                <w:p w14:paraId="22F0F7D3" w14:textId="77777777" w:rsidR="00472C87" w:rsidRDefault="00000000">
                  <w:pPr>
                    <w:pStyle w:val="Compact"/>
                    <w:jc w:val="center"/>
                  </w:pPr>
                  <w:r>
                    <w:t>25.0</w:t>
                  </w:r>
                </w:p>
              </w:tc>
              <w:tc>
                <w:tcPr>
                  <w:tcW w:w="812" w:type="pct"/>
                </w:tcPr>
                <w:p w14:paraId="11602E66" w14:textId="77777777" w:rsidR="00472C87" w:rsidRDefault="00000000">
                  <w:pPr>
                    <w:pStyle w:val="Compact"/>
                    <w:jc w:val="center"/>
                  </w:pPr>
                  <w:r>
                    <w:t>1.2</w:t>
                  </w:r>
                </w:p>
              </w:tc>
            </w:tr>
            <w:tr w:rsidR="00472C87" w14:paraId="2531F8F3" w14:textId="77777777" w:rsidTr="00F01F7F">
              <w:tc>
                <w:tcPr>
                  <w:tcW w:w="688" w:type="pct"/>
                  <w:gridSpan w:val="2"/>
                  <w:tcBorders>
                    <w:bottom w:val="single" w:sz="4" w:space="0" w:color="auto"/>
                  </w:tcBorders>
                </w:tcPr>
                <w:p w14:paraId="16AEE03E" w14:textId="77777777" w:rsidR="00472C87" w:rsidRDefault="00472C87">
                  <w:pPr>
                    <w:pStyle w:val="Compact"/>
                  </w:pPr>
                </w:p>
              </w:tc>
              <w:tc>
                <w:tcPr>
                  <w:tcW w:w="750" w:type="pct"/>
                  <w:tcBorders>
                    <w:bottom w:val="single" w:sz="4" w:space="0" w:color="auto"/>
                  </w:tcBorders>
                </w:tcPr>
                <w:p w14:paraId="4DDD5F46" w14:textId="77777777" w:rsidR="00472C87" w:rsidRDefault="00472C87">
                  <w:pPr>
                    <w:pStyle w:val="Compact"/>
                  </w:pPr>
                </w:p>
              </w:tc>
              <w:tc>
                <w:tcPr>
                  <w:tcW w:w="500" w:type="pct"/>
                  <w:tcBorders>
                    <w:bottom w:val="single" w:sz="4" w:space="0" w:color="auto"/>
                  </w:tcBorders>
                </w:tcPr>
                <w:p w14:paraId="409CD579" w14:textId="77777777" w:rsidR="00472C87" w:rsidRDefault="00000000">
                  <w:pPr>
                    <w:pStyle w:val="Compact"/>
                    <w:jc w:val="center"/>
                  </w:pPr>
                  <w:r>
                    <w:t>FIM</w:t>
                  </w:r>
                </w:p>
              </w:tc>
              <w:tc>
                <w:tcPr>
                  <w:tcW w:w="875" w:type="pct"/>
                  <w:tcBorders>
                    <w:bottom w:val="single" w:sz="4" w:space="0" w:color="auto"/>
                  </w:tcBorders>
                </w:tcPr>
                <w:p w14:paraId="5BB66304" w14:textId="77777777" w:rsidR="00472C87" w:rsidRDefault="00000000">
                  <w:pPr>
                    <w:pStyle w:val="Compact"/>
                    <w:jc w:val="center"/>
                  </w:pPr>
                  <w:r>
                    <w:t>0.05 (0.03)</w:t>
                  </w:r>
                </w:p>
              </w:tc>
              <w:tc>
                <w:tcPr>
                  <w:tcW w:w="697" w:type="pct"/>
                  <w:tcBorders>
                    <w:bottom w:val="single" w:sz="4" w:space="0" w:color="auto"/>
                  </w:tcBorders>
                </w:tcPr>
                <w:p w14:paraId="7F01650B" w14:textId="77777777" w:rsidR="00472C87" w:rsidRDefault="00000000">
                  <w:pPr>
                    <w:pStyle w:val="Compact"/>
                    <w:jc w:val="center"/>
                  </w:pPr>
                  <w:r>
                    <w:t>23.9</w:t>
                  </w:r>
                </w:p>
              </w:tc>
              <w:tc>
                <w:tcPr>
                  <w:tcW w:w="678" w:type="pct"/>
                  <w:tcBorders>
                    <w:bottom w:val="single" w:sz="4" w:space="0" w:color="auto"/>
                  </w:tcBorders>
                </w:tcPr>
                <w:p w14:paraId="738E59F8" w14:textId="77777777" w:rsidR="00472C87" w:rsidRDefault="00000000">
                  <w:pPr>
                    <w:pStyle w:val="Compact"/>
                    <w:jc w:val="center"/>
                  </w:pPr>
                  <w:r>
                    <w:t>24.8</w:t>
                  </w:r>
                </w:p>
              </w:tc>
              <w:tc>
                <w:tcPr>
                  <w:tcW w:w="812" w:type="pct"/>
                  <w:tcBorders>
                    <w:bottom w:val="single" w:sz="4" w:space="0" w:color="auto"/>
                  </w:tcBorders>
                </w:tcPr>
                <w:p w14:paraId="371E6C6A" w14:textId="77777777" w:rsidR="00472C87" w:rsidRDefault="00000000">
                  <w:pPr>
                    <w:pStyle w:val="Compact"/>
                    <w:jc w:val="center"/>
                  </w:pPr>
                  <w:r>
                    <w:t>0.9</w:t>
                  </w:r>
                </w:p>
              </w:tc>
            </w:tr>
            <w:bookmarkEnd w:id="31"/>
          </w:tbl>
          <w:p w14:paraId="09283EF9" w14:textId="77777777" w:rsidR="00472C87" w:rsidRDefault="00472C87"/>
        </w:tc>
      </w:tr>
    </w:tbl>
    <w:p w14:paraId="11EA1EF7" w14:textId="77777777" w:rsidR="00472C87" w:rsidRDefault="00000000">
      <w:r>
        <w:br w:type="page"/>
      </w:r>
    </w:p>
    <w:tbl>
      <w:tblPr>
        <w:tblW w:w="5000" w:type="pct"/>
        <w:tblLayout w:type="fixed"/>
        <w:tblLook w:val="0000" w:firstRow="0" w:lastRow="0" w:firstColumn="0" w:lastColumn="0" w:noHBand="0" w:noVBand="0"/>
      </w:tblPr>
      <w:tblGrid>
        <w:gridCol w:w="9576"/>
      </w:tblGrid>
      <w:tr w:rsidR="00472C87" w14:paraId="3B4C73B9" w14:textId="77777777">
        <w:tc>
          <w:tcPr>
            <w:tcW w:w="7920" w:type="dxa"/>
          </w:tcPr>
          <w:p w14:paraId="5DB2994F" w14:textId="77777777" w:rsidR="00472C87" w:rsidRDefault="00000000">
            <w:pPr>
              <w:pStyle w:val="ImageCaption"/>
              <w:spacing w:before="200"/>
            </w:pPr>
            <w:bookmarkStart w:id="32" w:name="tbl-saltrndtab"/>
            <w:r>
              <w:lastRenderedPageBreak/>
              <w:t>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W w:w="5000" w:type="pct"/>
              <w:tblLayout w:type="fixed"/>
              <w:tblLook w:val="0020" w:firstRow="1" w:lastRow="0" w:firstColumn="0" w:lastColumn="0" w:noHBand="0" w:noVBand="0"/>
            </w:tblPr>
            <w:tblGrid>
              <w:gridCol w:w="1170"/>
              <w:gridCol w:w="1521"/>
              <w:gridCol w:w="936"/>
              <w:gridCol w:w="1638"/>
              <w:gridCol w:w="1305"/>
              <w:gridCol w:w="1269"/>
              <w:gridCol w:w="1521"/>
            </w:tblGrid>
            <w:tr w:rsidR="00472C87" w14:paraId="2F92AD45" w14:textId="77777777" w:rsidTr="00F01F7F">
              <w:trPr>
                <w:tblHeader/>
              </w:trPr>
              <w:tc>
                <w:tcPr>
                  <w:tcW w:w="1170" w:type="dxa"/>
                  <w:tcBorders>
                    <w:top w:val="single" w:sz="4" w:space="0" w:color="auto"/>
                    <w:bottom w:val="single" w:sz="4" w:space="0" w:color="auto"/>
                  </w:tcBorders>
                </w:tcPr>
                <w:p w14:paraId="27B052A7" w14:textId="77777777" w:rsidR="00472C87" w:rsidRDefault="00000000">
                  <w:pPr>
                    <w:pStyle w:val="Compact"/>
                    <w:jc w:val="center"/>
                  </w:pPr>
                  <w:r>
                    <w:t>Start year</w:t>
                  </w:r>
                </w:p>
              </w:tc>
              <w:tc>
                <w:tcPr>
                  <w:tcW w:w="1521" w:type="dxa"/>
                  <w:tcBorders>
                    <w:top w:val="single" w:sz="4" w:space="0" w:color="auto"/>
                    <w:bottom w:val="single" w:sz="4" w:space="0" w:color="auto"/>
                  </w:tcBorders>
                </w:tcPr>
                <w:p w14:paraId="325F9A2C" w14:textId="77777777" w:rsidR="00472C87" w:rsidRDefault="00000000">
                  <w:pPr>
                    <w:pStyle w:val="Compact"/>
                    <w:jc w:val="center"/>
                  </w:pPr>
                  <w:r>
                    <w:t>Bay segment</w:t>
                  </w:r>
                </w:p>
              </w:tc>
              <w:tc>
                <w:tcPr>
                  <w:tcW w:w="936" w:type="dxa"/>
                  <w:tcBorders>
                    <w:top w:val="single" w:sz="4" w:space="0" w:color="auto"/>
                    <w:bottom w:val="single" w:sz="4" w:space="0" w:color="auto"/>
                  </w:tcBorders>
                </w:tcPr>
                <w:p w14:paraId="18AA6B18" w14:textId="77777777" w:rsidR="00472C87" w:rsidRDefault="00000000">
                  <w:pPr>
                    <w:pStyle w:val="Compact"/>
                    <w:jc w:val="center"/>
                  </w:pPr>
                  <w:r>
                    <w:t>Dataset</w:t>
                  </w:r>
                </w:p>
              </w:tc>
              <w:tc>
                <w:tcPr>
                  <w:tcW w:w="1638" w:type="dxa"/>
                  <w:tcBorders>
                    <w:top w:val="single" w:sz="4" w:space="0" w:color="auto"/>
                    <w:bottom w:val="single" w:sz="4" w:space="0" w:color="auto"/>
                  </w:tcBorders>
                </w:tcPr>
                <w:p w14:paraId="5CDB3AC7" w14:textId="77777777" w:rsidR="00472C87" w:rsidRDefault="00000000">
                  <w:pPr>
                    <w:pStyle w:val="Compact"/>
                    <w:jc w:val="center"/>
                  </w:pPr>
                  <w:r>
                    <w:t>Change / year</w:t>
                  </w:r>
                </w:p>
              </w:tc>
              <w:tc>
                <w:tcPr>
                  <w:tcW w:w="1305" w:type="dxa"/>
                  <w:tcBorders>
                    <w:top w:val="single" w:sz="4" w:space="0" w:color="auto"/>
                    <w:bottom w:val="single" w:sz="4" w:space="0" w:color="auto"/>
                  </w:tcBorders>
                </w:tcPr>
                <w:p w14:paraId="616AD3EF" w14:textId="77777777" w:rsidR="00472C87" w:rsidRDefault="00000000">
                  <w:pPr>
                    <w:pStyle w:val="Compact"/>
                    <w:jc w:val="center"/>
                  </w:pPr>
                  <w:r>
                    <w:t>Start value</w:t>
                  </w:r>
                </w:p>
              </w:tc>
              <w:tc>
                <w:tcPr>
                  <w:tcW w:w="1269" w:type="dxa"/>
                  <w:tcBorders>
                    <w:top w:val="single" w:sz="4" w:space="0" w:color="auto"/>
                    <w:bottom w:val="single" w:sz="4" w:space="0" w:color="auto"/>
                  </w:tcBorders>
                </w:tcPr>
                <w:p w14:paraId="5A516A63" w14:textId="77777777" w:rsidR="00472C87" w:rsidRDefault="00000000">
                  <w:pPr>
                    <w:pStyle w:val="Compact"/>
                    <w:jc w:val="center"/>
                  </w:pPr>
                  <w:r>
                    <w:t>End value</w:t>
                  </w:r>
                </w:p>
              </w:tc>
              <w:tc>
                <w:tcPr>
                  <w:tcW w:w="1521" w:type="dxa"/>
                  <w:tcBorders>
                    <w:top w:val="single" w:sz="4" w:space="0" w:color="auto"/>
                    <w:bottom w:val="single" w:sz="4" w:space="0" w:color="auto"/>
                  </w:tcBorders>
                </w:tcPr>
                <w:p w14:paraId="006B4DC2" w14:textId="77777777" w:rsidR="00472C87" w:rsidRDefault="00000000">
                  <w:pPr>
                    <w:pStyle w:val="Compact"/>
                    <w:jc w:val="center"/>
                  </w:pPr>
                  <w:r>
                    <w:t>Total change</w:t>
                  </w:r>
                </w:p>
              </w:tc>
            </w:tr>
            <w:tr w:rsidR="00472C87" w14:paraId="3970E65B" w14:textId="77777777" w:rsidTr="00F01F7F">
              <w:tc>
                <w:tcPr>
                  <w:tcW w:w="1170" w:type="dxa"/>
                  <w:tcBorders>
                    <w:top w:val="single" w:sz="4" w:space="0" w:color="auto"/>
                  </w:tcBorders>
                </w:tcPr>
                <w:p w14:paraId="290E06D6" w14:textId="77777777" w:rsidR="00472C87" w:rsidRDefault="00000000">
                  <w:pPr>
                    <w:pStyle w:val="Compact"/>
                    <w:jc w:val="center"/>
                  </w:pPr>
                  <w:r>
                    <w:t>1975</w:t>
                  </w:r>
                </w:p>
              </w:tc>
              <w:tc>
                <w:tcPr>
                  <w:tcW w:w="1521" w:type="dxa"/>
                  <w:tcBorders>
                    <w:top w:val="single" w:sz="4" w:space="0" w:color="auto"/>
                  </w:tcBorders>
                </w:tcPr>
                <w:p w14:paraId="1A290BC2" w14:textId="77777777" w:rsidR="00472C87" w:rsidRDefault="00000000">
                  <w:pPr>
                    <w:pStyle w:val="Compact"/>
                    <w:jc w:val="center"/>
                  </w:pPr>
                  <w:r>
                    <w:t>OTB</w:t>
                  </w:r>
                </w:p>
              </w:tc>
              <w:tc>
                <w:tcPr>
                  <w:tcW w:w="936" w:type="dxa"/>
                  <w:tcBorders>
                    <w:top w:val="single" w:sz="4" w:space="0" w:color="auto"/>
                  </w:tcBorders>
                </w:tcPr>
                <w:p w14:paraId="33B4E2AA" w14:textId="77777777" w:rsidR="00472C87" w:rsidRDefault="00000000">
                  <w:pPr>
                    <w:pStyle w:val="Compact"/>
                    <w:jc w:val="center"/>
                  </w:pPr>
                  <w:r>
                    <w:t>EPC</w:t>
                  </w:r>
                </w:p>
              </w:tc>
              <w:tc>
                <w:tcPr>
                  <w:tcW w:w="1638" w:type="dxa"/>
                  <w:tcBorders>
                    <w:top w:val="single" w:sz="4" w:space="0" w:color="auto"/>
                  </w:tcBorders>
                </w:tcPr>
                <w:p w14:paraId="3D685309" w14:textId="77777777" w:rsidR="00472C87" w:rsidRDefault="00000000">
                  <w:pPr>
                    <w:pStyle w:val="Compact"/>
                    <w:jc w:val="center"/>
                  </w:pPr>
                  <w:r>
                    <w:t>-0.06 (0.03)</w:t>
                  </w:r>
                </w:p>
              </w:tc>
              <w:tc>
                <w:tcPr>
                  <w:tcW w:w="1305" w:type="dxa"/>
                  <w:tcBorders>
                    <w:top w:val="single" w:sz="4" w:space="0" w:color="auto"/>
                  </w:tcBorders>
                </w:tcPr>
                <w:p w14:paraId="66465619" w14:textId="77777777" w:rsidR="00472C87" w:rsidRDefault="00000000">
                  <w:pPr>
                    <w:pStyle w:val="Compact"/>
                    <w:jc w:val="center"/>
                  </w:pPr>
                  <w:r>
                    <w:t>25.7</w:t>
                  </w:r>
                </w:p>
              </w:tc>
              <w:tc>
                <w:tcPr>
                  <w:tcW w:w="1269" w:type="dxa"/>
                  <w:tcBorders>
                    <w:top w:val="single" w:sz="4" w:space="0" w:color="auto"/>
                  </w:tcBorders>
                </w:tcPr>
                <w:p w14:paraId="3361ECBA" w14:textId="77777777" w:rsidR="00472C87" w:rsidRDefault="00000000">
                  <w:pPr>
                    <w:pStyle w:val="Compact"/>
                    <w:jc w:val="center"/>
                  </w:pPr>
                  <w:r>
                    <w:t>23.1</w:t>
                  </w:r>
                </w:p>
              </w:tc>
              <w:tc>
                <w:tcPr>
                  <w:tcW w:w="1521" w:type="dxa"/>
                  <w:tcBorders>
                    <w:top w:val="single" w:sz="4" w:space="0" w:color="auto"/>
                  </w:tcBorders>
                </w:tcPr>
                <w:p w14:paraId="4EC367C6" w14:textId="77777777" w:rsidR="00472C87" w:rsidRDefault="00000000">
                  <w:pPr>
                    <w:pStyle w:val="Compact"/>
                    <w:jc w:val="center"/>
                  </w:pPr>
                  <w:r>
                    <w:t>-2.6</w:t>
                  </w:r>
                </w:p>
              </w:tc>
            </w:tr>
            <w:tr w:rsidR="00472C87" w14:paraId="34E579CA" w14:textId="77777777" w:rsidTr="00F01F7F">
              <w:tc>
                <w:tcPr>
                  <w:tcW w:w="1170" w:type="dxa"/>
                </w:tcPr>
                <w:p w14:paraId="3B41F937" w14:textId="77777777" w:rsidR="00472C87" w:rsidRDefault="00472C87">
                  <w:pPr>
                    <w:pStyle w:val="Compact"/>
                  </w:pPr>
                </w:p>
              </w:tc>
              <w:tc>
                <w:tcPr>
                  <w:tcW w:w="1521" w:type="dxa"/>
                </w:tcPr>
                <w:p w14:paraId="6D0289BF" w14:textId="77777777" w:rsidR="00472C87" w:rsidRDefault="00000000">
                  <w:pPr>
                    <w:pStyle w:val="Compact"/>
                    <w:jc w:val="center"/>
                  </w:pPr>
                  <w:r>
                    <w:t>HB</w:t>
                  </w:r>
                </w:p>
              </w:tc>
              <w:tc>
                <w:tcPr>
                  <w:tcW w:w="936" w:type="dxa"/>
                </w:tcPr>
                <w:p w14:paraId="156B4B44" w14:textId="77777777" w:rsidR="00472C87" w:rsidRDefault="00000000">
                  <w:pPr>
                    <w:pStyle w:val="Compact"/>
                    <w:jc w:val="center"/>
                  </w:pPr>
                  <w:r>
                    <w:t>EPC</w:t>
                  </w:r>
                </w:p>
              </w:tc>
              <w:tc>
                <w:tcPr>
                  <w:tcW w:w="1638" w:type="dxa"/>
                </w:tcPr>
                <w:p w14:paraId="50333250" w14:textId="77777777" w:rsidR="00472C87" w:rsidRDefault="00000000">
                  <w:pPr>
                    <w:pStyle w:val="Compact"/>
                    <w:jc w:val="center"/>
                  </w:pPr>
                  <w:r>
                    <w:t>-0.01 (0.02)</w:t>
                  </w:r>
                </w:p>
              </w:tc>
              <w:tc>
                <w:tcPr>
                  <w:tcW w:w="1305" w:type="dxa"/>
                </w:tcPr>
                <w:p w14:paraId="571E1342" w14:textId="77777777" w:rsidR="00472C87" w:rsidRDefault="00000000">
                  <w:pPr>
                    <w:pStyle w:val="Compact"/>
                    <w:jc w:val="center"/>
                  </w:pPr>
                  <w:r>
                    <w:t>25.4</w:t>
                  </w:r>
                </w:p>
              </w:tc>
              <w:tc>
                <w:tcPr>
                  <w:tcW w:w="1269" w:type="dxa"/>
                </w:tcPr>
                <w:p w14:paraId="37D5AFE8" w14:textId="77777777" w:rsidR="00472C87" w:rsidRDefault="00000000">
                  <w:pPr>
                    <w:pStyle w:val="Compact"/>
                    <w:jc w:val="center"/>
                  </w:pPr>
                  <w:r>
                    <w:t>24.7</w:t>
                  </w:r>
                </w:p>
              </w:tc>
              <w:tc>
                <w:tcPr>
                  <w:tcW w:w="1521" w:type="dxa"/>
                </w:tcPr>
                <w:p w14:paraId="1BCA2476" w14:textId="77777777" w:rsidR="00472C87" w:rsidRDefault="00000000">
                  <w:pPr>
                    <w:pStyle w:val="Compact"/>
                    <w:jc w:val="center"/>
                  </w:pPr>
                  <w:r>
                    <w:t>-0.7</w:t>
                  </w:r>
                </w:p>
              </w:tc>
            </w:tr>
            <w:tr w:rsidR="00472C87" w14:paraId="7B7DBC9D" w14:textId="77777777" w:rsidTr="00F01F7F">
              <w:tc>
                <w:tcPr>
                  <w:tcW w:w="1170" w:type="dxa"/>
                </w:tcPr>
                <w:p w14:paraId="627E19B1" w14:textId="77777777" w:rsidR="00472C87" w:rsidRDefault="00472C87">
                  <w:pPr>
                    <w:pStyle w:val="Compact"/>
                  </w:pPr>
                </w:p>
              </w:tc>
              <w:tc>
                <w:tcPr>
                  <w:tcW w:w="1521" w:type="dxa"/>
                </w:tcPr>
                <w:p w14:paraId="1AAC76F1" w14:textId="77777777" w:rsidR="00472C87" w:rsidRDefault="00000000">
                  <w:pPr>
                    <w:pStyle w:val="Compact"/>
                    <w:jc w:val="center"/>
                  </w:pPr>
                  <w:r>
                    <w:t>MTB</w:t>
                  </w:r>
                </w:p>
              </w:tc>
              <w:tc>
                <w:tcPr>
                  <w:tcW w:w="936" w:type="dxa"/>
                </w:tcPr>
                <w:p w14:paraId="655BB4A5" w14:textId="77777777" w:rsidR="00472C87" w:rsidRDefault="00000000">
                  <w:pPr>
                    <w:pStyle w:val="Compact"/>
                    <w:jc w:val="center"/>
                  </w:pPr>
                  <w:r>
                    <w:t>EPC</w:t>
                  </w:r>
                </w:p>
              </w:tc>
              <w:tc>
                <w:tcPr>
                  <w:tcW w:w="1638" w:type="dxa"/>
                </w:tcPr>
                <w:p w14:paraId="0A2E0785" w14:textId="77777777" w:rsidR="00472C87" w:rsidRDefault="00000000">
                  <w:pPr>
                    <w:pStyle w:val="Compact"/>
                    <w:jc w:val="center"/>
                  </w:pPr>
                  <w:r>
                    <w:t>-0.03 (0.02)</w:t>
                  </w:r>
                </w:p>
              </w:tc>
              <w:tc>
                <w:tcPr>
                  <w:tcW w:w="1305" w:type="dxa"/>
                </w:tcPr>
                <w:p w14:paraId="22E32A2C" w14:textId="77777777" w:rsidR="00472C87" w:rsidRDefault="00000000">
                  <w:pPr>
                    <w:pStyle w:val="Compact"/>
                    <w:jc w:val="center"/>
                  </w:pPr>
                  <w:r>
                    <w:t>28.0</w:t>
                  </w:r>
                </w:p>
              </w:tc>
              <w:tc>
                <w:tcPr>
                  <w:tcW w:w="1269" w:type="dxa"/>
                </w:tcPr>
                <w:p w14:paraId="7FD59DF1" w14:textId="77777777" w:rsidR="00472C87" w:rsidRDefault="00000000">
                  <w:pPr>
                    <w:pStyle w:val="Compact"/>
                    <w:jc w:val="center"/>
                  </w:pPr>
                  <w:r>
                    <w:t>26.7</w:t>
                  </w:r>
                </w:p>
              </w:tc>
              <w:tc>
                <w:tcPr>
                  <w:tcW w:w="1521" w:type="dxa"/>
                </w:tcPr>
                <w:p w14:paraId="41191D16" w14:textId="77777777" w:rsidR="00472C87" w:rsidRDefault="00000000">
                  <w:pPr>
                    <w:pStyle w:val="Compact"/>
                    <w:jc w:val="center"/>
                  </w:pPr>
                  <w:r>
                    <w:t>-1.3</w:t>
                  </w:r>
                </w:p>
              </w:tc>
            </w:tr>
            <w:tr w:rsidR="00472C87" w14:paraId="3CD9AA1A" w14:textId="77777777" w:rsidTr="00F01F7F">
              <w:tc>
                <w:tcPr>
                  <w:tcW w:w="1170" w:type="dxa"/>
                </w:tcPr>
                <w:p w14:paraId="21B9DB42" w14:textId="77777777" w:rsidR="00472C87" w:rsidRDefault="00472C87">
                  <w:pPr>
                    <w:pStyle w:val="Compact"/>
                  </w:pPr>
                </w:p>
              </w:tc>
              <w:tc>
                <w:tcPr>
                  <w:tcW w:w="1521" w:type="dxa"/>
                </w:tcPr>
                <w:p w14:paraId="721D2F24" w14:textId="77777777" w:rsidR="00472C87" w:rsidRDefault="00000000">
                  <w:pPr>
                    <w:pStyle w:val="Compact"/>
                    <w:jc w:val="center"/>
                  </w:pPr>
                  <w:r>
                    <w:t>LTB</w:t>
                  </w:r>
                </w:p>
              </w:tc>
              <w:tc>
                <w:tcPr>
                  <w:tcW w:w="936" w:type="dxa"/>
                </w:tcPr>
                <w:p w14:paraId="64A672CF" w14:textId="77777777" w:rsidR="00472C87" w:rsidRDefault="00000000">
                  <w:pPr>
                    <w:pStyle w:val="Compact"/>
                    <w:jc w:val="center"/>
                  </w:pPr>
                  <w:r>
                    <w:t>EPC</w:t>
                  </w:r>
                </w:p>
              </w:tc>
              <w:tc>
                <w:tcPr>
                  <w:tcW w:w="1638" w:type="dxa"/>
                </w:tcPr>
                <w:p w14:paraId="608F5D6B" w14:textId="77777777" w:rsidR="00472C87" w:rsidRDefault="00000000">
                  <w:pPr>
                    <w:pStyle w:val="Compact"/>
                    <w:jc w:val="center"/>
                  </w:pPr>
                  <w:r>
                    <w:t>-0.04 (0.01)</w:t>
                  </w:r>
                </w:p>
              </w:tc>
              <w:tc>
                <w:tcPr>
                  <w:tcW w:w="1305" w:type="dxa"/>
                </w:tcPr>
                <w:p w14:paraId="76FFB320" w14:textId="77777777" w:rsidR="00472C87" w:rsidRDefault="00000000">
                  <w:pPr>
                    <w:pStyle w:val="Compact"/>
                    <w:jc w:val="center"/>
                  </w:pPr>
                  <w:r>
                    <w:t>33.1</w:t>
                  </w:r>
                </w:p>
              </w:tc>
              <w:tc>
                <w:tcPr>
                  <w:tcW w:w="1269" w:type="dxa"/>
                </w:tcPr>
                <w:p w14:paraId="4A87C9FC" w14:textId="77777777" w:rsidR="00472C87" w:rsidRDefault="00000000">
                  <w:pPr>
                    <w:pStyle w:val="Compact"/>
                    <w:jc w:val="center"/>
                  </w:pPr>
                  <w:r>
                    <w:t>31.5</w:t>
                  </w:r>
                </w:p>
              </w:tc>
              <w:tc>
                <w:tcPr>
                  <w:tcW w:w="1521" w:type="dxa"/>
                </w:tcPr>
                <w:p w14:paraId="565CB006" w14:textId="77777777" w:rsidR="00472C87" w:rsidRDefault="00000000">
                  <w:pPr>
                    <w:pStyle w:val="Compact"/>
                    <w:jc w:val="center"/>
                  </w:pPr>
                  <w:r>
                    <w:t>-1.6</w:t>
                  </w:r>
                </w:p>
              </w:tc>
            </w:tr>
            <w:tr w:rsidR="00472C87" w14:paraId="2788C59E" w14:textId="77777777" w:rsidTr="00F01F7F">
              <w:tc>
                <w:tcPr>
                  <w:tcW w:w="1170" w:type="dxa"/>
                </w:tcPr>
                <w:p w14:paraId="055F6BB5" w14:textId="77777777" w:rsidR="00472C87" w:rsidRDefault="00000000">
                  <w:pPr>
                    <w:pStyle w:val="Compact"/>
                    <w:jc w:val="center"/>
                  </w:pPr>
                  <w:r>
                    <w:t>1996</w:t>
                  </w:r>
                </w:p>
              </w:tc>
              <w:tc>
                <w:tcPr>
                  <w:tcW w:w="1521" w:type="dxa"/>
                </w:tcPr>
                <w:p w14:paraId="38B3C470" w14:textId="77777777" w:rsidR="00472C87" w:rsidRDefault="00000000">
                  <w:pPr>
                    <w:pStyle w:val="Compact"/>
                    <w:jc w:val="center"/>
                  </w:pPr>
                  <w:r>
                    <w:t>OTB</w:t>
                  </w:r>
                </w:p>
              </w:tc>
              <w:tc>
                <w:tcPr>
                  <w:tcW w:w="936" w:type="dxa"/>
                </w:tcPr>
                <w:p w14:paraId="6383D3AD" w14:textId="77777777" w:rsidR="00472C87" w:rsidRDefault="00000000">
                  <w:pPr>
                    <w:pStyle w:val="Compact"/>
                    <w:jc w:val="center"/>
                  </w:pPr>
                  <w:r>
                    <w:t>EPC</w:t>
                  </w:r>
                </w:p>
              </w:tc>
              <w:tc>
                <w:tcPr>
                  <w:tcW w:w="1638" w:type="dxa"/>
                </w:tcPr>
                <w:p w14:paraId="535C8FA1" w14:textId="77777777" w:rsidR="00472C87" w:rsidRDefault="00000000">
                  <w:pPr>
                    <w:pStyle w:val="Compact"/>
                    <w:jc w:val="center"/>
                  </w:pPr>
                  <w:r>
                    <w:t>-0.08 (0.07)</w:t>
                  </w:r>
                </w:p>
              </w:tc>
              <w:tc>
                <w:tcPr>
                  <w:tcW w:w="1305" w:type="dxa"/>
                </w:tcPr>
                <w:p w14:paraId="20FEF007" w14:textId="77777777" w:rsidR="00472C87" w:rsidRDefault="00000000">
                  <w:pPr>
                    <w:pStyle w:val="Compact"/>
                    <w:jc w:val="center"/>
                  </w:pPr>
                  <w:r>
                    <w:t>24.9</w:t>
                  </w:r>
                </w:p>
              </w:tc>
              <w:tc>
                <w:tcPr>
                  <w:tcW w:w="1269" w:type="dxa"/>
                </w:tcPr>
                <w:p w14:paraId="6F4AFC87" w14:textId="77777777" w:rsidR="00472C87" w:rsidRDefault="00000000">
                  <w:pPr>
                    <w:pStyle w:val="Compact"/>
                    <w:jc w:val="center"/>
                  </w:pPr>
                  <w:r>
                    <w:t>22.8</w:t>
                  </w:r>
                </w:p>
              </w:tc>
              <w:tc>
                <w:tcPr>
                  <w:tcW w:w="1521" w:type="dxa"/>
                </w:tcPr>
                <w:p w14:paraId="2AC6CBE4" w14:textId="77777777" w:rsidR="00472C87" w:rsidRDefault="00000000">
                  <w:pPr>
                    <w:pStyle w:val="Compact"/>
                    <w:jc w:val="center"/>
                  </w:pPr>
                  <w:r>
                    <w:t>-2.1</w:t>
                  </w:r>
                </w:p>
              </w:tc>
            </w:tr>
            <w:tr w:rsidR="00472C87" w14:paraId="650871B5" w14:textId="77777777" w:rsidTr="00F01F7F">
              <w:tc>
                <w:tcPr>
                  <w:tcW w:w="1170" w:type="dxa"/>
                </w:tcPr>
                <w:p w14:paraId="4512056E" w14:textId="77777777" w:rsidR="00472C87" w:rsidRDefault="00472C87">
                  <w:pPr>
                    <w:pStyle w:val="Compact"/>
                  </w:pPr>
                </w:p>
              </w:tc>
              <w:tc>
                <w:tcPr>
                  <w:tcW w:w="1521" w:type="dxa"/>
                </w:tcPr>
                <w:p w14:paraId="5F672E4B" w14:textId="77777777" w:rsidR="00472C87" w:rsidRDefault="00472C87">
                  <w:pPr>
                    <w:pStyle w:val="Compact"/>
                  </w:pPr>
                </w:p>
              </w:tc>
              <w:tc>
                <w:tcPr>
                  <w:tcW w:w="936" w:type="dxa"/>
                </w:tcPr>
                <w:p w14:paraId="1467CB37" w14:textId="77777777" w:rsidR="00472C87" w:rsidRDefault="00000000">
                  <w:pPr>
                    <w:pStyle w:val="Compact"/>
                    <w:jc w:val="center"/>
                  </w:pPr>
                  <w:r>
                    <w:t>FIM</w:t>
                  </w:r>
                </w:p>
              </w:tc>
              <w:tc>
                <w:tcPr>
                  <w:tcW w:w="1638" w:type="dxa"/>
                </w:tcPr>
                <w:p w14:paraId="6CEBB9E5" w14:textId="77777777" w:rsidR="00472C87" w:rsidRDefault="00000000">
                  <w:pPr>
                    <w:pStyle w:val="Compact"/>
                    <w:jc w:val="center"/>
                  </w:pPr>
                  <w:r>
                    <w:t>-0.05 (0.08)</w:t>
                  </w:r>
                </w:p>
              </w:tc>
              <w:tc>
                <w:tcPr>
                  <w:tcW w:w="1305" w:type="dxa"/>
                </w:tcPr>
                <w:p w14:paraId="2A4779E2" w14:textId="77777777" w:rsidR="00472C87" w:rsidRDefault="00000000">
                  <w:pPr>
                    <w:pStyle w:val="Compact"/>
                    <w:jc w:val="center"/>
                  </w:pPr>
                  <w:r>
                    <w:t>24.1</w:t>
                  </w:r>
                </w:p>
              </w:tc>
              <w:tc>
                <w:tcPr>
                  <w:tcW w:w="1269" w:type="dxa"/>
                </w:tcPr>
                <w:p w14:paraId="131B97F7" w14:textId="77777777" w:rsidR="00472C87" w:rsidRDefault="00000000">
                  <w:pPr>
                    <w:pStyle w:val="Compact"/>
                    <w:jc w:val="center"/>
                  </w:pPr>
                  <w:r>
                    <w:t>22.7</w:t>
                  </w:r>
                </w:p>
              </w:tc>
              <w:tc>
                <w:tcPr>
                  <w:tcW w:w="1521" w:type="dxa"/>
                </w:tcPr>
                <w:p w14:paraId="24A18F70" w14:textId="77777777" w:rsidR="00472C87" w:rsidRDefault="00000000">
                  <w:pPr>
                    <w:pStyle w:val="Compact"/>
                    <w:jc w:val="center"/>
                  </w:pPr>
                  <w:r>
                    <w:t>-1.4</w:t>
                  </w:r>
                </w:p>
              </w:tc>
            </w:tr>
            <w:tr w:rsidR="00472C87" w14:paraId="1160F33F" w14:textId="77777777" w:rsidTr="00F01F7F">
              <w:tc>
                <w:tcPr>
                  <w:tcW w:w="1170" w:type="dxa"/>
                </w:tcPr>
                <w:p w14:paraId="0FFF2B89" w14:textId="77777777" w:rsidR="00472C87" w:rsidRDefault="00472C87">
                  <w:pPr>
                    <w:pStyle w:val="Compact"/>
                  </w:pPr>
                </w:p>
              </w:tc>
              <w:tc>
                <w:tcPr>
                  <w:tcW w:w="1521" w:type="dxa"/>
                </w:tcPr>
                <w:p w14:paraId="4B35E722" w14:textId="77777777" w:rsidR="00472C87" w:rsidRDefault="00000000">
                  <w:pPr>
                    <w:pStyle w:val="Compact"/>
                    <w:jc w:val="center"/>
                  </w:pPr>
                  <w:r>
                    <w:t>HB</w:t>
                  </w:r>
                </w:p>
              </w:tc>
              <w:tc>
                <w:tcPr>
                  <w:tcW w:w="936" w:type="dxa"/>
                </w:tcPr>
                <w:p w14:paraId="6DF0DE50" w14:textId="77777777" w:rsidR="00472C87" w:rsidRDefault="00000000">
                  <w:pPr>
                    <w:pStyle w:val="Compact"/>
                    <w:jc w:val="center"/>
                  </w:pPr>
                  <w:r>
                    <w:t>EPC</w:t>
                  </w:r>
                </w:p>
              </w:tc>
              <w:tc>
                <w:tcPr>
                  <w:tcW w:w="1638" w:type="dxa"/>
                </w:tcPr>
                <w:p w14:paraId="4C8D9088" w14:textId="77777777" w:rsidR="00472C87" w:rsidRDefault="00000000">
                  <w:pPr>
                    <w:pStyle w:val="Compact"/>
                    <w:jc w:val="center"/>
                  </w:pPr>
                  <w:r>
                    <w:t>-0.08 (0.07)</w:t>
                  </w:r>
                </w:p>
              </w:tc>
              <w:tc>
                <w:tcPr>
                  <w:tcW w:w="1305" w:type="dxa"/>
                </w:tcPr>
                <w:p w14:paraId="6DEE99C7" w14:textId="77777777" w:rsidR="00472C87" w:rsidRDefault="00000000">
                  <w:pPr>
                    <w:pStyle w:val="Compact"/>
                    <w:jc w:val="center"/>
                  </w:pPr>
                  <w:r>
                    <w:t>26.1</w:t>
                  </w:r>
                </w:p>
              </w:tc>
              <w:tc>
                <w:tcPr>
                  <w:tcW w:w="1269" w:type="dxa"/>
                </w:tcPr>
                <w:p w14:paraId="758E6877" w14:textId="77777777" w:rsidR="00472C87" w:rsidRDefault="00000000">
                  <w:pPr>
                    <w:pStyle w:val="Compact"/>
                    <w:jc w:val="center"/>
                  </w:pPr>
                  <w:r>
                    <w:t>23.9</w:t>
                  </w:r>
                </w:p>
              </w:tc>
              <w:tc>
                <w:tcPr>
                  <w:tcW w:w="1521" w:type="dxa"/>
                </w:tcPr>
                <w:p w14:paraId="734AA320" w14:textId="77777777" w:rsidR="00472C87" w:rsidRDefault="00000000">
                  <w:pPr>
                    <w:pStyle w:val="Compact"/>
                    <w:jc w:val="center"/>
                  </w:pPr>
                  <w:r>
                    <w:t>-2.2</w:t>
                  </w:r>
                </w:p>
              </w:tc>
            </w:tr>
            <w:tr w:rsidR="00472C87" w14:paraId="5DB962BA" w14:textId="77777777" w:rsidTr="00F01F7F">
              <w:tc>
                <w:tcPr>
                  <w:tcW w:w="1170" w:type="dxa"/>
                </w:tcPr>
                <w:p w14:paraId="4F606BA9" w14:textId="77777777" w:rsidR="00472C87" w:rsidRDefault="00472C87">
                  <w:pPr>
                    <w:pStyle w:val="Compact"/>
                  </w:pPr>
                </w:p>
              </w:tc>
              <w:tc>
                <w:tcPr>
                  <w:tcW w:w="1521" w:type="dxa"/>
                </w:tcPr>
                <w:p w14:paraId="410F1FF1" w14:textId="77777777" w:rsidR="00472C87" w:rsidRDefault="00472C87">
                  <w:pPr>
                    <w:pStyle w:val="Compact"/>
                  </w:pPr>
                </w:p>
              </w:tc>
              <w:tc>
                <w:tcPr>
                  <w:tcW w:w="936" w:type="dxa"/>
                </w:tcPr>
                <w:p w14:paraId="7C492974" w14:textId="77777777" w:rsidR="00472C87" w:rsidRDefault="00000000">
                  <w:pPr>
                    <w:pStyle w:val="Compact"/>
                    <w:jc w:val="center"/>
                  </w:pPr>
                  <w:r>
                    <w:t>FIM</w:t>
                  </w:r>
                </w:p>
              </w:tc>
              <w:tc>
                <w:tcPr>
                  <w:tcW w:w="1638" w:type="dxa"/>
                </w:tcPr>
                <w:p w14:paraId="1DC83D3B" w14:textId="77777777" w:rsidR="00472C87" w:rsidRDefault="00000000">
                  <w:pPr>
                    <w:pStyle w:val="Compact"/>
                    <w:jc w:val="center"/>
                  </w:pPr>
                  <w:r>
                    <w:t>0 (0.08)</w:t>
                  </w:r>
                </w:p>
              </w:tc>
              <w:tc>
                <w:tcPr>
                  <w:tcW w:w="1305" w:type="dxa"/>
                </w:tcPr>
                <w:p w14:paraId="25E1BE1A" w14:textId="77777777" w:rsidR="00472C87" w:rsidRDefault="00000000">
                  <w:pPr>
                    <w:pStyle w:val="Compact"/>
                    <w:jc w:val="center"/>
                  </w:pPr>
                  <w:r>
                    <w:t>24.0</w:t>
                  </w:r>
                </w:p>
              </w:tc>
              <w:tc>
                <w:tcPr>
                  <w:tcW w:w="1269" w:type="dxa"/>
                </w:tcPr>
                <w:p w14:paraId="6046B1BA" w14:textId="77777777" w:rsidR="00472C87" w:rsidRDefault="00000000">
                  <w:pPr>
                    <w:pStyle w:val="Compact"/>
                    <w:jc w:val="center"/>
                  </w:pPr>
                  <w:r>
                    <w:t>23.9</w:t>
                  </w:r>
                </w:p>
              </w:tc>
              <w:tc>
                <w:tcPr>
                  <w:tcW w:w="1521" w:type="dxa"/>
                </w:tcPr>
                <w:p w14:paraId="131D14F3" w14:textId="77777777" w:rsidR="00472C87" w:rsidRDefault="00000000">
                  <w:pPr>
                    <w:pStyle w:val="Compact"/>
                    <w:jc w:val="center"/>
                  </w:pPr>
                  <w:r>
                    <w:t>-0.1</w:t>
                  </w:r>
                </w:p>
              </w:tc>
            </w:tr>
            <w:tr w:rsidR="00472C87" w14:paraId="61ECC22C" w14:textId="77777777" w:rsidTr="00F01F7F">
              <w:tc>
                <w:tcPr>
                  <w:tcW w:w="1170" w:type="dxa"/>
                </w:tcPr>
                <w:p w14:paraId="2C0D591B" w14:textId="77777777" w:rsidR="00472C87" w:rsidRDefault="00472C87">
                  <w:pPr>
                    <w:pStyle w:val="Compact"/>
                  </w:pPr>
                </w:p>
              </w:tc>
              <w:tc>
                <w:tcPr>
                  <w:tcW w:w="1521" w:type="dxa"/>
                </w:tcPr>
                <w:p w14:paraId="17202AFE" w14:textId="77777777" w:rsidR="00472C87" w:rsidRDefault="00000000">
                  <w:pPr>
                    <w:pStyle w:val="Compact"/>
                    <w:jc w:val="center"/>
                  </w:pPr>
                  <w:r>
                    <w:t>MTB</w:t>
                  </w:r>
                </w:p>
              </w:tc>
              <w:tc>
                <w:tcPr>
                  <w:tcW w:w="936" w:type="dxa"/>
                </w:tcPr>
                <w:p w14:paraId="481DFF01" w14:textId="77777777" w:rsidR="00472C87" w:rsidRDefault="00000000">
                  <w:pPr>
                    <w:pStyle w:val="Compact"/>
                    <w:jc w:val="center"/>
                  </w:pPr>
                  <w:r>
                    <w:t>EPC</w:t>
                  </w:r>
                </w:p>
              </w:tc>
              <w:tc>
                <w:tcPr>
                  <w:tcW w:w="1638" w:type="dxa"/>
                </w:tcPr>
                <w:p w14:paraId="41CCB410" w14:textId="77777777" w:rsidR="00472C87" w:rsidRDefault="00000000">
                  <w:pPr>
                    <w:pStyle w:val="Compact"/>
                    <w:jc w:val="center"/>
                  </w:pPr>
                  <w:r>
                    <w:t>-0.07 (0.05)</w:t>
                  </w:r>
                </w:p>
              </w:tc>
              <w:tc>
                <w:tcPr>
                  <w:tcW w:w="1305" w:type="dxa"/>
                </w:tcPr>
                <w:p w14:paraId="65249676" w14:textId="77777777" w:rsidR="00472C87" w:rsidRDefault="00000000">
                  <w:pPr>
                    <w:pStyle w:val="Compact"/>
                    <w:jc w:val="center"/>
                  </w:pPr>
                  <w:r>
                    <w:t>28.0</w:t>
                  </w:r>
                </w:p>
              </w:tc>
              <w:tc>
                <w:tcPr>
                  <w:tcW w:w="1269" w:type="dxa"/>
                </w:tcPr>
                <w:p w14:paraId="47AD261A" w14:textId="77777777" w:rsidR="00472C87" w:rsidRDefault="00000000">
                  <w:pPr>
                    <w:pStyle w:val="Compact"/>
                    <w:jc w:val="center"/>
                  </w:pPr>
                  <w:r>
                    <w:t>26.3</w:t>
                  </w:r>
                </w:p>
              </w:tc>
              <w:tc>
                <w:tcPr>
                  <w:tcW w:w="1521" w:type="dxa"/>
                </w:tcPr>
                <w:p w14:paraId="589B893D" w14:textId="77777777" w:rsidR="00472C87" w:rsidRDefault="00000000">
                  <w:pPr>
                    <w:pStyle w:val="Compact"/>
                    <w:jc w:val="center"/>
                  </w:pPr>
                  <w:r>
                    <w:t>-1.7</w:t>
                  </w:r>
                </w:p>
              </w:tc>
            </w:tr>
            <w:tr w:rsidR="00472C87" w14:paraId="75C1F189" w14:textId="77777777" w:rsidTr="00F01F7F">
              <w:tc>
                <w:tcPr>
                  <w:tcW w:w="1170" w:type="dxa"/>
                </w:tcPr>
                <w:p w14:paraId="52E20A18" w14:textId="77777777" w:rsidR="00472C87" w:rsidRDefault="00472C87">
                  <w:pPr>
                    <w:pStyle w:val="Compact"/>
                  </w:pPr>
                </w:p>
              </w:tc>
              <w:tc>
                <w:tcPr>
                  <w:tcW w:w="1521" w:type="dxa"/>
                </w:tcPr>
                <w:p w14:paraId="44AA1B14" w14:textId="77777777" w:rsidR="00472C87" w:rsidRDefault="00472C87">
                  <w:pPr>
                    <w:pStyle w:val="Compact"/>
                  </w:pPr>
                </w:p>
              </w:tc>
              <w:tc>
                <w:tcPr>
                  <w:tcW w:w="936" w:type="dxa"/>
                </w:tcPr>
                <w:p w14:paraId="4CDD985F" w14:textId="77777777" w:rsidR="00472C87" w:rsidRDefault="00000000">
                  <w:pPr>
                    <w:pStyle w:val="Compact"/>
                    <w:jc w:val="center"/>
                  </w:pPr>
                  <w:r>
                    <w:t>FIM</w:t>
                  </w:r>
                </w:p>
              </w:tc>
              <w:tc>
                <w:tcPr>
                  <w:tcW w:w="1638" w:type="dxa"/>
                </w:tcPr>
                <w:p w14:paraId="6C2B40A3" w14:textId="77777777" w:rsidR="00472C87" w:rsidRDefault="00000000">
                  <w:pPr>
                    <w:pStyle w:val="Compact"/>
                    <w:jc w:val="center"/>
                  </w:pPr>
                  <w:r>
                    <w:t>-0.03 (0.06)</w:t>
                  </w:r>
                </w:p>
              </w:tc>
              <w:tc>
                <w:tcPr>
                  <w:tcW w:w="1305" w:type="dxa"/>
                </w:tcPr>
                <w:p w14:paraId="525B9C08" w14:textId="77777777" w:rsidR="00472C87" w:rsidRDefault="00000000">
                  <w:pPr>
                    <w:pStyle w:val="Compact"/>
                    <w:jc w:val="center"/>
                  </w:pPr>
                  <w:r>
                    <w:t>26.6</w:t>
                  </w:r>
                </w:p>
              </w:tc>
              <w:tc>
                <w:tcPr>
                  <w:tcW w:w="1269" w:type="dxa"/>
                </w:tcPr>
                <w:p w14:paraId="1F7DD1A0" w14:textId="77777777" w:rsidR="00472C87" w:rsidRDefault="00000000">
                  <w:pPr>
                    <w:pStyle w:val="Compact"/>
                    <w:jc w:val="center"/>
                  </w:pPr>
                  <w:r>
                    <w:t>25.8</w:t>
                  </w:r>
                </w:p>
              </w:tc>
              <w:tc>
                <w:tcPr>
                  <w:tcW w:w="1521" w:type="dxa"/>
                </w:tcPr>
                <w:p w14:paraId="38DF9E20" w14:textId="77777777" w:rsidR="00472C87" w:rsidRDefault="00000000">
                  <w:pPr>
                    <w:pStyle w:val="Compact"/>
                    <w:jc w:val="center"/>
                  </w:pPr>
                  <w:r>
                    <w:t>-0.8</w:t>
                  </w:r>
                </w:p>
              </w:tc>
            </w:tr>
            <w:tr w:rsidR="00472C87" w14:paraId="2E90CC38" w14:textId="77777777" w:rsidTr="00F01F7F">
              <w:tc>
                <w:tcPr>
                  <w:tcW w:w="1170" w:type="dxa"/>
                </w:tcPr>
                <w:p w14:paraId="2C5C12A7" w14:textId="77777777" w:rsidR="00472C87" w:rsidRDefault="00472C87">
                  <w:pPr>
                    <w:pStyle w:val="Compact"/>
                  </w:pPr>
                </w:p>
              </w:tc>
              <w:tc>
                <w:tcPr>
                  <w:tcW w:w="1521" w:type="dxa"/>
                </w:tcPr>
                <w:p w14:paraId="63444A23" w14:textId="77777777" w:rsidR="00472C87" w:rsidRDefault="00000000">
                  <w:pPr>
                    <w:pStyle w:val="Compact"/>
                    <w:jc w:val="center"/>
                  </w:pPr>
                  <w:r>
                    <w:t>LTB</w:t>
                  </w:r>
                </w:p>
              </w:tc>
              <w:tc>
                <w:tcPr>
                  <w:tcW w:w="936" w:type="dxa"/>
                </w:tcPr>
                <w:p w14:paraId="4DDD06C4" w14:textId="77777777" w:rsidR="00472C87" w:rsidRDefault="00000000">
                  <w:pPr>
                    <w:pStyle w:val="Compact"/>
                    <w:jc w:val="center"/>
                  </w:pPr>
                  <w:r>
                    <w:t>EPC</w:t>
                  </w:r>
                </w:p>
              </w:tc>
              <w:tc>
                <w:tcPr>
                  <w:tcW w:w="1638" w:type="dxa"/>
                </w:tcPr>
                <w:p w14:paraId="3359762E" w14:textId="77777777" w:rsidR="00472C87" w:rsidRDefault="00000000">
                  <w:pPr>
                    <w:pStyle w:val="Compact"/>
                    <w:jc w:val="center"/>
                  </w:pPr>
                  <w:r>
                    <w:t>-0.04 (0.03)</w:t>
                  </w:r>
                </w:p>
              </w:tc>
              <w:tc>
                <w:tcPr>
                  <w:tcW w:w="1305" w:type="dxa"/>
                </w:tcPr>
                <w:p w14:paraId="0A17888C" w14:textId="77777777" w:rsidR="00472C87" w:rsidRDefault="00000000">
                  <w:pPr>
                    <w:pStyle w:val="Compact"/>
                    <w:jc w:val="center"/>
                  </w:pPr>
                  <w:r>
                    <w:t>32.5</w:t>
                  </w:r>
                </w:p>
              </w:tc>
              <w:tc>
                <w:tcPr>
                  <w:tcW w:w="1269" w:type="dxa"/>
                </w:tcPr>
                <w:p w14:paraId="43DE216D" w14:textId="77777777" w:rsidR="00472C87" w:rsidRDefault="00000000">
                  <w:pPr>
                    <w:pStyle w:val="Compact"/>
                    <w:jc w:val="center"/>
                  </w:pPr>
                  <w:r>
                    <w:t>31.4</w:t>
                  </w:r>
                </w:p>
              </w:tc>
              <w:tc>
                <w:tcPr>
                  <w:tcW w:w="1521" w:type="dxa"/>
                </w:tcPr>
                <w:p w14:paraId="3BB51FC6" w14:textId="77777777" w:rsidR="00472C87" w:rsidRDefault="00000000">
                  <w:pPr>
                    <w:pStyle w:val="Compact"/>
                    <w:jc w:val="center"/>
                  </w:pPr>
                  <w:r>
                    <w:t>-1.1</w:t>
                  </w:r>
                </w:p>
              </w:tc>
            </w:tr>
            <w:tr w:rsidR="00472C87" w14:paraId="68AD8B04" w14:textId="77777777" w:rsidTr="00F01F7F">
              <w:tc>
                <w:tcPr>
                  <w:tcW w:w="1170" w:type="dxa"/>
                </w:tcPr>
                <w:p w14:paraId="03F7394B" w14:textId="77777777" w:rsidR="00472C87" w:rsidRDefault="00472C87">
                  <w:pPr>
                    <w:pStyle w:val="Compact"/>
                  </w:pPr>
                </w:p>
              </w:tc>
              <w:tc>
                <w:tcPr>
                  <w:tcW w:w="1521" w:type="dxa"/>
                </w:tcPr>
                <w:p w14:paraId="3E5DA785" w14:textId="77777777" w:rsidR="00472C87" w:rsidRDefault="00472C87">
                  <w:pPr>
                    <w:pStyle w:val="Compact"/>
                  </w:pPr>
                </w:p>
              </w:tc>
              <w:tc>
                <w:tcPr>
                  <w:tcW w:w="936" w:type="dxa"/>
                </w:tcPr>
                <w:p w14:paraId="29F078C7" w14:textId="77777777" w:rsidR="00472C87" w:rsidRDefault="00000000">
                  <w:pPr>
                    <w:pStyle w:val="Compact"/>
                    <w:jc w:val="center"/>
                  </w:pPr>
                  <w:r>
                    <w:t>FIM</w:t>
                  </w:r>
                </w:p>
              </w:tc>
              <w:tc>
                <w:tcPr>
                  <w:tcW w:w="1638" w:type="dxa"/>
                </w:tcPr>
                <w:p w14:paraId="09562D82" w14:textId="77777777" w:rsidR="00472C87" w:rsidRDefault="00000000">
                  <w:pPr>
                    <w:pStyle w:val="Compact"/>
                    <w:jc w:val="center"/>
                  </w:pPr>
                  <w:r>
                    <w:t>0.01 (0.04)</w:t>
                  </w:r>
                </w:p>
              </w:tc>
              <w:tc>
                <w:tcPr>
                  <w:tcW w:w="1305" w:type="dxa"/>
                </w:tcPr>
                <w:p w14:paraId="4A1C8514" w14:textId="77777777" w:rsidR="00472C87" w:rsidRDefault="00000000">
                  <w:pPr>
                    <w:pStyle w:val="Compact"/>
                    <w:jc w:val="center"/>
                  </w:pPr>
                  <w:r>
                    <w:t>31.6</w:t>
                  </w:r>
                </w:p>
              </w:tc>
              <w:tc>
                <w:tcPr>
                  <w:tcW w:w="1269" w:type="dxa"/>
                </w:tcPr>
                <w:p w14:paraId="432A3A97" w14:textId="77777777" w:rsidR="00472C87" w:rsidRDefault="00000000">
                  <w:pPr>
                    <w:pStyle w:val="Compact"/>
                    <w:jc w:val="center"/>
                  </w:pPr>
                  <w:r>
                    <w:t>32.0</w:t>
                  </w:r>
                </w:p>
              </w:tc>
              <w:tc>
                <w:tcPr>
                  <w:tcW w:w="1521" w:type="dxa"/>
                </w:tcPr>
                <w:p w14:paraId="46168307" w14:textId="77777777" w:rsidR="00472C87" w:rsidRDefault="00000000">
                  <w:pPr>
                    <w:pStyle w:val="Compact"/>
                    <w:jc w:val="center"/>
                  </w:pPr>
                  <w:r>
                    <w:t>0.4</w:t>
                  </w:r>
                </w:p>
              </w:tc>
            </w:tr>
            <w:tr w:rsidR="00472C87" w14:paraId="79505CFF" w14:textId="77777777" w:rsidTr="00F01F7F">
              <w:tc>
                <w:tcPr>
                  <w:tcW w:w="1170" w:type="dxa"/>
                </w:tcPr>
                <w:p w14:paraId="64BB12BC" w14:textId="77777777" w:rsidR="00472C87" w:rsidRDefault="00000000">
                  <w:pPr>
                    <w:pStyle w:val="Compact"/>
                    <w:jc w:val="center"/>
                  </w:pPr>
                  <w:r>
                    <w:t>2004</w:t>
                  </w:r>
                </w:p>
              </w:tc>
              <w:tc>
                <w:tcPr>
                  <w:tcW w:w="1521" w:type="dxa"/>
                </w:tcPr>
                <w:p w14:paraId="77CAA0EB" w14:textId="77777777" w:rsidR="00472C87" w:rsidRDefault="00000000">
                  <w:pPr>
                    <w:pStyle w:val="Compact"/>
                    <w:jc w:val="center"/>
                  </w:pPr>
                  <w:r>
                    <w:t>OTB</w:t>
                  </w:r>
                </w:p>
              </w:tc>
              <w:tc>
                <w:tcPr>
                  <w:tcW w:w="936" w:type="dxa"/>
                </w:tcPr>
                <w:p w14:paraId="338C436B" w14:textId="77777777" w:rsidR="00472C87" w:rsidRDefault="00000000">
                  <w:pPr>
                    <w:pStyle w:val="Compact"/>
                    <w:jc w:val="center"/>
                  </w:pPr>
                  <w:r>
                    <w:t>EPC</w:t>
                  </w:r>
                </w:p>
              </w:tc>
              <w:tc>
                <w:tcPr>
                  <w:tcW w:w="1638" w:type="dxa"/>
                </w:tcPr>
                <w:p w14:paraId="27033704" w14:textId="77777777" w:rsidR="00472C87" w:rsidRDefault="00000000">
                  <w:pPr>
                    <w:pStyle w:val="Compact"/>
                    <w:jc w:val="center"/>
                  </w:pPr>
                  <w:r>
                    <w:t>-0.2 (0.09)</w:t>
                  </w:r>
                </w:p>
              </w:tc>
              <w:tc>
                <w:tcPr>
                  <w:tcW w:w="1305" w:type="dxa"/>
                </w:tcPr>
                <w:p w14:paraId="41625172" w14:textId="77777777" w:rsidR="00472C87" w:rsidRDefault="00000000">
                  <w:pPr>
                    <w:pStyle w:val="Compact"/>
                    <w:jc w:val="center"/>
                  </w:pPr>
                  <w:r>
                    <w:t>25.5</w:t>
                  </w:r>
                </w:p>
              </w:tc>
              <w:tc>
                <w:tcPr>
                  <w:tcW w:w="1269" w:type="dxa"/>
                </w:tcPr>
                <w:p w14:paraId="73DB56B5" w14:textId="77777777" w:rsidR="00472C87" w:rsidRDefault="00000000">
                  <w:pPr>
                    <w:pStyle w:val="Compact"/>
                    <w:jc w:val="center"/>
                  </w:pPr>
                  <w:r>
                    <w:t>22.0</w:t>
                  </w:r>
                </w:p>
              </w:tc>
              <w:tc>
                <w:tcPr>
                  <w:tcW w:w="1521" w:type="dxa"/>
                </w:tcPr>
                <w:p w14:paraId="409A44DB" w14:textId="77777777" w:rsidR="00472C87" w:rsidRDefault="00000000">
                  <w:pPr>
                    <w:pStyle w:val="Compact"/>
                    <w:jc w:val="center"/>
                  </w:pPr>
                  <w:r>
                    <w:t>-3.5</w:t>
                  </w:r>
                </w:p>
              </w:tc>
            </w:tr>
            <w:tr w:rsidR="00472C87" w14:paraId="7C63EA8D" w14:textId="77777777" w:rsidTr="00F01F7F">
              <w:tc>
                <w:tcPr>
                  <w:tcW w:w="1170" w:type="dxa"/>
                </w:tcPr>
                <w:p w14:paraId="1B0CA1DE" w14:textId="77777777" w:rsidR="00472C87" w:rsidRDefault="00472C87">
                  <w:pPr>
                    <w:pStyle w:val="Compact"/>
                  </w:pPr>
                </w:p>
              </w:tc>
              <w:tc>
                <w:tcPr>
                  <w:tcW w:w="1521" w:type="dxa"/>
                </w:tcPr>
                <w:p w14:paraId="4EAA859C" w14:textId="77777777" w:rsidR="00472C87" w:rsidRDefault="00472C87">
                  <w:pPr>
                    <w:pStyle w:val="Compact"/>
                  </w:pPr>
                </w:p>
              </w:tc>
              <w:tc>
                <w:tcPr>
                  <w:tcW w:w="936" w:type="dxa"/>
                </w:tcPr>
                <w:p w14:paraId="7ED481D7" w14:textId="77777777" w:rsidR="00472C87" w:rsidRDefault="00000000">
                  <w:pPr>
                    <w:pStyle w:val="Compact"/>
                    <w:jc w:val="center"/>
                  </w:pPr>
                  <w:r>
                    <w:t>FIM</w:t>
                  </w:r>
                </w:p>
              </w:tc>
              <w:tc>
                <w:tcPr>
                  <w:tcW w:w="1638" w:type="dxa"/>
                </w:tcPr>
                <w:p w14:paraId="398622F2" w14:textId="77777777" w:rsidR="00472C87" w:rsidRDefault="00000000">
                  <w:pPr>
                    <w:pStyle w:val="Compact"/>
                    <w:jc w:val="center"/>
                  </w:pPr>
                  <w:r>
                    <w:t>-0.15 (0.09)</w:t>
                  </w:r>
                </w:p>
              </w:tc>
              <w:tc>
                <w:tcPr>
                  <w:tcW w:w="1305" w:type="dxa"/>
                </w:tcPr>
                <w:p w14:paraId="69F771E8" w14:textId="77777777" w:rsidR="00472C87" w:rsidRDefault="00000000">
                  <w:pPr>
                    <w:pStyle w:val="Compact"/>
                    <w:jc w:val="center"/>
                  </w:pPr>
                  <w:r>
                    <w:t>24.6</w:t>
                  </w:r>
                </w:p>
              </w:tc>
              <w:tc>
                <w:tcPr>
                  <w:tcW w:w="1269" w:type="dxa"/>
                </w:tcPr>
                <w:p w14:paraId="54D9C2DF" w14:textId="77777777" w:rsidR="00472C87" w:rsidRDefault="00000000">
                  <w:pPr>
                    <w:pStyle w:val="Compact"/>
                    <w:jc w:val="center"/>
                  </w:pPr>
                  <w:r>
                    <w:t>22.0</w:t>
                  </w:r>
                </w:p>
              </w:tc>
              <w:tc>
                <w:tcPr>
                  <w:tcW w:w="1521" w:type="dxa"/>
                </w:tcPr>
                <w:p w14:paraId="4115CCF0" w14:textId="77777777" w:rsidR="00472C87" w:rsidRDefault="00000000">
                  <w:pPr>
                    <w:pStyle w:val="Compact"/>
                    <w:jc w:val="center"/>
                  </w:pPr>
                  <w:r>
                    <w:t>-2.6</w:t>
                  </w:r>
                </w:p>
              </w:tc>
            </w:tr>
            <w:tr w:rsidR="00472C87" w14:paraId="106DBE87" w14:textId="77777777" w:rsidTr="00F01F7F">
              <w:tc>
                <w:tcPr>
                  <w:tcW w:w="1170" w:type="dxa"/>
                </w:tcPr>
                <w:p w14:paraId="202A1B7C" w14:textId="77777777" w:rsidR="00472C87" w:rsidRDefault="00472C87">
                  <w:pPr>
                    <w:pStyle w:val="Compact"/>
                  </w:pPr>
                </w:p>
              </w:tc>
              <w:tc>
                <w:tcPr>
                  <w:tcW w:w="1521" w:type="dxa"/>
                </w:tcPr>
                <w:p w14:paraId="0A6D2C0E" w14:textId="77777777" w:rsidR="00472C87" w:rsidRDefault="00472C87">
                  <w:pPr>
                    <w:pStyle w:val="Compact"/>
                  </w:pPr>
                </w:p>
              </w:tc>
              <w:tc>
                <w:tcPr>
                  <w:tcW w:w="936" w:type="dxa"/>
                </w:tcPr>
                <w:p w14:paraId="193FDDEB" w14:textId="77777777" w:rsidR="00472C87" w:rsidRDefault="00000000">
                  <w:pPr>
                    <w:pStyle w:val="Compact"/>
                    <w:jc w:val="center"/>
                  </w:pPr>
                  <w:r>
                    <w:t>PDEM</w:t>
                  </w:r>
                </w:p>
              </w:tc>
              <w:tc>
                <w:tcPr>
                  <w:tcW w:w="1638" w:type="dxa"/>
                </w:tcPr>
                <w:p w14:paraId="42314920" w14:textId="77777777" w:rsidR="00472C87" w:rsidRDefault="00000000">
                  <w:pPr>
                    <w:pStyle w:val="Compact"/>
                    <w:jc w:val="center"/>
                  </w:pPr>
                  <w:r>
                    <w:t>-0.19 (0.1)</w:t>
                  </w:r>
                </w:p>
              </w:tc>
              <w:tc>
                <w:tcPr>
                  <w:tcW w:w="1305" w:type="dxa"/>
                </w:tcPr>
                <w:p w14:paraId="77CF38C6" w14:textId="77777777" w:rsidR="00472C87" w:rsidRDefault="00000000">
                  <w:pPr>
                    <w:pStyle w:val="Compact"/>
                    <w:jc w:val="center"/>
                  </w:pPr>
                  <w:r>
                    <w:t>24.3</w:t>
                  </w:r>
                </w:p>
              </w:tc>
              <w:tc>
                <w:tcPr>
                  <w:tcW w:w="1269" w:type="dxa"/>
                </w:tcPr>
                <w:p w14:paraId="63C1F033" w14:textId="77777777" w:rsidR="00472C87" w:rsidRDefault="00000000">
                  <w:pPr>
                    <w:pStyle w:val="Compact"/>
                    <w:jc w:val="center"/>
                  </w:pPr>
                  <w:r>
                    <w:t>20.9</w:t>
                  </w:r>
                </w:p>
              </w:tc>
              <w:tc>
                <w:tcPr>
                  <w:tcW w:w="1521" w:type="dxa"/>
                </w:tcPr>
                <w:p w14:paraId="2228C080" w14:textId="77777777" w:rsidR="00472C87" w:rsidRDefault="00000000">
                  <w:pPr>
                    <w:pStyle w:val="Compact"/>
                    <w:jc w:val="center"/>
                  </w:pPr>
                  <w:r>
                    <w:t>-3.4</w:t>
                  </w:r>
                </w:p>
              </w:tc>
            </w:tr>
            <w:tr w:rsidR="00472C87" w14:paraId="1BD493A0" w14:textId="77777777" w:rsidTr="00F01F7F">
              <w:tc>
                <w:tcPr>
                  <w:tcW w:w="1170" w:type="dxa"/>
                </w:tcPr>
                <w:p w14:paraId="5D32F438" w14:textId="77777777" w:rsidR="00472C87" w:rsidRDefault="00472C87">
                  <w:pPr>
                    <w:pStyle w:val="Compact"/>
                  </w:pPr>
                </w:p>
              </w:tc>
              <w:tc>
                <w:tcPr>
                  <w:tcW w:w="1521" w:type="dxa"/>
                </w:tcPr>
                <w:p w14:paraId="06CFE482" w14:textId="77777777" w:rsidR="00472C87" w:rsidRDefault="00000000">
                  <w:pPr>
                    <w:pStyle w:val="Compact"/>
                    <w:jc w:val="center"/>
                  </w:pPr>
                  <w:r>
                    <w:t>HB</w:t>
                  </w:r>
                </w:p>
              </w:tc>
              <w:tc>
                <w:tcPr>
                  <w:tcW w:w="936" w:type="dxa"/>
                </w:tcPr>
                <w:p w14:paraId="707E12BC" w14:textId="77777777" w:rsidR="00472C87" w:rsidRDefault="00000000">
                  <w:pPr>
                    <w:pStyle w:val="Compact"/>
                    <w:jc w:val="center"/>
                  </w:pPr>
                  <w:r>
                    <w:t>EPC</w:t>
                  </w:r>
                </w:p>
              </w:tc>
              <w:tc>
                <w:tcPr>
                  <w:tcW w:w="1638" w:type="dxa"/>
                </w:tcPr>
                <w:p w14:paraId="2FA1A963" w14:textId="77777777" w:rsidR="00472C87" w:rsidRDefault="00000000">
                  <w:pPr>
                    <w:pStyle w:val="Compact"/>
                    <w:jc w:val="center"/>
                  </w:pPr>
                  <w:r>
                    <w:t>-0.19 (0.08)</w:t>
                  </w:r>
                </w:p>
              </w:tc>
              <w:tc>
                <w:tcPr>
                  <w:tcW w:w="1305" w:type="dxa"/>
                </w:tcPr>
                <w:p w14:paraId="67EC14CD" w14:textId="77777777" w:rsidR="00472C87" w:rsidRDefault="00000000">
                  <w:pPr>
                    <w:pStyle w:val="Compact"/>
                    <w:jc w:val="center"/>
                  </w:pPr>
                  <w:r>
                    <w:t>26.5</w:t>
                  </w:r>
                </w:p>
              </w:tc>
              <w:tc>
                <w:tcPr>
                  <w:tcW w:w="1269" w:type="dxa"/>
                </w:tcPr>
                <w:p w14:paraId="66E6F481" w14:textId="77777777" w:rsidR="00472C87" w:rsidRDefault="00000000">
                  <w:pPr>
                    <w:pStyle w:val="Compact"/>
                    <w:jc w:val="center"/>
                  </w:pPr>
                  <w:r>
                    <w:t>23.1</w:t>
                  </w:r>
                </w:p>
              </w:tc>
              <w:tc>
                <w:tcPr>
                  <w:tcW w:w="1521" w:type="dxa"/>
                </w:tcPr>
                <w:p w14:paraId="453EF89E" w14:textId="77777777" w:rsidR="00472C87" w:rsidRDefault="00000000">
                  <w:pPr>
                    <w:pStyle w:val="Compact"/>
                    <w:jc w:val="center"/>
                  </w:pPr>
                  <w:r>
                    <w:t>-3.4</w:t>
                  </w:r>
                </w:p>
              </w:tc>
            </w:tr>
            <w:tr w:rsidR="00472C87" w14:paraId="54143F33" w14:textId="77777777" w:rsidTr="00F01F7F">
              <w:tc>
                <w:tcPr>
                  <w:tcW w:w="1170" w:type="dxa"/>
                </w:tcPr>
                <w:p w14:paraId="45302CE1" w14:textId="77777777" w:rsidR="00472C87" w:rsidRDefault="00472C87">
                  <w:pPr>
                    <w:pStyle w:val="Compact"/>
                  </w:pPr>
                </w:p>
              </w:tc>
              <w:tc>
                <w:tcPr>
                  <w:tcW w:w="1521" w:type="dxa"/>
                </w:tcPr>
                <w:p w14:paraId="64367FB7" w14:textId="77777777" w:rsidR="00472C87" w:rsidRDefault="00472C87">
                  <w:pPr>
                    <w:pStyle w:val="Compact"/>
                  </w:pPr>
                </w:p>
              </w:tc>
              <w:tc>
                <w:tcPr>
                  <w:tcW w:w="936" w:type="dxa"/>
                </w:tcPr>
                <w:p w14:paraId="19CE705E" w14:textId="77777777" w:rsidR="00472C87" w:rsidRDefault="00000000">
                  <w:pPr>
                    <w:pStyle w:val="Compact"/>
                    <w:jc w:val="center"/>
                  </w:pPr>
                  <w:r>
                    <w:t>FIM</w:t>
                  </w:r>
                </w:p>
              </w:tc>
              <w:tc>
                <w:tcPr>
                  <w:tcW w:w="1638" w:type="dxa"/>
                </w:tcPr>
                <w:p w14:paraId="1FB9744E" w14:textId="77777777" w:rsidR="00472C87" w:rsidRDefault="00000000">
                  <w:pPr>
                    <w:pStyle w:val="Compact"/>
                    <w:jc w:val="center"/>
                  </w:pPr>
                  <w:r>
                    <w:t>-0.08 (0.1)</w:t>
                  </w:r>
                </w:p>
              </w:tc>
              <w:tc>
                <w:tcPr>
                  <w:tcW w:w="1305" w:type="dxa"/>
                </w:tcPr>
                <w:p w14:paraId="28AFA9FB" w14:textId="77777777" w:rsidR="00472C87" w:rsidRDefault="00000000">
                  <w:pPr>
                    <w:pStyle w:val="Compact"/>
                    <w:jc w:val="center"/>
                  </w:pPr>
                  <w:r>
                    <w:t>24.7</w:t>
                  </w:r>
                </w:p>
              </w:tc>
              <w:tc>
                <w:tcPr>
                  <w:tcW w:w="1269" w:type="dxa"/>
                </w:tcPr>
                <w:p w14:paraId="7618CD42" w14:textId="77777777" w:rsidR="00472C87" w:rsidRDefault="00000000">
                  <w:pPr>
                    <w:pStyle w:val="Compact"/>
                    <w:jc w:val="center"/>
                  </w:pPr>
                  <w:r>
                    <w:t>23.4</w:t>
                  </w:r>
                </w:p>
              </w:tc>
              <w:tc>
                <w:tcPr>
                  <w:tcW w:w="1521" w:type="dxa"/>
                </w:tcPr>
                <w:p w14:paraId="30875D54" w14:textId="77777777" w:rsidR="00472C87" w:rsidRDefault="00000000">
                  <w:pPr>
                    <w:pStyle w:val="Compact"/>
                    <w:jc w:val="center"/>
                  </w:pPr>
                  <w:r>
                    <w:t>-1.3</w:t>
                  </w:r>
                </w:p>
              </w:tc>
            </w:tr>
            <w:tr w:rsidR="00472C87" w14:paraId="4E5A519F" w14:textId="77777777" w:rsidTr="00F01F7F">
              <w:tc>
                <w:tcPr>
                  <w:tcW w:w="1170" w:type="dxa"/>
                </w:tcPr>
                <w:p w14:paraId="27C95FA5" w14:textId="77777777" w:rsidR="00472C87" w:rsidRDefault="00472C87">
                  <w:pPr>
                    <w:pStyle w:val="Compact"/>
                  </w:pPr>
                </w:p>
              </w:tc>
              <w:tc>
                <w:tcPr>
                  <w:tcW w:w="1521" w:type="dxa"/>
                </w:tcPr>
                <w:p w14:paraId="736707CB" w14:textId="77777777" w:rsidR="00472C87" w:rsidRDefault="00000000">
                  <w:pPr>
                    <w:pStyle w:val="Compact"/>
                    <w:jc w:val="center"/>
                  </w:pPr>
                  <w:r>
                    <w:t>MTB</w:t>
                  </w:r>
                </w:p>
              </w:tc>
              <w:tc>
                <w:tcPr>
                  <w:tcW w:w="936" w:type="dxa"/>
                </w:tcPr>
                <w:p w14:paraId="52A2E231" w14:textId="77777777" w:rsidR="00472C87" w:rsidRDefault="00000000">
                  <w:pPr>
                    <w:pStyle w:val="Compact"/>
                    <w:jc w:val="center"/>
                  </w:pPr>
                  <w:r>
                    <w:t>EPC</w:t>
                  </w:r>
                </w:p>
              </w:tc>
              <w:tc>
                <w:tcPr>
                  <w:tcW w:w="1638" w:type="dxa"/>
                </w:tcPr>
                <w:p w14:paraId="4DCC5DEC" w14:textId="77777777" w:rsidR="00472C87" w:rsidRDefault="00000000">
                  <w:pPr>
                    <w:pStyle w:val="Compact"/>
                    <w:jc w:val="center"/>
                  </w:pPr>
                  <w:r>
                    <w:t>-0.17 (0.07)</w:t>
                  </w:r>
                </w:p>
              </w:tc>
              <w:tc>
                <w:tcPr>
                  <w:tcW w:w="1305" w:type="dxa"/>
                </w:tcPr>
                <w:p w14:paraId="343C04B2" w14:textId="77777777" w:rsidR="00472C87" w:rsidRDefault="00000000">
                  <w:pPr>
                    <w:pStyle w:val="Compact"/>
                    <w:jc w:val="center"/>
                  </w:pPr>
                  <w:r>
                    <w:t>28.6</w:t>
                  </w:r>
                </w:p>
              </w:tc>
              <w:tc>
                <w:tcPr>
                  <w:tcW w:w="1269" w:type="dxa"/>
                </w:tcPr>
                <w:p w14:paraId="7D8CF1F5" w14:textId="77777777" w:rsidR="00472C87" w:rsidRDefault="00000000">
                  <w:pPr>
                    <w:pStyle w:val="Compact"/>
                    <w:jc w:val="center"/>
                  </w:pPr>
                  <w:r>
                    <w:t>25.6</w:t>
                  </w:r>
                </w:p>
              </w:tc>
              <w:tc>
                <w:tcPr>
                  <w:tcW w:w="1521" w:type="dxa"/>
                </w:tcPr>
                <w:p w14:paraId="232B4748" w14:textId="77777777" w:rsidR="00472C87" w:rsidRDefault="00000000">
                  <w:pPr>
                    <w:pStyle w:val="Compact"/>
                    <w:jc w:val="center"/>
                  </w:pPr>
                  <w:r>
                    <w:t>-3.0</w:t>
                  </w:r>
                </w:p>
              </w:tc>
            </w:tr>
            <w:tr w:rsidR="00472C87" w14:paraId="745F1CF3" w14:textId="77777777" w:rsidTr="00F01F7F">
              <w:tc>
                <w:tcPr>
                  <w:tcW w:w="1170" w:type="dxa"/>
                </w:tcPr>
                <w:p w14:paraId="79FA3100" w14:textId="77777777" w:rsidR="00472C87" w:rsidRDefault="00472C87">
                  <w:pPr>
                    <w:pStyle w:val="Compact"/>
                  </w:pPr>
                </w:p>
              </w:tc>
              <w:tc>
                <w:tcPr>
                  <w:tcW w:w="1521" w:type="dxa"/>
                </w:tcPr>
                <w:p w14:paraId="0E36D0F4" w14:textId="77777777" w:rsidR="00472C87" w:rsidRDefault="00472C87">
                  <w:pPr>
                    <w:pStyle w:val="Compact"/>
                  </w:pPr>
                </w:p>
              </w:tc>
              <w:tc>
                <w:tcPr>
                  <w:tcW w:w="936" w:type="dxa"/>
                </w:tcPr>
                <w:p w14:paraId="67FACF2B" w14:textId="77777777" w:rsidR="00472C87" w:rsidRDefault="00000000">
                  <w:pPr>
                    <w:pStyle w:val="Compact"/>
                    <w:jc w:val="center"/>
                  </w:pPr>
                  <w:r>
                    <w:t>FIM</w:t>
                  </w:r>
                </w:p>
              </w:tc>
              <w:tc>
                <w:tcPr>
                  <w:tcW w:w="1638" w:type="dxa"/>
                </w:tcPr>
                <w:p w14:paraId="1BEA9D1C" w14:textId="77777777" w:rsidR="00472C87" w:rsidRDefault="00000000">
                  <w:pPr>
                    <w:pStyle w:val="Compact"/>
                    <w:jc w:val="center"/>
                  </w:pPr>
                  <w:r>
                    <w:t>-0.11 (0.08)</w:t>
                  </w:r>
                </w:p>
              </w:tc>
              <w:tc>
                <w:tcPr>
                  <w:tcW w:w="1305" w:type="dxa"/>
                </w:tcPr>
                <w:p w14:paraId="1299F1A6" w14:textId="77777777" w:rsidR="00472C87" w:rsidRDefault="00000000">
                  <w:pPr>
                    <w:pStyle w:val="Compact"/>
                    <w:jc w:val="center"/>
                  </w:pPr>
                  <w:r>
                    <w:t>27.2</w:t>
                  </w:r>
                </w:p>
              </w:tc>
              <w:tc>
                <w:tcPr>
                  <w:tcW w:w="1269" w:type="dxa"/>
                </w:tcPr>
                <w:p w14:paraId="36D822CE" w14:textId="77777777" w:rsidR="00472C87" w:rsidRDefault="00000000">
                  <w:pPr>
                    <w:pStyle w:val="Compact"/>
                    <w:jc w:val="center"/>
                  </w:pPr>
                  <w:r>
                    <w:t>25.3</w:t>
                  </w:r>
                </w:p>
              </w:tc>
              <w:tc>
                <w:tcPr>
                  <w:tcW w:w="1521" w:type="dxa"/>
                </w:tcPr>
                <w:p w14:paraId="1CBC06D7" w14:textId="77777777" w:rsidR="00472C87" w:rsidRDefault="00000000">
                  <w:pPr>
                    <w:pStyle w:val="Compact"/>
                    <w:jc w:val="center"/>
                  </w:pPr>
                  <w:r>
                    <w:t>-1.9</w:t>
                  </w:r>
                </w:p>
              </w:tc>
            </w:tr>
            <w:tr w:rsidR="00472C87" w14:paraId="455264FD" w14:textId="77777777" w:rsidTr="00F01F7F">
              <w:tc>
                <w:tcPr>
                  <w:tcW w:w="1170" w:type="dxa"/>
                </w:tcPr>
                <w:p w14:paraId="7FE694FA" w14:textId="77777777" w:rsidR="00472C87" w:rsidRDefault="00472C87">
                  <w:pPr>
                    <w:pStyle w:val="Compact"/>
                  </w:pPr>
                </w:p>
              </w:tc>
              <w:tc>
                <w:tcPr>
                  <w:tcW w:w="1521" w:type="dxa"/>
                </w:tcPr>
                <w:p w14:paraId="4BEE4104" w14:textId="77777777" w:rsidR="00472C87" w:rsidRDefault="00000000">
                  <w:pPr>
                    <w:pStyle w:val="Compact"/>
                    <w:jc w:val="center"/>
                  </w:pPr>
                  <w:r>
                    <w:t>LTB</w:t>
                  </w:r>
                </w:p>
              </w:tc>
              <w:tc>
                <w:tcPr>
                  <w:tcW w:w="936" w:type="dxa"/>
                </w:tcPr>
                <w:p w14:paraId="0E411C95" w14:textId="77777777" w:rsidR="00472C87" w:rsidRDefault="00000000">
                  <w:pPr>
                    <w:pStyle w:val="Compact"/>
                    <w:jc w:val="center"/>
                  </w:pPr>
                  <w:r>
                    <w:t>EPC</w:t>
                  </w:r>
                </w:p>
              </w:tc>
              <w:tc>
                <w:tcPr>
                  <w:tcW w:w="1638" w:type="dxa"/>
                </w:tcPr>
                <w:p w14:paraId="72F249B5" w14:textId="77777777" w:rsidR="00472C87" w:rsidRDefault="00000000">
                  <w:pPr>
                    <w:pStyle w:val="Compact"/>
                    <w:jc w:val="center"/>
                  </w:pPr>
                  <w:r>
                    <w:t>-0.12 (0.04)</w:t>
                  </w:r>
                </w:p>
              </w:tc>
              <w:tc>
                <w:tcPr>
                  <w:tcW w:w="1305" w:type="dxa"/>
                </w:tcPr>
                <w:p w14:paraId="54028CD4" w14:textId="77777777" w:rsidR="00472C87" w:rsidRDefault="00000000">
                  <w:pPr>
                    <w:pStyle w:val="Compact"/>
                    <w:jc w:val="center"/>
                  </w:pPr>
                  <w:r>
                    <w:t>33.0</w:t>
                  </w:r>
                </w:p>
              </w:tc>
              <w:tc>
                <w:tcPr>
                  <w:tcW w:w="1269" w:type="dxa"/>
                </w:tcPr>
                <w:p w14:paraId="00E18666" w14:textId="77777777" w:rsidR="00472C87" w:rsidRDefault="00000000">
                  <w:pPr>
                    <w:pStyle w:val="Compact"/>
                    <w:jc w:val="center"/>
                  </w:pPr>
                  <w:r>
                    <w:t>30.9</w:t>
                  </w:r>
                </w:p>
              </w:tc>
              <w:tc>
                <w:tcPr>
                  <w:tcW w:w="1521" w:type="dxa"/>
                </w:tcPr>
                <w:p w14:paraId="66EDA150" w14:textId="77777777" w:rsidR="00472C87" w:rsidRDefault="00000000">
                  <w:pPr>
                    <w:pStyle w:val="Compact"/>
                    <w:jc w:val="center"/>
                  </w:pPr>
                  <w:r>
                    <w:t>-2.1</w:t>
                  </w:r>
                </w:p>
              </w:tc>
            </w:tr>
            <w:tr w:rsidR="00472C87" w14:paraId="310673D8" w14:textId="77777777" w:rsidTr="00F01F7F">
              <w:trPr>
                <w:trHeight w:val="288"/>
              </w:trPr>
              <w:tc>
                <w:tcPr>
                  <w:tcW w:w="1170" w:type="dxa"/>
                  <w:tcBorders>
                    <w:bottom w:val="single" w:sz="4" w:space="0" w:color="auto"/>
                  </w:tcBorders>
                </w:tcPr>
                <w:p w14:paraId="04F90492" w14:textId="77777777" w:rsidR="00472C87" w:rsidRDefault="00472C87">
                  <w:pPr>
                    <w:pStyle w:val="Compact"/>
                  </w:pPr>
                </w:p>
              </w:tc>
              <w:tc>
                <w:tcPr>
                  <w:tcW w:w="1521" w:type="dxa"/>
                  <w:tcBorders>
                    <w:bottom w:val="single" w:sz="4" w:space="0" w:color="auto"/>
                  </w:tcBorders>
                </w:tcPr>
                <w:p w14:paraId="60311387" w14:textId="77777777" w:rsidR="00472C87" w:rsidRDefault="00472C87">
                  <w:pPr>
                    <w:pStyle w:val="Compact"/>
                  </w:pPr>
                </w:p>
              </w:tc>
              <w:tc>
                <w:tcPr>
                  <w:tcW w:w="936" w:type="dxa"/>
                  <w:tcBorders>
                    <w:bottom w:val="single" w:sz="4" w:space="0" w:color="auto"/>
                  </w:tcBorders>
                </w:tcPr>
                <w:p w14:paraId="55C70E9D" w14:textId="77777777" w:rsidR="00472C87" w:rsidRDefault="00000000">
                  <w:pPr>
                    <w:pStyle w:val="Compact"/>
                    <w:jc w:val="center"/>
                  </w:pPr>
                  <w:r>
                    <w:t>FIM</w:t>
                  </w:r>
                </w:p>
              </w:tc>
              <w:tc>
                <w:tcPr>
                  <w:tcW w:w="1638" w:type="dxa"/>
                  <w:tcBorders>
                    <w:bottom w:val="single" w:sz="4" w:space="0" w:color="auto"/>
                  </w:tcBorders>
                </w:tcPr>
                <w:p w14:paraId="50887E71" w14:textId="77777777" w:rsidR="00472C87" w:rsidRDefault="00000000">
                  <w:pPr>
                    <w:pStyle w:val="Compact"/>
                    <w:jc w:val="center"/>
                  </w:pPr>
                  <w:r>
                    <w:t>-0.05 (0.05)</w:t>
                  </w:r>
                </w:p>
              </w:tc>
              <w:tc>
                <w:tcPr>
                  <w:tcW w:w="1305" w:type="dxa"/>
                  <w:tcBorders>
                    <w:bottom w:val="single" w:sz="4" w:space="0" w:color="auto"/>
                  </w:tcBorders>
                </w:tcPr>
                <w:p w14:paraId="1F6793FD" w14:textId="77777777" w:rsidR="00472C87" w:rsidRDefault="00000000">
                  <w:pPr>
                    <w:pStyle w:val="Compact"/>
                    <w:jc w:val="center"/>
                  </w:pPr>
                  <w:r>
                    <w:t>32.5</w:t>
                  </w:r>
                </w:p>
              </w:tc>
              <w:tc>
                <w:tcPr>
                  <w:tcW w:w="1269" w:type="dxa"/>
                  <w:tcBorders>
                    <w:bottom w:val="single" w:sz="4" w:space="0" w:color="auto"/>
                  </w:tcBorders>
                </w:tcPr>
                <w:p w14:paraId="63A509B4" w14:textId="77777777" w:rsidR="00472C87" w:rsidRDefault="00000000">
                  <w:pPr>
                    <w:pStyle w:val="Compact"/>
                    <w:jc w:val="center"/>
                  </w:pPr>
                  <w:r>
                    <w:t>31.5</w:t>
                  </w:r>
                </w:p>
              </w:tc>
              <w:tc>
                <w:tcPr>
                  <w:tcW w:w="1521" w:type="dxa"/>
                  <w:tcBorders>
                    <w:bottom w:val="single" w:sz="4" w:space="0" w:color="auto"/>
                  </w:tcBorders>
                </w:tcPr>
                <w:p w14:paraId="4D723274" w14:textId="77777777" w:rsidR="00472C87" w:rsidRDefault="00000000">
                  <w:pPr>
                    <w:pStyle w:val="Compact"/>
                    <w:jc w:val="center"/>
                  </w:pPr>
                  <w:r>
                    <w:t>-1.0</w:t>
                  </w:r>
                </w:p>
              </w:tc>
            </w:tr>
            <w:bookmarkEnd w:id="32"/>
          </w:tbl>
          <w:p w14:paraId="5F96E7EE" w14:textId="77777777" w:rsidR="00472C87" w:rsidRDefault="00472C87"/>
        </w:tc>
      </w:tr>
    </w:tbl>
    <w:p w14:paraId="7F004703" w14:textId="77777777" w:rsidR="00472C87" w:rsidRDefault="00000000">
      <w:r>
        <w:br w:type="page"/>
      </w:r>
    </w:p>
    <w:tbl>
      <w:tblPr>
        <w:tblW w:w="5000" w:type="pct"/>
        <w:tblLayout w:type="fixed"/>
        <w:tblLook w:val="0000" w:firstRow="0" w:lastRow="0" w:firstColumn="0" w:lastColumn="0" w:noHBand="0" w:noVBand="0"/>
      </w:tblPr>
      <w:tblGrid>
        <w:gridCol w:w="9576"/>
      </w:tblGrid>
      <w:tr w:rsidR="00472C87" w14:paraId="14E3A48F" w14:textId="77777777">
        <w:tc>
          <w:tcPr>
            <w:tcW w:w="7920" w:type="dxa"/>
          </w:tcPr>
          <w:p w14:paraId="48B130E1" w14:textId="77777777" w:rsidR="00472C87" w:rsidRDefault="00000000">
            <w:pPr>
              <w:pStyle w:val="ImageCaption"/>
              <w:spacing w:before="200"/>
            </w:pPr>
            <w:bookmarkStart w:id="33" w:name="tbl-mixdaytab"/>
            <w:r>
              <w:lastRenderedPageBreak/>
              <w:t xml:space="preserve">Table 4: Summary of mixed-effects models evaluating increases in the number of days each year from 1975 to 2022 when temperature was above 30 </w:t>
            </w:r>
            <m:oMath>
              <m:sSup>
                <m:sSupPr>
                  <m:ctrlPr>
                    <w:rPr>
                      <w:rFonts w:ascii="Cambria Math" w:hAnsi="Cambria Math"/>
                    </w:rPr>
                  </m:ctrlPr>
                </m:sSupPr>
                <m:e>
                  <m:r>
                    <w:rPr>
                      <w:rFonts w:ascii="Cambria Math" w:hAnsi="Cambria Math"/>
                    </w:rPr>
                    <m:t>​</m:t>
                  </m:r>
                </m:e>
                <m:sup>
                  <m:r>
                    <w:rPr>
                      <w:rFonts w:ascii="Cambria Math" w:hAnsi="Cambria Math"/>
                    </w:rPr>
                    <m:t>∘</m:t>
                  </m:r>
                </m:sup>
              </m:sSup>
            </m:oMath>
            <w:r>
              <w:t>C,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W w:w="0" w:type="auto"/>
              <w:tblLayout w:type="fixed"/>
              <w:tblLook w:val="0020" w:firstRow="1" w:lastRow="0" w:firstColumn="0" w:lastColumn="0" w:noHBand="0" w:noVBand="0"/>
            </w:tblPr>
            <w:tblGrid>
              <w:gridCol w:w="1584"/>
              <w:gridCol w:w="2106"/>
              <w:gridCol w:w="1062"/>
              <w:gridCol w:w="1584"/>
              <w:gridCol w:w="1584"/>
            </w:tblGrid>
            <w:tr w:rsidR="00472C87" w14:paraId="5933B1EC" w14:textId="77777777" w:rsidTr="00F01F7F">
              <w:trPr>
                <w:tblHeader/>
              </w:trPr>
              <w:tc>
                <w:tcPr>
                  <w:tcW w:w="1584" w:type="dxa"/>
                  <w:tcBorders>
                    <w:top w:val="single" w:sz="4" w:space="0" w:color="auto"/>
                    <w:bottom w:val="single" w:sz="4" w:space="0" w:color="auto"/>
                  </w:tcBorders>
                </w:tcPr>
                <w:p w14:paraId="50AD0C11" w14:textId="77777777" w:rsidR="00472C87" w:rsidRDefault="00000000">
                  <w:pPr>
                    <w:pStyle w:val="Compact"/>
                    <w:jc w:val="center"/>
                  </w:pPr>
                  <w:r>
                    <w:t>Bay Segment</w:t>
                  </w:r>
                </w:p>
              </w:tc>
              <w:tc>
                <w:tcPr>
                  <w:tcW w:w="2106" w:type="dxa"/>
                  <w:tcBorders>
                    <w:top w:val="single" w:sz="4" w:space="0" w:color="auto"/>
                    <w:bottom w:val="single" w:sz="4" w:space="0" w:color="auto"/>
                  </w:tcBorders>
                </w:tcPr>
                <w:p w14:paraId="19B4CA56" w14:textId="77777777" w:rsidR="00472C87" w:rsidRDefault="00000000">
                  <w:pPr>
                    <w:pStyle w:val="Compact"/>
                    <w:jc w:val="center"/>
                  </w:pPr>
                  <w:r>
                    <w:t>Threshold</w:t>
                  </w:r>
                </w:p>
              </w:tc>
              <w:tc>
                <w:tcPr>
                  <w:tcW w:w="1062" w:type="dxa"/>
                  <w:tcBorders>
                    <w:top w:val="single" w:sz="4" w:space="0" w:color="auto"/>
                    <w:bottom w:val="single" w:sz="4" w:space="0" w:color="auto"/>
                  </w:tcBorders>
                </w:tcPr>
                <w:p w14:paraId="47C2F6C5" w14:textId="77777777" w:rsidR="00472C87" w:rsidRDefault="00000000">
                  <w:pPr>
                    <w:pStyle w:val="Compact"/>
                    <w:jc w:val="center"/>
                  </w:pPr>
                  <w:r>
                    <w:t>Slope</w:t>
                  </w:r>
                </w:p>
              </w:tc>
              <w:tc>
                <w:tcPr>
                  <w:tcW w:w="1584" w:type="dxa"/>
                  <w:tcBorders>
                    <w:top w:val="single" w:sz="4" w:space="0" w:color="auto"/>
                    <w:bottom w:val="single" w:sz="4" w:space="0" w:color="auto"/>
                  </w:tcBorders>
                </w:tcPr>
                <w:p w14:paraId="1D81BFE1" w14:textId="77777777" w:rsidR="00472C87" w:rsidRDefault="00000000">
                  <w:pPr>
                    <w:pStyle w:val="Compact"/>
                    <w:jc w:val="center"/>
                  </w:pPr>
                  <w:r>
                    <w:t>Start</w:t>
                  </w:r>
                </w:p>
              </w:tc>
              <w:tc>
                <w:tcPr>
                  <w:tcW w:w="1584" w:type="dxa"/>
                  <w:tcBorders>
                    <w:top w:val="single" w:sz="4" w:space="0" w:color="auto"/>
                    <w:bottom w:val="single" w:sz="4" w:space="0" w:color="auto"/>
                  </w:tcBorders>
                </w:tcPr>
                <w:p w14:paraId="15AAEC30" w14:textId="77777777" w:rsidR="00472C87" w:rsidRDefault="00000000">
                  <w:pPr>
                    <w:pStyle w:val="Compact"/>
                    <w:jc w:val="center"/>
                  </w:pPr>
                  <w:r>
                    <w:t>End</w:t>
                  </w:r>
                </w:p>
              </w:tc>
            </w:tr>
            <w:tr w:rsidR="00472C87" w14:paraId="099A01E7" w14:textId="77777777" w:rsidTr="00F01F7F">
              <w:tc>
                <w:tcPr>
                  <w:tcW w:w="1584" w:type="dxa"/>
                  <w:tcBorders>
                    <w:top w:val="single" w:sz="4" w:space="0" w:color="auto"/>
                  </w:tcBorders>
                </w:tcPr>
                <w:p w14:paraId="2F3D8553" w14:textId="77777777" w:rsidR="00472C87" w:rsidRDefault="00000000">
                  <w:pPr>
                    <w:pStyle w:val="Compact"/>
                    <w:jc w:val="center"/>
                  </w:pPr>
                  <w:r>
                    <w:t>OTB</w:t>
                  </w:r>
                </w:p>
              </w:tc>
              <w:tc>
                <w:tcPr>
                  <w:tcW w:w="2106" w:type="dxa"/>
                  <w:tcBorders>
                    <w:top w:val="single" w:sz="4" w:space="0" w:color="auto"/>
                  </w:tcBorders>
                </w:tcPr>
                <w:p w14:paraId="66308BC7" w14:textId="77777777" w:rsidR="00472C87" w:rsidRDefault="00000000">
                  <w:pPr>
                    <w:pStyle w:val="Compact"/>
                    <w:jc w:val="center"/>
                  </w:pPr>
                  <w:r>
                    <w:t>Temperature &gt; 30</w:t>
                  </w:r>
                </w:p>
              </w:tc>
              <w:tc>
                <w:tcPr>
                  <w:tcW w:w="1062" w:type="dxa"/>
                  <w:tcBorders>
                    <w:top w:val="single" w:sz="4" w:space="0" w:color="auto"/>
                  </w:tcBorders>
                </w:tcPr>
                <w:p w14:paraId="6F6F4E32" w14:textId="77777777" w:rsidR="00472C87" w:rsidRDefault="00000000">
                  <w:pPr>
                    <w:pStyle w:val="Compact"/>
                    <w:jc w:val="center"/>
                  </w:pPr>
                  <w:r>
                    <w:t>1.05</w:t>
                  </w:r>
                </w:p>
              </w:tc>
              <w:tc>
                <w:tcPr>
                  <w:tcW w:w="1584" w:type="dxa"/>
                  <w:tcBorders>
                    <w:top w:val="single" w:sz="4" w:space="0" w:color="auto"/>
                  </w:tcBorders>
                </w:tcPr>
                <w:p w14:paraId="1C17CC80" w14:textId="77777777" w:rsidR="00472C87" w:rsidRDefault="00000000">
                  <w:pPr>
                    <w:pStyle w:val="Compact"/>
                    <w:jc w:val="center"/>
                  </w:pPr>
                  <w:r>
                    <w:t>7 (3.3)</w:t>
                  </w:r>
                </w:p>
              </w:tc>
              <w:tc>
                <w:tcPr>
                  <w:tcW w:w="1584" w:type="dxa"/>
                  <w:tcBorders>
                    <w:top w:val="single" w:sz="4" w:space="0" w:color="auto"/>
                  </w:tcBorders>
                </w:tcPr>
                <w:p w14:paraId="580D198C" w14:textId="77777777" w:rsidR="00472C87" w:rsidRDefault="00000000">
                  <w:pPr>
                    <w:pStyle w:val="Compact"/>
                    <w:jc w:val="center"/>
                  </w:pPr>
                  <w:r>
                    <w:t>57 (3.2)</w:t>
                  </w:r>
                </w:p>
              </w:tc>
            </w:tr>
            <w:tr w:rsidR="00472C87" w14:paraId="71330660" w14:textId="77777777" w:rsidTr="00F01F7F">
              <w:tc>
                <w:tcPr>
                  <w:tcW w:w="1584" w:type="dxa"/>
                </w:tcPr>
                <w:p w14:paraId="7447BFED" w14:textId="77777777" w:rsidR="00472C87" w:rsidRDefault="00472C87">
                  <w:pPr>
                    <w:pStyle w:val="Compact"/>
                  </w:pPr>
                </w:p>
              </w:tc>
              <w:tc>
                <w:tcPr>
                  <w:tcW w:w="2106" w:type="dxa"/>
                </w:tcPr>
                <w:p w14:paraId="7F9ACC19" w14:textId="77777777" w:rsidR="00472C87" w:rsidRDefault="00000000">
                  <w:pPr>
                    <w:pStyle w:val="Compact"/>
                    <w:jc w:val="center"/>
                  </w:pPr>
                  <w:r>
                    <w:t>Salinity &lt; 25</w:t>
                  </w:r>
                </w:p>
              </w:tc>
              <w:tc>
                <w:tcPr>
                  <w:tcW w:w="1062" w:type="dxa"/>
                </w:tcPr>
                <w:p w14:paraId="7094D596" w14:textId="77777777" w:rsidR="00472C87" w:rsidRDefault="00000000">
                  <w:pPr>
                    <w:pStyle w:val="Compact"/>
                    <w:jc w:val="center"/>
                  </w:pPr>
                  <w:r>
                    <w:t>1.83</w:t>
                  </w:r>
                </w:p>
              </w:tc>
              <w:tc>
                <w:tcPr>
                  <w:tcW w:w="1584" w:type="dxa"/>
                </w:tcPr>
                <w:p w14:paraId="18D2DB19" w14:textId="77777777" w:rsidR="00472C87" w:rsidRDefault="00000000">
                  <w:pPr>
                    <w:pStyle w:val="Compact"/>
                    <w:jc w:val="center"/>
                  </w:pPr>
                  <w:r>
                    <w:t>130 (13)</w:t>
                  </w:r>
                </w:p>
              </w:tc>
              <w:tc>
                <w:tcPr>
                  <w:tcW w:w="1584" w:type="dxa"/>
                </w:tcPr>
                <w:p w14:paraId="6C2C0E71" w14:textId="77777777" w:rsidR="00472C87" w:rsidRDefault="00000000">
                  <w:pPr>
                    <w:pStyle w:val="Compact"/>
                    <w:jc w:val="center"/>
                  </w:pPr>
                  <w:r>
                    <w:t>216 (13)</w:t>
                  </w:r>
                </w:p>
              </w:tc>
            </w:tr>
            <w:tr w:rsidR="00472C87" w14:paraId="027CFB19" w14:textId="77777777" w:rsidTr="00F01F7F">
              <w:tc>
                <w:tcPr>
                  <w:tcW w:w="1584" w:type="dxa"/>
                </w:tcPr>
                <w:p w14:paraId="4D887E7F" w14:textId="77777777" w:rsidR="00472C87" w:rsidRDefault="00472C87">
                  <w:pPr>
                    <w:pStyle w:val="Compact"/>
                  </w:pPr>
                </w:p>
              </w:tc>
              <w:tc>
                <w:tcPr>
                  <w:tcW w:w="2106" w:type="dxa"/>
                </w:tcPr>
                <w:p w14:paraId="08699E17" w14:textId="77777777" w:rsidR="00472C87" w:rsidRDefault="00000000">
                  <w:pPr>
                    <w:pStyle w:val="Compact"/>
                    <w:jc w:val="center"/>
                  </w:pPr>
                  <w:r>
                    <w:t>Both</w:t>
                  </w:r>
                </w:p>
              </w:tc>
              <w:tc>
                <w:tcPr>
                  <w:tcW w:w="1062" w:type="dxa"/>
                </w:tcPr>
                <w:p w14:paraId="56E28490" w14:textId="77777777" w:rsidR="00472C87" w:rsidRDefault="00000000">
                  <w:pPr>
                    <w:pStyle w:val="Compact"/>
                    <w:jc w:val="center"/>
                  </w:pPr>
                  <w:r>
                    <w:t>0.81</w:t>
                  </w:r>
                </w:p>
              </w:tc>
              <w:tc>
                <w:tcPr>
                  <w:tcW w:w="1584" w:type="dxa"/>
                </w:tcPr>
                <w:p w14:paraId="4B046898" w14:textId="77777777" w:rsidR="00472C87" w:rsidRDefault="00000000">
                  <w:pPr>
                    <w:pStyle w:val="Compact"/>
                    <w:jc w:val="center"/>
                  </w:pPr>
                  <w:r>
                    <w:t>-1 (2.7)</w:t>
                  </w:r>
                </w:p>
              </w:tc>
              <w:tc>
                <w:tcPr>
                  <w:tcW w:w="1584" w:type="dxa"/>
                </w:tcPr>
                <w:p w14:paraId="032D78B9" w14:textId="77777777" w:rsidR="00472C87" w:rsidRDefault="00000000">
                  <w:pPr>
                    <w:pStyle w:val="Compact"/>
                    <w:jc w:val="center"/>
                  </w:pPr>
                  <w:r>
                    <w:t>37 (2.7)</w:t>
                  </w:r>
                </w:p>
              </w:tc>
            </w:tr>
            <w:tr w:rsidR="00472C87" w14:paraId="657FDCCB" w14:textId="77777777" w:rsidTr="00F01F7F">
              <w:tc>
                <w:tcPr>
                  <w:tcW w:w="1584" w:type="dxa"/>
                </w:tcPr>
                <w:p w14:paraId="0FB98FCE" w14:textId="77777777" w:rsidR="00472C87" w:rsidRDefault="00000000">
                  <w:pPr>
                    <w:pStyle w:val="Compact"/>
                    <w:jc w:val="center"/>
                  </w:pPr>
                  <w:r>
                    <w:t>HB</w:t>
                  </w:r>
                </w:p>
              </w:tc>
              <w:tc>
                <w:tcPr>
                  <w:tcW w:w="2106" w:type="dxa"/>
                </w:tcPr>
                <w:p w14:paraId="5CCE9245" w14:textId="77777777" w:rsidR="00472C87" w:rsidRDefault="00000000">
                  <w:pPr>
                    <w:pStyle w:val="Compact"/>
                    <w:jc w:val="center"/>
                  </w:pPr>
                  <w:r>
                    <w:t>Temperature &gt; 30</w:t>
                  </w:r>
                </w:p>
              </w:tc>
              <w:tc>
                <w:tcPr>
                  <w:tcW w:w="1062" w:type="dxa"/>
                </w:tcPr>
                <w:p w14:paraId="7BCE3B5F" w14:textId="77777777" w:rsidR="00472C87" w:rsidRDefault="00000000">
                  <w:pPr>
                    <w:pStyle w:val="Compact"/>
                    <w:jc w:val="center"/>
                  </w:pPr>
                  <w:r>
                    <w:t>0.99</w:t>
                  </w:r>
                </w:p>
              </w:tc>
              <w:tc>
                <w:tcPr>
                  <w:tcW w:w="1584" w:type="dxa"/>
                </w:tcPr>
                <w:p w14:paraId="31C89F21" w14:textId="77777777" w:rsidR="00472C87" w:rsidRDefault="00000000">
                  <w:pPr>
                    <w:pStyle w:val="Compact"/>
                    <w:jc w:val="center"/>
                  </w:pPr>
                  <w:r>
                    <w:t>8 (4.9)</w:t>
                  </w:r>
                </w:p>
              </w:tc>
              <w:tc>
                <w:tcPr>
                  <w:tcW w:w="1584" w:type="dxa"/>
                </w:tcPr>
                <w:p w14:paraId="788D72F3" w14:textId="77777777" w:rsidR="00472C87" w:rsidRDefault="00000000">
                  <w:pPr>
                    <w:pStyle w:val="Compact"/>
                    <w:jc w:val="center"/>
                  </w:pPr>
                  <w:r>
                    <w:t>55 (4.8)</w:t>
                  </w:r>
                </w:p>
              </w:tc>
            </w:tr>
            <w:tr w:rsidR="00472C87" w14:paraId="4F3E2F9F" w14:textId="77777777" w:rsidTr="00F01F7F">
              <w:tc>
                <w:tcPr>
                  <w:tcW w:w="1584" w:type="dxa"/>
                </w:tcPr>
                <w:p w14:paraId="75465626" w14:textId="77777777" w:rsidR="00472C87" w:rsidRDefault="00472C87">
                  <w:pPr>
                    <w:pStyle w:val="Compact"/>
                  </w:pPr>
                </w:p>
              </w:tc>
              <w:tc>
                <w:tcPr>
                  <w:tcW w:w="2106" w:type="dxa"/>
                </w:tcPr>
                <w:p w14:paraId="2663DA0E" w14:textId="77777777" w:rsidR="00472C87" w:rsidRDefault="00000000">
                  <w:pPr>
                    <w:pStyle w:val="Compact"/>
                    <w:jc w:val="center"/>
                  </w:pPr>
                  <w:r>
                    <w:t>Salinity &lt; 25</w:t>
                  </w:r>
                </w:p>
              </w:tc>
              <w:tc>
                <w:tcPr>
                  <w:tcW w:w="1062" w:type="dxa"/>
                </w:tcPr>
                <w:p w14:paraId="5FB11470" w14:textId="77777777" w:rsidR="00472C87" w:rsidRDefault="00000000">
                  <w:pPr>
                    <w:pStyle w:val="Compact"/>
                    <w:jc w:val="center"/>
                  </w:pPr>
                  <w:r>
                    <w:t>0.8</w:t>
                  </w:r>
                </w:p>
              </w:tc>
              <w:tc>
                <w:tcPr>
                  <w:tcW w:w="1584" w:type="dxa"/>
                </w:tcPr>
                <w:p w14:paraId="276A0639" w14:textId="77777777" w:rsidR="00472C87" w:rsidRDefault="00000000">
                  <w:pPr>
                    <w:pStyle w:val="Compact"/>
                    <w:jc w:val="center"/>
                  </w:pPr>
                  <w:r>
                    <w:t>134 (12.2)</w:t>
                  </w:r>
                </w:p>
              </w:tc>
              <w:tc>
                <w:tcPr>
                  <w:tcW w:w="1584" w:type="dxa"/>
                </w:tcPr>
                <w:p w14:paraId="297D8403" w14:textId="77777777" w:rsidR="00472C87" w:rsidRDefault="00000000">
                  <w:pPr>
                    <w:pStyle w:val="Compact"/>
                    <w:jc w:val="center"/>
                  </w:pPr>
                  <w:r>
                    <w:t>171 (11.5)</w:t>
                  </w:r>
                </w:p>
              </w:tc>
            </w:tr>
            <w:tr w:rsidR="00472C87" w14:paraId="51955BCF" w14:textId="77777777" w:rsidTr="00F01F7F">
              <w:tc>
                <w:tcPr>
                  <w:tcW w:w="1584" w:type="dxa"/>
                </w:tcPr>
                <w:p w14:paraId="1FB5BA02" w14:textId="77777777" w:rsidR="00472C87" w:rsidRDefault="00472C87">
                  <w:pPr>
                    <w:pStyle w:val="Compact"/>
                  </w:pPr>
                </w:p>
              </w:tc>
              <w:tc>
                <w:tcPr>
                  <w:tcW w:w="2106" w:type="dxa"/>
                </w:tcPr>
                <w:p w14:paraId="19ADB100" w14:textId="77777777" w:rsidR="00472C87" w:rsidRDefault="00000000">
                  <w:pPr>
                    <w:pStyle w:val="Compact"/>
                    <w:jc w:val="center"/>
                  </w:pPr>
                  <w:r>
                    <w:t>Both</w:t>
                  </w:r>
                </w:p>
              </w:tc>
              <w:tc>
                <w:tcPr>
                  <w:tcW w:w="1062" w:type="dxa"/>
                </w:tcPr>
                <w:p w14:paraId="376C1169" w14:textId="77777777" w:rsidR="00472C87" w:rsidRDefault="00000000">
                  <w:pPr>
                    <w:pStyle w:val="Compact"/>
                    <w:jc w:val="center"/>
                  </w:pPr>
                  <w:r>
                    <w:t>0.76</w:t>
                  </w:r>
                </w:p>
              </w:tc>
              <w:tc>
                <w:tcPr>
                  <w:tcW w:w="1584" w:type="dxa"/>
                </w:tcPr>
                <w:p w14:paraId="47E4BCC4" w14:textId="77777777" w:rsidR="00472C87" w:rsidRDefault="00000000">
                  <w:pPr>
                    <w:pStyle w:val="Compact"/>
                    <w:jc w:val="center"/>
                  </w:pPr>
                  <w:r>
                    <w:t>-1 (2.9)</w:t>
                  </w:r>
                </w:p>
              </w:tc>
              <w:tc>
                <w:tcPr>
                  <w:tcW w:w="1584" w:type="dxa"/>
                </w:tcPr>
                <w:p w14:paraId="2D2A79F4" w14:textId="77777777" w:rsidR="00472C87" w:rsidRDefault="00000000">
                  <w:pPr>
                    <w:pStyle w:val="Compact"/>
                    <w:jc w:val="center"/>
                  </w:pPr>
                  <w:r>
                    <w:t>35 (2.7)</w:t>
                  </w:r>
                </w:p>
              </w:tc>
            </w:tr>
            <w:tr w:rsidR="00472C87" w14:paraId="10F1436F" w14:textId="77777777" w:rsidTr="00F01F7F">
              <w:tc>
                <w:tcPr>
                  <w:tcW w:w="1584" w:type="dxa"/>
                </w:tcPr>
                <w:p w14:paraId="69EFE9B1" w14:textId="77777777" w:rsidR="00472C87" w:rsidRDefault="00000000">
                  <w:pPr>
                    <w:pStyle w:val="Compact"/>
                    <w:jc w:val="center"/>
                  </w:pPr>
                  <w:r>
                    <w:t>MTB</w:t>
                  </w:r>
                </w:p>
              </w:tc>
              <w:tc>
                <w:tcPr>
                  <w:tcW w:w="2106" w:type="dxa"/>
                </w:tcPr>
                <w:p w14:paraId="33E50ECE" w14:textId="77777777" w:rsidR="00472C87" w:rsidRDefault="00000000">
                  <w:pPr>
                    <w:pStyle w:val="Compact"/>
                    <w:jc w:val="center"/>
                  </w:pPr>
                  <w:r>
                    <w:t>Temperature &gt; 30</w:t>
                  </w:r>
                </w:p>
              </w:tc>
              <w:tc>
                <w:tcPr>
                  <w:tcW w:w="1062" w:type="dxa"/>
                </w:tcPr>
                <w:p w14:paraId="7575D710" w14:textId="77777777" w:rsidR="00472C87" w:rsidRDefault="00000000">
                  <w:pPr>
                    <w:pStyle w:val="Compact"/>
                    <w:jc w:val="center"/>
                  </w:pPr>
                  <w:r>
                    <w:t>1.06</w:t>
                  </w:r>
                </w:p>
              </w:tc>
              <w:tc>
                <w:tcPr>
                  <w:tcW w:w="1584" w:type="dxa"/>
                </w:tcPr>
                <w:p w14:paraId="44C88609" w14:textId="77777777" w:rsidR="00472C87" w:rsidRDefault="00000000">
                  <w:pPr>
                    <w:pStyle w:val="Compact"/>
                    <w:jc w:val="center"/>
                  </w:pPr>
                  <w:r>
                    <w:t>8 (3.1)</w:t>
                  </w:r>
                </w:p>
              </w:tc>
              <w:tc>
                <w:tcPr>
                  <w:tcW w:w="1584" w:type="dxa"/>
                </w:tcPr>
                <w:p w14:paraId="5BCADF9C" w14:textId="77777777" w:rsidR="00472C87" w:rsidRDefault="00000000">
                  <w:pPr>
                    <w:pStyle w:val="Compact"/>
                    <w:jc w:val="center"/>
                  </w:pPr>
                  <w:r>
                    <w:t>58 (3.1)</w:t>
                  </w:r>
                </w:p>
              </w:tc>
            </w:tr>
            <w:tr w:rsidR="00472C87" w14:paraId="29D885FC" w14:textId="77777777" w:rsidTr="00F01F7F">
              <w:tc>
                <w:tcPr>
                  <w:tcW w:w="1584" w:type="dxa"/>
                </w:tcPr>
                <w:p w14:paraId="12B4B20C" w14:textId="77777777" w:rsidR="00472C87" w:rsidRDefault="00472C87">
                  <w:pPr>
                    <w:pStyle w:val="Compact"/>
                  </w:pPr>
                </w:p>
              </w:tc>
              <w:tc>
                <w:tcPr>
                  <w:tcW w:w="2106" w:type="dxa"/>
                </w:tcPr>
                <w:p w14:paraId="391F3D18" w14:textId="77777777" w:rsidR="00472C87" w:rsidRDefault="00000000">
                  <w:pPr>
                    <w:pStyle w:val="Compact"/>
                    <w:jc w:val="center"/>
                  </w:pPr>
                  <w:r>
                    <w:t>Salinity &lt; 25</w:t>
                  </w:r>
                </w:p>
              </w:tc>
              <w:tc>
                <w:tcPr>
                  <w:tcW w:w="1062" w:type="dxa"/>
                </w:tcPr>
                <w:p w14:paraId="7E77872C" w14:textId="77777777" w:rsidR="00472C87" w:rsidRDefault="00000000">
                  <w:pPr>
                    <w:pStyle w:val="Compact"/>
                    <w:jc w:val="center"/>
                  </w:pPr>
                  <w:r>
                    <w:t>0.53</w:t>
                  </w:r>
                </w:p>
              </w:tc>
              <w:tc>
                <w:tcPr>
                  <w:tcW w:w="1584" w:type="dxa"/>
                </w:tcPr>
                <w:p w14:paraId="4A89B1CC" w14:textId="77777777" w:rsidR="00472C87" w:rsidRDefault="00000000">
                  <w:pPr>
                    <w:pStyle w:val="Compact"/>
                    <w:jc w:val="center"/>
                  </w:pPr>
                  <w:r>
                    <w:t>56 (11.8)</w:t>
                  </w:r>
                </w:p>
              </w:tc>
              <w:tc>
                <w:tcPr>
                  <w:tcW w:w="1584" w:type="dxa"/>
                </w:tcPr>
                <w:p w14:paraId="1F76C10B" w14:textId="77777777" w:rsidR="00472C87" w:rsidRDefault="00000000">
                  <w:pPr>
                    <w:pStyle w:val="Compact"/>
                    <w:jc w:val="center"/>
                  </w:pPr>
                  <w:r>
                    <w:t>81 (11.8)</w:t>
                  </w:r>
                </w:p>
              </w:tc>
            </w:tr>
            <w:tr w:rsidR="00472C87" w14:paraId="0F23B3EE" w14:textId="77777777" w:rsidTr="00F01F7F">
              <w:tc>
                <w:tcPr>
                  <w:tcW w:w="1584" w:type="dxa"/>
                </w:tcPr>
                <w:p w14:paraId="7298D6DB" w14:textId="77777777" w:rsidR="00472C87" w:rsidRDefault="00472C87">
                  <w:pPr>
                    <w:pStyle w:val="Compact"/>
                  </w:pPr>
                </w:p>
              </w:tc>
              <w:tc>
                <w:tcPr>
                  <w:tcW w:w="2106" w:type="dxa"/>
                </w:tcPr>
                <w:p w14:paraId="6C77863E" w14:textId="77777777" w:rsidR="00472C87" w:rsidRDefault="00000000">
                  <w:pPr>
                    <w:pStyle w:val="Compact"/>
                    <w:jc w:val="center"/>
                  </w:pPr>
                  <w:r>
                    <w:t>Both</w:t>
                  </w:r>
                </w:p>
              </w:tc>
              <w:tc>
                <w:tcPr>
                  <w:tcW w:w="1062" w:type="dxa"/>
                </w:tcPr>
                <w:p w14:paraId="4065EDF0" w14:textId="77777777" w:rsidR="00472C87" w:rsidRDefault="00000000">
                  <w:pPr>
                    <w:pStyle w:val="Compact"/>
                    <w:jc w:val="center"/>
                  </w:pPr>
                  <w:r>
                    <w:t>0.37</w:t>
                  </w:r>
                </w:p>
              </w:tc>
              <w:tc>
                <w:tcPr>
                  <w:tcW w:w="1584" w:type="dxa"/>
                </w:tcPr>
                <w:p w14:paraId="2165DBF1" w14:textId="77777777" w:rsidR="00472C87" w:rsidRDefault="00000000">
                  <w:pPr>
                    <w:pStyle w:val="Compact"/>
                    <w:jc w:val="center"/>
                  </w:pPr>
                  <w:r>
                    <w:t>-1 (1.7)</w:t>
                  </w:r>
                </w:p>
              </w:tc>
              <w:tc>
                <w:tcPr>
                  <w:tcW w:w="1584" w:type="dxa"/>
                </w:tcPr>
                <w:p w14:paraId="5BB37887" w14:textId="77777777" w:rsidR="00472C87" w:rsidRDefault="00000000">
                  <w:pPr>
                    <w:pStyle w:val="Compact"/>
                    <w:jc w:val="center"/>
                  </w:pPr>
                  <w:r>
                    <w:t>16 (1.7)</w:t>
                  </w:r>
                </w:p>
              </w:tc>
            </w:tr>
            <w:tr w:rsidR="00472C87" w14:paraId="1A5BEC9F" w14:textId="77777777" w:rsidTr="00F01F7F">
              <w:tc>
                <w:tcPr>
                  <w:tcW w:w="1584" w:type="dxa"/>
                </w:tcPr>
                <w:p w14:paraId="67BA5F9D" w14:textId="77777777" w:rsidR="00472C87" w:rsidRDefault="00000000">
                  <w:pPr>
                    <w:pStyle w:val="Compact"/>
                    <w:jc w:val="center"/>
                  </w:pPr>
                  <w:r>
                    <w:t>LTB</w:t>
                  </w:r>
                </w:p>
              </w:tc>
              <w:tc>
                <w:tcPr>
                  <w:tcW w:w="2106" w:type="dxa"/>
                </w:tcPr>
                <w:p w14:paraId="73F3060A" w14:textId="77777777" w:rsidR="00472C87" w:rsidRDefault="00000000">
                  <w:pPr>
                    <w:pStyle w:val="Compact"/>
                    <w:jc w:val="center"/>
                  </w:pPr>
                  <w:r>
                    <w:t>Temperature &gt; 30</w:t>
                  </w:r>
                </w:p>
              </w:tc>
              <w:tc>
                <w:tcPr>
                  <w:tcW w:w="1062" w:type="dxa"/>
                </w:tcPr>
                <w:p w14:paraId="4D3B9F13" w14:textId="77777777" w:rsidR="00472C87" w:rsidRDefault="00000000">
                  <w:pPr>
                    <w:pStyle w:val="Compact"/>
                    <w:jc w:val="center"/>
                  </w:pPr>
                  <w:r>
                    <w:t>0.97</w:t>
                  </w:r>
                </w:p>
              </w:tc>
              <w:tc>
                <w:tcPr>
                  <w:tcW w:w="1584" w:type="dxa"/>
                </w:tcPr>
                <w:p w14:paraId="0352760C" w14:textId="77777777" w:rsidR="00472C87" w:rsidRDefault="00000000">
                  <w:pPr>
                    <w:pStyle w:val="Compact"/>
                    <w:jc w:val="center"/>
                  </w:pPr>
                  <w:r>
                    <w:t>19 (3.4)</w:t>
                  </w:r>
                </w:p>
              </w:tc>
              <w:tc>
                <w:tcPr>
                  <w:tcW w:w="1584" w:type="dxa"/>
                </w:tcPr>
                <w:p w14:paraId="0D874B2E" w14:textId="77777777" w:rsidR="00472C87" w:rsidRDefault="00000000">
                  <w:pPr>
                    <w:pStyle w:val="Compact"/>
                    <w:jc w:val="center"/>
                  </w:pPr>
                  <w:r>
                    <w:t>64 (3.4)</w:t>
                  </w:r>
                </w:p>
              </w:tc>
            </w:tr>
            <w:tr w:rsidR="00472C87" w14:paraId="3D62F476" w14:textId="77777777" w:rsidTr="00F01F7F">
              <w:tc>
                <w:tcPr>
                  <w:tcW w:w="1584" w:type="dxa"/>
                </w:tcPr>
                <w:p w14:paraId="53915020" w14:textId="77777777" w:rsidR="00472C87" w:rsidRDefault="00472C87">
                  <w:pPr>
                    <w:pStyle w:val="Compact"/>
                  </w:pPr>
                </w:p>
              </w:tc>
              <w:tc>
                <w:tcPr>
                  <w:tcW w:w="2106" w:type="dxa"/>
                </w:tcPr>
                <w:p w14:paraId="08BBB697" w14:textId="77777777" w:rsidR="00472C87" w:rsidRDefault="00000000">
                  <w:pPr>
                    <w:pStyle w:val="Compact"/>
                    <w:jc w:val="center"/>
                  </w:pPr>
                  <w:r>
                    <w:t>Salinity &lt; 25</w:t>
                  </w:r>
                </w:p>
              </w:tc>
              <w:tc>
                <w:tcPr>
                  <w:tcW w:w="1062" w:type="dxa"/>
                </w:tcPr>
                <w:p w14:paraId="245885F7" w14:textId="77777777" w:rsidR="00472C87" w:rsidRDefault="00000000">
                  <w:pPr>
                    <w:pStyle w:val="Compact"/>
                    <w:jc w:val="center"/>
                  </w:pPr>
                  <w:r>
                    <w:t>-0.09</w:t>
                  </w:r>
                </w:p>
              </w:tc>
              <w:tc>
                <w:tcPr>
                  <w:tcW w:w="1584" w:type="dxa"/>
                </w:tcPr>
                <w:p w14:paraId="731816AA" w14:textId="77777777" w:rsidR="00472C87" w:rsidRDefault="00000000">
                  <w:pPr>
                    <w:pStyle w:val="Compact"/>
                    <w:jc w:val="center"/>
                  </w:pPr>
                  <w:r>
                    <w:t>4 (1.2)</w:t>
                  </w:r>
                </w:p>
              </w:tc>
              <w:tc>
                <w:tcPr>
                  <w:tcW w:w="1584" w:type="dxa"/>
                </w:tcPr>
                <w:p w14:paraId="7E2A71F6" w14:textId="77777777" w:rsidR="00472C87" w:rsidRDefault="00000000">
                  <w:pPr>
                    <w:pStyle w:val="Compact"/>
                    <w:jc w:val="center"/>
                  </w:pPr>
                  <w:r>
                    <w:t>0 (1.2)</w:t>
                  </w:r>
                </w:p>
              </w:tc>
            </w:tr>
            <w:tr w:rsidR="00472C87" w14:paraId="7E05E7CB" w14:textId="77777777" w:rsidTr="00F01F7F">
              <w:trPr>
                <w:trHeight w:val="333"/>
              </w:trPr>
              <w:tc>
                <w:tcPr>
                  <w:tcW w:w="1584" w:type="dxa"/>
                  <w:tcBorders>
                    <w:bottom w:val="single" w:sz="4" w:space="0" w:color="auto"/>
                  </w:tcBorders>
                </w:tcPr>
                <w:p w14:paraId="184923B8" w14:textId="77777777" w:rsidR="00472C87" w:rsidRDefault="00472C87">
                  <w:pPr>
                    <w:pStyle w:val="Compact"/>
                  </w:pPr>
                </w:p>
              </w:tc>
              <w:tc>
                <w:tcPr>
                  <w:tcW w:w="2106" w:type="dxa"/>
                  <w:tcBorders>
                    <w:bottom w:val="single" w:sz="4" w:space="0" w:color="auto"/>
                  </w:tcBorders>
                </w:tcPr>
                <w:p w14:paraId="48EBFCF2" w14:textId="77777777" w:rsidR="00472C87" w:rsidRDefault="00000000">
                  <w:pPr>
                    <w:pStyle w:val="Compact"/>
                    <w:jc w:val="center"/>
                  </w:pPr>
                  <w:r>
                    <w:t>Both</w:t>
                  </w:r>
                </w:p>
              </w:tc>
              <w:tc>
                <w:tcPr>
                  <w:tcW w:w="1062" w:type="dxa"/>
                  <w:tcBorders>
                    <w:bottom w:val="single" w:sz="4" w:space="0" w:color="auto"/>
                  </w:tcBorders>
                </w:tcPr>
                <w:p w14:paraId="2053A51C" w14:textId="77777777" w:rsidR="00472C87" w:rsidRDefault="00000000">
                  <w:pPr>
                    <w:pStyle w:val="Compact"/>
                    <w:jc w:val="center"/>
                  </w:pPr>
                  <w:r>
                    <w:t>-</w:t>
                  </w:r>
                </w:p>
              </w:tc>
              <w:tc>
                <w:tcPr>
                  <w:tcW w:w="1584" w:type="dxa"/>
                  <w:tcBorders>
                    <w:bottom w:val="single" w:sz="4" w:space="0" w:color="auto"/>
                  </w:tcBorders>
                </w:tcPr>
                <w:p w14:paraId="43F1EACE" w14:textId="77777777" w:rsidR="00472C87" w:rsidRDefault="00000000">
                  <w:pPr>
                    <w:pStyle w:val="Compact"/>
                    <w:jc w:val="center"/>
                  </w:pPr>
                  <w:r>
                    <w:t>-</w:t>
                  </w:r>
                </w:p>
              </w:tc>
              <w:tc>
                <w:tcPr>
                  <w:tcW w:w="1584" w:type="dxa"/>
                  <w:tcBorders>
                    <w:bottom w:val="single" w:sz="4" w:space="0" w:color="auto"/>
                  </w:tcBorders>
                </w:tcPr>
                <w:p w14:paraId="32C9AD30" w14:textId="77777777" w:rsidR="00472C87" w:rsidRDefault="00000000">
                  <w:pPr>
                    <w:pStyle w:val="Compact"/>
                    <w:jc w:val="center"/>
                  </w:pPr>
                  <w:r>
                    <w:t>-</w:t>
                  </w:r>
                </w:p>
              </w:tc>
            </w:tr>
            <w:bookmarkEnd w:id="33"/>
          </w:tbl>
          <w:p w14:paraId="439A6363" w14:textId="77777777" w:rsidR="00472C87" w:rsidRDefault="00472C87"/>
        </w:tc>
      </w:tr>
    </w:tbl>
    <w:p w14:paraId="7C2CC262" w14:textId="77777777" w:rsidR="00472C87" w:rsidRDefault="00000000">
      <w:r>
        <w:br w:type="page"/>
      </w:r>
    </w:p>
    <w:p w14:paraId="5C2A31E5" w14:textId="77777777" w:rsidR="00472C87" w:rsidRDefault="00000000">
      <w:pPr>
        <w:pStyle w:val="Heading2"/>
      </w:pPr>
      <w:bookmarkStart w:id="34" w:name="data-availability"/>
      <w:bookmarkEnd w:id="29"/>
      <w:r>
        <w:lastRenderedPageBreak/>
        <w:t>Data Availability</w:t>
      </w:r>
    </w:p>
    <w:p w14:paraId="59C9079D" w14:textId="77777777" w:rsidR="00472C87" w:rsidRDefault="00000000">
      <w:pPr>
        <w:pStyle w:val="FirstParagraph"/>
      </w:pPr>
      <w:r>
        <w:t xml:space="preserve">All data and analysis code for this manuscript is available on GitHub at </w:t>
      </w:r>
      <w:hyperlink r:id="rId20">
        <w:r>
          <w:rPr>
            <w:rStyle w:val="Hyperlink"/>
          </w:rPr>
          <w:t>https://github.com/tbep-tech/temp-manu</w:t>
        </w:r>
      </w:hyperlink>
      <w:r>
        <w:t xml:space="preserve">. A preprint of an earlier version of this manuscript is available at </w:t>
      </w:r>
      <w:hyperlink r:id="rId21">
        <w:r>
          <w:rPr>
            <w:rStyle w:val="Hyperlink"/>
          </w:rPr>
          <w:t>https://doi.org/10.21203/rs.3.rs-3946855/v1</w:t>
        </w:r>
      </w:hyperlink>
      <w:r>
        <w:t>.</w:t>
      </w:r>
    </w:p>
    <w:p w14:paraId="103601AE" w14:textId="77777777" w:rsidR="00472C87" w:rsidRDefault="00000000">
      <w:pPr>
        <w:pStyle w:val="Heading2"/>
      </w:pPr>
      <w:bookmarkStart w:id="35" w:name="acknowledgments"/>
      <w:bookmarkEnd w:id="34"/>
      <w:r>
        <w:t>Acknowledgments</w:t>
      </w:r>
    </w:p>
    <w:p w14:paraId="02EB3C6B" w14:textId="77777777" w:rsidR="00472C87" w:rsidRDefault="00000000">
      <w:pPr>
        <w:pStyle w:val="FirstParagraph"/>
      </w:pPr>
      <w:r>
        <w:t>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p w14:paraId="15797DEF" w14:textId="77777777" w:rsidR="00472C87" w:rsidRDefault="00000000">
      <w:pPr>
        <w:pStyle w:val="Heading2"/>
      </w:pPr>
      <w:bookmarkStart w:id="36" w:name="statements-and-declarations"/>
      <w:bookmarkEnd w:id="35"/>
      <w:r>
        <w:t>Statements and Declarations</w:t>
      </w:r>
    </w:p>
    <w:p w14:paraId="70E101FB" w14:textId="77777777" w:rsidR="00472C87" w:rsidRDefault="00000000">
      <w:pPr>
        <w:pStyle w:val="Heading3"/>
      </w:pPr>
      <w:bookmarkStart w:id="37" w:name="author-contributions"/>
      <w:r>
        <w:t>Author Contributions</w:t>
      </w:r>
    </w:p>
    <w:p w14:paraId="0315E7F5" w14:textId="77777777" w:rsidR="00472C87" w:rsidRDefault="00000000">
      <w:pPr>
        <w:pStyle w:val="FirstParagraph"/>
      </w:pPr>
      <w:r>
        <w:t>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p w14:paraId="7A705986" w14:textId="77777777" w:rsidR="00472C87" w:rsidRDefault="00000000">
      <w:pPr>
        <w:pStyle w:val="Heading3"/>
      </w:pPr>
      <w:bookmarkStart w:id="38" w:name="ethics-declaration"/>
      <w:bookmarkEnd w:id="37"/>
      <w:r>
        <w:t>Ethics Declaration</w:t>
      </w:r>
    </w:p>
    <w:p w14:paraId="43275A60" w14:textId="77777777" w:rsidR="00472C87" w:rsidRDefault="00000000">
      <w:pPr>
        <w:pStyle w:val="FirstParagraph"/>
      </w:pPr>
      <w:r>
        <w:t>The authors have no competing interests to declare that are relevant to the content of this article.</w:t>
      </w:r>
    </w:p>
    <w:p w14:paraId="57C2E69F" w14:textId="77777777" w:rsidR="00472C87" w:rsidRDefault="00000000">
      <w:pPr>
        <w:pStyle w:val="Heading3"/>
      </w:pPr>
      <w:bookmarkStart w:id="39" w:name="funding"/>
      <w:bookmarkEnd w:id="38"/>
      <w:r>
        <w:lastRenderedPageBreak/>
        <w:t>Funding</w:t>
      </w:r>
    </w:p>
    <w:p w14:paraId="6B16421E" w14:textId="77777777" w:rsidR="00472C87" w:rsidRDefault="00000000">
      <w:pPr>
        <w:pStyle w:val="FirstParagraph"/>
      </w:pPr>
      <w:r>
        <w:t>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p w14:paraId="4FF3695D" w14:textId="77777777" w:rsidR="00472C87" w:rsidRDefault="00000000">
      <w:pPr>
        <w:pStyle w:val="Heading2"/>
      </w:pPr>
      <w:bookmarkStart w:id="40" w:name="references"/>
      <w:bookmarkEnd w:id="36"/>
      <w:bookmarkEnd w:id="39"/>
      <w:r>
        <w:t>References</w:t>
      </w:r>
    </w:p>
    <w:p w14:paraId="481E075A" w14:textId="77777777" w:rsidR="00472C87" w:rsidRDefault="00000000">
      <w:pPr>
        <w:pStyle w:val="Bibliography"/>
      </w:pPr>
      <w:bookmarkStart w:id="41" w:name="ref-alarcon2024"/>
      <w:bookmarkStart w:id="42" w:name="refs"/>
      <w:r>
        <w:t xml:space="preserve">Alarcon, V. J., A. C. Linhoss, C. R. Kelble, P. F. Mickle, A. Fine, and E. Montes. 2024. Potential challenges for the restoration of Biscayne Bay (Florida, USA) in the face of climate change effects revealed with predictive models. </w:t>
      </w:r>
      <w:r>
        <w:rPr>
          <w:i/>
          <w:iCs/>
        </w:rPr>
        <w:t>Ocean &amp; Coastal Management</w:t>
      </w:r>
      <w:r>
        <w:t xml:space="preserve"> 247: 106929. </w:t>
      </w:r>
      <w:hyperlink r:id="rId22">
        <w:r>
          <w:rPr>
            <w:rStyle w:val="Hyperlink"/>
          </w:rPr>
          <w:t>https://doi.org/10.1016/j.ocecoaman.2023.106929</w:t>
        </w:r>
      </w:hyperlink>
      <w:r>
        <w:t>.</w:t>
      </w:r>
    </w:p>
    <w:p w14:paraId="430CD71F" w14:textId="77777777" w:rsidR="00472C87" w:rsidRDefault="00000000">
      <w:pPr>
        <w:pStyle w:val="Bibliography"/>
      </w:pPr>
      <w:bookmarkStart w:id="43" w:name="ref-araújo2006"/>
      <w:bookmarkEnd w:id="41"/>
      <w:r>
        <w:t xml:space="preserve">Araújo, M. B., and A. Guisan. 2006. Five (or so) challenges for species distribution modelling. </w:t>
      </w:r>
      <w:r>
        <w:rPr>
          <w:i/>
          <w:iCs/>
        </w:rPr>
        <w:t>Journal of Biogeography</w:t>
      </w:r>
      <w:r>
        <w:t xml:space="preserve"> 33: 1677–1688. </w:t>
      </w:r>
      <w:hyperlink r:id="rId23">
        <w:r>
          <w:rPr>
            <w:rStyle w:val="Hyperlink"/>
          </w:rPr>
          <w:t>https://doi.org/10.1111/j.1365-2699.2006.01584.x</w:t>
        </w:r>
      </w:hyperlink>
      <w:r>
        <w:t>.</w:t>
      </w:r>
    </w:p>
    <w:p w14:paraId="5EA5886B" w14:textId="77777777" w:rsidR="00472C87" w:rsidRDefault="00000000">
      <w:pPr>
        <w:pStyle w:val="Bibliography"/>
      </w:pPr>
      <w:bookmarkStart w:id="44" w:name="ref-bates15"/>
      <w:bookmarkEnd w:id="43"/>
      <w:r>
        <w:t xml:space="preserve">Bates, D., M. Mächler, B. Bolker, and S. Walker. 2015. Fitting linear mixed-effects models using lme4. </w:t>
      </w:r>
      <w:r>
        <w:rPr>
          <w:i/>
          <w:iCs/>
        </w:rPr>
        <w:t>Journal of Statistical Software</w:t>
      </w:r>
      <w:r>
        <w:t xml:space="preserve"> 67: 1–48. </w:t>
      </w:r>
      <w:hyperlink r:id="rId24">
        <w:r>
          <w:rPr>
            <w:rStyle w:val="Hyperlink"/>
          </w:rPr>
          <w:t>https://doi.org/10.18637/jss.v067.i01</w:t>
        </w:r>
      </w:hyperlink>
      <w:r>
        <w:t>.</w:t>
      </w:r>
    </w:p>
    <w:p w14:paraId="0F6F47A4" w14:textId="77777777" w:rsidR="00472C87" w:rsidRDefault="00000000">
      <w:pPr>
        <w:pStyle w:val="Bibliography"/>
      </w:pPr>
      <w:bookmarkStart w:id="45" w:name="ref-Beck20a"/>
      <w:bookmarkEnd w:id="44"/>
      <w:r>
        <w:t xml:space="preserve">Beck, M. W. 2020a. tbep-tech/wq-dash: v1.0 (version v1.0). Zenodo. </w:t>
      </w:r>
      <w:hyperlink r:id="rId25">
        <w:r>
          <w:rPr>
            <w:rStyle w:val="Hyperlink"/>
          </w:rPr>
          <w:t>https://doi.org/10.5281/zenodo.3648664</w:t>
        </w:r>
      </w:hyperlink>
      <w:r>
        <w:t>.</w:t>
      </w:r>
    </w:p>
    <w:p w14:paraId="3B1C1F18" w14:textId="77777777" w:rsidR="00472C87" w:rsidRDefault="00000000">
      <w:pPr>
        <w:pStyle w:val="Bibliography"/>
      </w:pPr>
      <w:bookmarkStart w:id="46" w:name="ref-Beck20b"/>
      <w:bookmarkEnd w:id="45"/>
      <w:r>
        <w:t xml:space="preserve">Beck, M. W. 2020b. tbep-tech/seagrasstransect-dash: v1.0 (version v1.0). Zenodo. </w:t>
      </w:r>
      <w:hyperlink r:id="rId26">
        <w:r>
          <w:rPr>
            <w:rStyle w:val="Hyperlink"/>
          </w:rPr>
          <w:t>https://doi.org/10.5281/zenodo.4319936</w:t>
        </w:r>
      </w:hyperlink>
      <w:r>
        <w:t>.</w:t>
      </w:r>
    </w:p>
    <w:p w14:paraId="40E19E41" w14:textId="77777777" w:rsidR="00472C87" w:rsidRDefault="00000000">
      <w:pPr>
        <w:pStyle w:val="Bibliography"/>
      </w:pPr>
      <w:bookmarkStart w:id="47" w:name="ref-beck2022a"/>
      <w:bookmarkEnd w:id="46"/>
      <w:r>
        <w:t xml:space="preserve">Beck, M. W., A. Altieri, C. Angelini, M. C. Burke, J. Chen, D. W. Chin, J. Gardiner, et al. 2022. Initial estuarine response to inorganic nutrient inputs from a legacy mining facility adjacent to Tampa Bay, Florida. </w:t>
      </w:r>
      <w:r>
        <w:rPr>
          <w:i/>
          <w:iCs/>
        </w:rPr>
        <w:t>Marine Pollution Bulletin</w:t>
      </w:r>
      <w:r>
        <w:t xml:space="preserve"> 178: 113598. </w:t>
      </w:r>
      <w:hyperlink r:id="rId27">
        <w:r>
          <w:rPr>
            <w:rStyle w:val="Hyperlink"/>
          </w:rPr>
          <w:t>https://doi.org/10.1016/j.marpolbul.2022.113598</w:t>
        </w:r>
      </w:hyperlink>
      <w:r>
        <w:t>.</w:t>
      </w:r>
    </w:p>
    <w:p w14:paraId="2A8108D8" w14:textId="77777777" w:rsidR="00472C87" w:rsidRDefault="00000000">
      <w:pPr>
        <w:pStyle w:val="Bibliography"/>
      </w:pPr>
      <w:bookmarkStart w:id="48" w:name="ref-beck2023"/>
      <w:bookmarkEnd w:id="47"/>
      <w:r>
        <w:t xml:space="preserve">Beck, M. W., D. E. Robison, G. E. Raulerson, M. C. Burke, J. Saarinen, C. Sciarrino, E. T. Sherwood, and D. A. Tomasko. 2023. Addressing climate change and development pressures in an urban estuary through habitat restoration planning. </w:t>
      </w:r>
      <w:r>
        <w:rPr>
          <w:i/>
          <w:iCs/>
        </w:rPr>
        <w:t>Frontiers in Ecology and Evolution</w:t>
      </w:r>
      <w:r>
        <w:t xml:space="preserve"> 11: 1070266. </w:t>
      </w:r>
      <w:hyperlink r:id="rId28">
        <w:r>
          <w:rPr>
            <w:rStyle w:val="Hyperlink"/>
          </w:rPr>
          <w:t>https://doi.org/10.3389/fevo.2023.1070266</w:t>
        </w:r>
      </w:hyperlink>
      <w:r>
        <w:t>.</w:t>
      </w:r>
    </w:p>
    <w:p w14:paraId="333D0928" w14:textId="77777777" w:rsidR="00472C87" w:rsidRDefault="00000000">
      <w:pPr>
        <w:pStyle w:val="Bibliography"/>
      </w:pPr>
      <w:bookmarkStart w:id="49" w:name="ref-beck2021"/>
      <w:bookmarkEnd w:id="48"/>
      <w:r>
        <w:t xml:space="preserve">Beck, M. W., M. Schrandt, M. Wessel, E. T. Sherwood, G. E. Raulerson, A. Prasad, and B. Best. 2021. tbeptools: An R package for synthesizing estuarine data for environmental research. </w:t>
      </w:r>
      <w:r>
        <w:rPr>
          <w:i/>
          <w:iCs/>
        </w:rPr>
        <w:t>Journal of Open Source Software</w:t>
      </w:r>
      <w:r>
        <w:t xml:space="preserve"> 6: 3485. </w:t>
      </w:r>
      <w:hyperlink r:id="rId29">
        <w:r>
          <w:rPr>
            <w:rStyle w:val="Hyperlink"/>
          </w:rPr>
          <w:t>https://doi.org/10.21105/joss.03485</w:t>
        </w:r>
      </w:hyperlink>
      <w:r>
        <w:t>.</w:t>
      </w:r>
    </w:p>
    <w:p w14:paraId="47951055" w14:textId="77777777" w:rsidR="00472C87" w:rsidRDefault="00000000">
      <w:pPr>
        <w:pStyle w:val="Bibliography"/>
      </w:pPr>
      <w:bookmarkStart w:id="50" w:name="ref-beck2019"/>
      <w:bookmarkEnd w:id="49"/>
      <w:r>
        <w:t xml:space="preserve">Beck, M. W., E. T. Sherwood, J. R. Henkel, K. Dorans, K. Ireland, and P. Varela. 2019. Assessment of the cumulative effects of restoration activities on water quality in Tampa Bay, Florida. </w:t>
      </w:r>
      <w:r>
        <w:rPr>
          <w:i/>
          <w:iCs/>
        </w:rPr>
        <w:t>Estuaries and Coasts</w:t>
      </w:r>
      <w:r>
        <w:t xml:space="preserve"> 42: 1774–1791. </w:t>
      </w:r>
      <w:hyperlink r:id="rId30">
        <w:r>
          <w:rPr>
            <w:rStyle w:val="Hyperlink"/>
          </w:rPr>
          <w:t>https://doi.org/10.1007/s12237-019-00619-w</w:t>
        </w:r>
      </w:hyperlink>
      <w:r>
        <w:t>.</w:t>
      </w:r>
    </w:p>
    <w:p w14:paraId="3CA06DB0" w14:textId="77777777" w:rsidR="00472C87" w:rsidRDefault="00000000">
      <w:pPr>
        <w:pStyle w:val="Bibliography"/>
      </w:pPr>
      <w:bookmarkStart w:id="51" w:name="ref-begueria23"/>
      <w:bookmarkEnd w:id="50"/>
      <w:r>
        <w:t xml:space="preserve">Beguería, S., and S. M. Vicente-Serrano. 2023. </w:t>
      </w:r>
      <w:hyperlink r:id="rId31">
        <w:r>
          <w:rPr>
            <w:rStyle w:val="Hyperlink"/>
          </w:rPr>
          <w:t>SPEI: Calculation of the Standardized Precipitation-Evapotranspiration Index</w:t>
        </w:r>
      </w:hyperlink>
      <w:r>
        <w:t xml:space="preserve"> (version R package version 1.8.1).</w:t>
      </w:r>
    </w:p>
    <w:p w14:paraId="719CC67C" w14:textId="77777777" w:rsidR="00472C87" w:rsidRDefault="00000000">
      <w:pPr>
        <w:pStyle w:val="Bibliography"/>
      </w:pPr>
      <w:bookmarkStart w:id="52" w:name="ref-begueria2013"/>
      <w:bookmarkEnd w:id="51"/>
      <w:r>
        <w:lastRenderedPageBreak/>
        <w:t xml:space="preserve">Beguería, S., S. M. Vicente-Serrano, F. Reig, and B. Latorre. 2013. Standardized precipitation evapotranspiration index (SPEI) revisited: parameter fitting, evapotranspiration models, tools, datasets and drought monitoring. </w:t>
      </w:r>
      <w:r>
        <w:rPr>
          <w:i/>
          <w:iCs/>
        </w:rPr>
        <w:t>International Journal of Climatology</w:t>
      </w:r>
      <w:r>
        <w:t xml:space="preserve"> 34: 3001–3023. </w:t>
      </w:r>
      <w:hyperlink r:id="rId32">
        <w:r>
          <w:rPr>
            <w:rStyle w:val="Hyperlink"/>
          </w:rPr>
          <w:t>https://doi.org/10.1002/joc.3887</w:t>
        </w:r>
      </w:hyperlink>
      <w:r>
        <w:t>.</w:t>
      </w:r>
    </w:p>
    <w:p w14:paraId="2677832D" w14:textId="77777777" w:rsidR="00472C87" w:rsidRDefault="00000000">
      <w:pPr>
        <w:pStyle w:val="Bibliography"/>
      </w:pPr>
      <w:bookmarkStart w:id="53" w:name="ref-bell1997"/>
      <w:bookmarkEnd w:id="52"/>
      <w:r>
        <w:t xml:space="preserve">Bell, S., and M. Hall. 1997. Drift macroalgal abundance in seagrass beds: investigating large-scale associations with physical and biotic attributes. </w:t>
      </w:r>
      <w:r>
        <w:rPr>
          <w:i/>
          <w:iCs/>
        </w:rPr>
        <w:t>Marine Ecology Progress Series</w:t>
      </w:r>
      <w:r>
        <w:t xml:space="preserve"> 147: 277–283. </w:t>
      </w:r>
      <w:hyperlink r:id="rId33">
        <w:r>
          <w:rPr>
            <w:rStyle w:val="Hyperlink"/>
          </w:rPr>
          <w:t>https://doi.org/10.3354/meps147277</w:t>
        </w:r>
      </w:hyperlink>
      <w:r>
        <w:t>.</w:t>
      </w:r>
    </w:p>
    <w:p w14:paraId="51F02033" w14:textId="77777777" w:rsidR="00472C87" w:rsidRDefault="00000000">
      <w:pPr>
        <w:pStyle w:val="Bibliography"/>
      </w:pPr>
      <w:bookmarkStart w:id="54" w:name="ref-blakesley2001"/>
      <w:bookmarkEnd w:id="53"/>
      <w:r>
        <w:t xml:space="preserve">Blakesley, B., P. Hall, D. Berns, J. Hyniova, M. Merello, and R. Conroy. 2001. </w:t>
      </w:r>
      <w:hyperlink r:id="rId34">
        <w:r>
          <w:rPr>
            <w:rStyle w:val="Hyperlink"/>
            <w:i/>
            <w:iCs/>
          </w:rPr>
          <w:t>Survey of the distribution of the marine slime mold Labyrinthula sp. in the seagrass Thalassia testudinum in the Tampa Bay area, fall 1999-fall 2000</w:t>
        </w:r>
      </w:hyperlink>
      <w:r>
        <w:t>. 01-01. St. Petersburg, Florida: Tampa Bay Estuary Program.</w:t>
      </w:r>
    </w:p>
    <w:p w14:paraId="04102FFA" w14:textId="77777777" w:rsidR="00472C87" w:rsidRDefault="00000000">
      <w:pPr>
        <w:pStyle w:val="Bibliography"/>
      </w:pPr>
      <w:bookmarkStart w:id="55" w:name="ref-boesch2001"/>
      <w:bookmarkEnd w:id="54"/>
      <w:r>
        <w:t xml:space="preserve">Boesch, D. F., R. B. Brinsfield, and R. E. Magnien. 2001. Chesapeake bay eutrophication: Scientific understanding, ecosystem restoration, and challenges for agriculture. </w:t>
      </w:r>
      <w:r>
        <w:rPr>
          <w:i/>
          <w:iCs/>
        </w:rPr>
        <w:t>Journal of Environmental Quality</w:t>
      </w:r>
      <w:r>
        <w:t xml:space="preserve"> 30: 303–320. </w:t>
      </w:r>
      <w:hyperlink r:id="rId35">
        <w:r>
          <w:rPr>
            <w:rStyle w:val="Hyperlink"/>
          </w:rPr>
          <w:t>https://doi.org/10.2134/jeq2001.302303x</w:t>
        </w:r>
      </w:hyperlink>
      <w:r>
        <w:t>.</w:t>
      </w:r>
    </w:p>
    <w:p w14:paraId="7C0D4F6D" w14:textId="77777777" w:rsidR="00472C87" w:rsidRDefault="00000000">
      <w:pPr>
        <w:pStyle w:val="Bibliography"/>
      </w:pPr>
      <w:bookmarkStart w:id="56" w:name="ref-borchert2018"/>
      <w:bookmarkEnd w:id="55"/>
      <w:r>
        <w:t xml:space="preserve">Borchert, S. M., M. J. Osland, N. M. Enwright, and K. T. Griffith. 2018. Coastal wetland adaptation to sea level rise: Quantifying potential for landward migration and coastal squeeze. </w:t>
      </w:r>
      <w:r>
        <w:rPr>
          <w:i/>
          <w:iCs/>
        </w:rPr>
        <w:t>Journal of Applied Ecology</w:t>
      </w:r>
      <w:r>
        <w:t xml:space="preserve"> 55: 2876–2887. </w:t>
      </w:r>
      <w:hyperlink r:id="rId36">
        <w:r>
          <w:rPr>
            <w:rStyle w:val="Hyperlink"/>
          </w:rPr>
          <w:t>https://doi.org/10.1111/1365-2664.13169</w:t>
        </w:r>
      </w:hyperlink>
      <w:r>
        <w:t>.</w:t>
      </w:r>
    </w:p>
    <w:p w14:paraId="25ACFEFC" w14:textId="77777777" w:rsidR="00472C87" w:rsidRDefault="00000000">
      <w:pPr>
        <w:pStyle w:val="Bibliography"/>
      </w:pPr>
      <w:bookmarkStart w:id="57" w:name="ref-brewton2023"/>
      <w:bookmarkEnd w:id="56"/>
      <w:r>
        <w:t xml:space="preserve">Brewton, R. A., and B. E. Lapointe. 2023. The green macroalga </w:t>
      </w:r>
      <w:r>
        <w:rPr>
          <w:i/>
          <w:iCs/>
        </w:rPr>
        <w:t>Caulerpa prolifera</w:t>
      </w:r>
      <w:r>
        <w:t xml:space="preserve"> replaces seagrass in a nitrogen enriched, phosphorus limited, urbanized estuary. </w:t>
      </w:r>
      <w:r>
        <w:rPr>
          <w:i/>
          <w:iCs/>
        </w:rPr>
        <w:t>Ecological Indicators</w:t>
      </w:r>
      <w:r>
        <w:t xml:space="preserve"> 156: 111035. </w:t>
      </w:r>
      <w:hyperlink r:id="rId37">
        <w:r>
          <w:rPr>
            <w:rStyle w:val="Hyperlink"/>
          </w:rPr>
          <w:t>https://doi.org/10.1016/j.ecolind.2023.111035</w:t>
        </w:r>
      </w:hyperlink>
      <w:r>
        <w:t>.</w:t>
      </w:r>
    </w:p>
    <w:p w14:paraId="78BEE315" w14:textId="77777777" w:rsidR="00472C87" w:rsidRDefault="00000000">
      <w:pPr>
        <w:pStyle w:val="Bibliography"/>
      </w:pPr>
      <w:bookmarkStart w:id="58" w:name="ref-brinson1995"/>
      <w:bookmarkEnd w:id="57"/>
      <w:r>
        <w:t xml:space="preserve">Brinson, M. M., R. R. Christian, and L. K. Blum. 1995. Multiple states in the sea-level induced transition from terrestrial forest to estuary. </w:t>
      </w:r>
      <w:r>
        <w:rPr>
          <w:i/>
          <w:iCs/>
        </w:rPr>
        <w:t>Estuaries</w:t>
      </w:r>
      <w:r>
        <w:t xml:space="preserve"> 18: 648–659. </w:t>
      </w:r>
      <w:hyperlink r:id="rId38">
        <w:r>
          <w:rPr>
            <w:rStyle w:val="Hyperlink"/>
          </w:rPr>
          <w:t>https://doi.org/10.2307/1352383</w:t>
        </w:r>
      </w:hyperlink>
      <w:r>
        <w:t>.</w:t>
      </w:r>
    </w:p>
    <w:p w14:paraId="4E1A9F27" w14:textId="77777777" w:rsidR="00472C87" w:rsidRDefault="00000000">
      <w:pPr>
        <w:pStyle w:val="Bibliography"/>
      </w:pPr>
      <w:bookmarkStart w:id="59" w:name="ref-burkholder2007"/>
      <w:bookmarkEnd w:id="58"/>
      <w:r>
        <w:t xml:space="preserve">Burkholder, J. M., D. A. Tomasko, and B. W. Touchette. 2007. Seagrasses and eutrophication. </w:t>
      </w:r>
      <w:r>
        <w:rPr>
          <w:i/>
          <w:iCs/>
        </w:rPr>
        <w:t>Journal of Experimental Marine Biology and Ecology</w:t>
      </w:r>
      <w:r>
        <w:t xml:space="preserve"> 350: 46–72. </w:t>
      </w:r>
      <w:hyperlink r:id="rId39">
        <w:r>
          <w:rPr>
            <w:rStyle w:val="Hyperlink"/>
          </w:rPr>
          <w:t>https://doi.org/10.1016/j.jembe.2007.06.024</w:t>
        </w:r>
      </w:hyperlink>
      <w:r>
        <w:t>.</w:t>
      </w:r>
    </w:p>
    <w:p w14:paraId="6E588530" w14:textId="77777777" w:rsidR="00472C87" w:rsidRDefault="00000000">
      <w:pPr>
        <w:pStyle w:val="Bibliography"/>
      </w:pPr>
      <w:bookmarkStart w:id="60" w:name="ref-carlson2018"/>
      <w:bookmarkEnd w:id="59"/>
      <w:r>
        <w:t xml:space="preserve">Carlson, D. F., L. A. Yarbro, S. Scolaro, M. Poniatowski, V. McGee-Absten, and P. R. Carlson. 2018. Sea surface temperatures and seagrass mortality in Florida Bay: Spatial and temporal patterns discerned from MODIS and AVHRR data. </w:t>
      </w:r>
      <w:r>
        <w:rPr>
          <w:i/>
          <w:iCs/>
        </w:rPr>
        <w:t>Remote Sensing of Environment</w:t>
      </w:r>
      <w:r>
        <w:t xml:space="preserve"> 208: 171–188. </w:t>
      </w:r>
      <w:hyperlink r:id="rId40">
        <w:r>
          <w:rPr>
            <w:rStyle w:val="Hyperlink"/>
          </w:rPr>
          <w:t>https://doi.org/10.1016/j.rse.2018.02.014</w:t>
        </w:r>
      </w:hyperlink>
      <w:r>
        <w:t>.</w:t>
      </w:r>
    </w:p>
    <w:p w14:paraId="54FA8377" w14:textId="77777777" w:rsidR="00472C87" w:rsidRDefault="00000000">
      <w:pPr>
        <w:pStyle w:val="Bibliography"/>
      </w:pPr>
      <w:bookmarkStart w:id="61" w:name="ref-chamberlain23"/>
      <w:bookmarkEnd w:id="60"/>
      <w:r>
        <w:t xml:space="preserve">Chamberlain, S., and D. Hocking. 2023. </w:t>
      </w:r>
      <w:hyperlink r:id="rId41">
        <w:r>
          <w:rPr>
            <w:rStyle w:val="Hyperlink"/>
          </w:rPr>
          <w:t>rnoaa: NOAA weather data from R</w:t>
        </w:r>
      </w:hyperlink>
      <w:r>
        <w:t xml:space="preserve"> (version R package version 1.4.0).</w:t>
      </w:r>
    </w:p>
    <w:p w14:paraId="29923DFB" w14:textId="77777777" w:rsidR="00472C87" w:rsidRDefault="00000000">
      <w:pPr>
        <w:pStyle w:val="Bibliography"/>
      </w:pPr>
      <w:bookmarkStart w:id="62" w:name="ref-costa2023"/>
      <w:bookmarkEnd w:id="61"/>
      <w:r>
        <w:t xml:space="preserve">Costa, Y., I. Martins, G. C. de Carvalho, and F. Barros. 2023. Trends of sea-level rise effects on estuaries and estimates of future saline intrusion. </w:t>
      </w:r>
      <w:r>
        <w:rPr>
          <w:i/>
          <w:iCs/>
        </w:rPr>
        <w:t>Ocean &amp; Coastal Management</w:t>
      </w:r>
      <w:r>
        <w:t xml:space="preserve"> 236: 106490. </w:t>
      </w:r>
      <w:hyperlink r:id="rId42">
        <w:r>
          <w:rPr>
            <w:rStyle w:val="Hyperlink"/>
          </w:rPr>
          <w:t>https://doi.org/10.1016/j.ocecoaman.2023.106490</w:t>
        </w:r>
      </w:hyperlink>
      <w:r>
        <w:t>.</w:t>
      </w:r>
    </w:p>
    <w:p w14:paraId="6A60802D" w14:textId="77777777" w:rsidR="00472C87" w:rsidRDefault="00000000">
      <w:pPr>
        <w:pStyle w:val="Bibliography"/>
      </w:pPr>
      <w:bookmarkStart w:id="63" w:name="ref-dessu2018"/>
      <w:bookmarkEnd w:id="62"/>
      <w:r>
        <w:t xml:space="preserve">Dessu, S. B., R. M. Price, T. G. Troxler, and J. S. Kominoski. 2018. Effects of sea-level rise and freshwater management on long-term water levels and water quality in the Florida Coastal </w:t>
      </w:r>
      <w:r>
        <w:lastRenderedPageBreak/>
        <w:t xml:space="preserve">Everglades. </w:t>
      </w:r>
      <w:r>
        <w:rPr>
          <w:i/>
          <w:iCs/>
        </w:rPr>
        <w:t>Journal of Environmental Management</w:t>
      </w:r>
      <w:r>
        <w:t xml:space="preserve"> 211: 164–176. </w:t>
      </w:r>
      <w:hyperlink r:id="rId43">
        <w:r>
          <w:rPr>
            <w:rStyle w:val="Hyperlink"/>
          </w:rPr>
          <w:t>https://doi.org/10.1016/j.jenvman.2018.01.025</w:t>
        </w:r>
      </w:hyperlink>
      <w:r>
        <w:t>.</w:t>
      </w:r>
    </w:p>
    <w:p w14:paraId="13222ED1" w14:textId="77777777" w:rsidR="00472C87" w:rsidRDefault="00000000">
      <w:pPr>
        <w:pStyle w:val="Bibliography"/>
      </w:pPr>
      <w:bookmarkStart w:id="64" w:name="ref-duarte1995"/>
      <w:bookmarkEnd w:id="63"/>
      <w:r>
        <w:t xml:space="preserve">Duarte, C. M. 1995. Submerged aquatic vegetation in relation to different nutrient regimes. </w:t>
      </w:r>
      <w:r>
        <w:rPr>
          <w:i/>
          <w:iCs/>
        </w:rPr>
        <w:t>Ophelia</w:t>
      </w:r>
      <w:r>
        <w:t xml:space="preserve"> 41: 87–112. </w:t>
      </w:r>
      <w:hyperlink r:id="rId44">
        <w:r>
          <w:rPr>
            <w:rStyle w:val="Hyperlink"/>
          </w:rPr>
          <w:t>https://doi.org/10.1080/00785236.1995.10422039</w:t>
        </w:r>
      </w:hyperlink>
      <w:r>
        <w:t>.</w:t>
      </w:r>
    </w:p>
    <w:p w14:paraId="216AD40E" w14:textId="77777777" w:rsidR="00472C87" w:rsidRDefault="00000000">
      <w:pPr>
        <w:pStyle w:val="Bibliography"/>
      </w:pPr>
      <w:bookmarkStart w:id="65" w:name="ref-duarte2008a"/>
      <w:bookmarkEnd w:id="64"/>
      <w:r>
        <w:t xml:space="preserve">Duarte, C. M., W. C. Dennison, R. J. W. Orth, and T. J. B. Carruthers. 2008. The charisma of coastal ecosystems: Addressing the imbalance. </w:t>
      </w:r>
      <w:r>
        <w:rPr>
          <w:i/>
          <w:iCs/>
        </w:rPr>
        <w:t>Estuaries and Coasts</w:t>
      </w:r>
      <w:r>
        <w:t xml:space="preserve"> 31: 233–238. </w:t>
      </w:r>
      <w:hyperlink r:id="rId45">
        <w:r>
          <w:rPr>
            <w:rStyle w:val="Hyperlink"/>
          </w:rPr>
          <w:t>https://doi.org/10.1007/s12237-008-9038-7</w:t>
        </w:r>
      </w:hyperlink>
      <w:r>
        <w:t>.</w:t>
      </w:r>
    </w:p>
    <w:p w14:paraId="1A55E58B" w14:textId="77777777" w:rsidR="00472C87" w:rsidRDefault="00000000">
      <w:pPr>
        <w:pStyle w:val="Bibliography"/>
      </w:pPr>
      <w:bookmarkStart w:id="66" w:name="ref-duffin2021"/>
      <w:bookmarkEnd w:id="65"/>
      <w:r>
        <w:t xml:space="preserve">Duffin, P., D. L. Martin, B. T. Furman, and C. Ross. 2021. Spatial patterns of </w:t>
      </w:r>
      <w:r>
        <w:rPr>
          <w:i/>
          <w:iCs/>
        </w:rPr>
        <w:t>Thalassia testudinum</w:t>
      </w:r>
      <w:r>
        <w:t xml:space="preserve"> immune status and </w:t>
      </w:r>
      <w:r>
        <w:rPr>
          <w:i/>
          <w:iCs/>
        </w:rPr>
        <w:t>Labyrinthula</w:t>
      </w:r>
      <w:r>
        <w:t xml:space="preserve"> spp. load implicate environmental quality and history as modulators of defense strategies and wasting disease in Florida Bay, United States. </w:t>
      </w:r>
      <w:r>
        <w:rPr>
          <w:i/>
          <w:iCs/>
        </w:rPr>
        <w:t>Frontiers in Plant Science</w:t>
      </w:r>
      <w:r>
        <w:t xml:space="preserve"> 12: 612947. </w:t>
      </w:r>
      <w:hyperlink r:id="rId46">
        <w:r>
          <w:rPr>
            <w:rStyle w:val="Hyperlink"/>
          </w:rPr>
          <w:t>https://doi.org/10.3389/fpls.2021.612947</w:t>
        </w:r>
      </w:hyperlink>
      <w:r>
        <w:t>.</w:t>
      </w:r>
    </w:p>
    <w:p w14:paraId="6C53D1C5" w14:textId="77777777" w:rsidR="00472C87" w:rsidRDefault="00000000">
      <w:pPr>
        <w:pStyle w:val="Bibliography"/>
      </w:pPr>
      <w:bookmarkStart w:id="67" w:name="ref-dunic2021"/>
      <w:bookmarkEnd w:id="66"/>
      <w:r>
        <w:t xml:space="preserve">Dunic, J. C., C. J. Brown, R. M. Connolly, M. P. Turschwell, and I. M. Côté. 2021. Long-term declines and recovery of meadow area across the world’s seagrass bioregions. </w:t>
      </w:r>
      <w:r>
        <w:rPr>
          <w:i/>
          <w:iCs/>
        </w:rPr>
        <w:t>Global Change Biology</w:t>
      </w:r>
      <w:r>
        <w:t xml:space="preserve"> 27: 4096–4109. </w:t>
      </w:r>
      <w:hyperlink r:id="rId47">
        <w:r>
          <w:rPr>
            <w:rStyle w:val="Hyperlink"/>
          </w:rPr>
          <w:t>https://doi.org/10.1111/gcb.15684</w:t>
        </w:r>
      </w:hyperlink>
      <w:r>
        <w:t>.</w:t>
      </w:r>
    </w:p>
    <w:p w14:paraId="66A36F52" w14:textId="77777777" w:rsidR="00472C87" w:rsidRDefault="00000000">
      <w:pPr>
        <w:pStyle w:val="Bibliography"/>
      </w:pPr>
      <w:bookmarkStart w:id="68" w:name="ref-dunic2023"/>
      <w:bookmarkEnd w:id="67"/>
      <w:r>
        <w:t xml:space="preserve">Dunic, J. C., and I. M. Côté. 2023. Management thresholds shift under the influence of multiple stressors: Eelgrass meadows as a case study. </w:t>
      </w:r>
      <w:r>
        <w:rPr>
          <w:i/>
          <w:iCs/>
        </w:rPr>
        <w:t>Conservation Letters</w:t>
      </w:r>
      <w:r>
        <w:t xml:space="preserve"> 16: e12938. </w:t>
      </w:r>
      <w:hyperlink r:id="rId48">
        <w:r>
          <w:rPr>
            <w:rStyle w:val="Hyperlink"/>
          </w:rPr>
          <w:t>https://doi.org/10.1111/conl.12938</w:t>
        </w:r>
      </w:hyperlink>
      <w:r>
        <w:t>.</w:t>
      </w:r>
    </w:p>
    <w:p w14:paraId="26F28744" w14:textId="77777777" w:rsidR="00472C87" w:rsidRDefault="00000000">
      <w:pPr>
        <w:pStyle w:val="Bibliography"/>
      </w:pPr>
      <w:bookmarkStart w:id="69" w:name="ref-fourqurean2012"/>
      <w:bookmarkEnd w:id="68"/>
      <w:r>
        <w:t xml:space="preserve">Fourqurean, J. W., C. M. Duarte, H. Kennedy, N. Marbà, M. Holmer, M. A. Mateo, E. T. Apostolaki, et al. 2012. Seagrass ecosystems as a globally significant carbon stock. </w:t>
      </w:r>
      <w:r>
        <w:rPr>
          <w:i/>
          <w:iCs/>
        </w:rPr>
        <w:t>Nature Geoscience</w:t>
      </w:r>
      <w:r>
        <w:t xml:space="preserve"> 5: 505–509. </w:t>
      </w:r>
      <w:hyperlink r:id="rId49">
        <w:r>
          <w:rPr>
            <w:rStyle w:val="Hyperlink"/>
          </w:rPr>
          <w:t>https://doi.org/10.1038/ngeo1477</w:t>
        </w:r>
      </w:hyperlink>
      <w:r>
        <w:t>.</w:t>
      </w:r>
    </w:p>
    <w:p w14:paraId="413BF373" w14:textId="77777777" w:rsidR="00472C87" w:rsidRDefault="00000000">
      <w:pPr>
        <w:pStyle w:val="Bibliography"/>
      </w:pPr>
      <w:bookmarkStart w:id="70" w:name="ref-garcia2023"/>
      <w:bookmarkEnd w:id="69"/>
      <w:r>
        <w:t xml:space="preserve">Garcia, L., C. J. Anastasiou, and D. Robison. 2023. </w:t>
      </w:r>
      <w:hyperlink r:id="rId50">
        <w:r>
          <w:rPr>
            <w:rStyle w:val="Hyperlink"/>
            <w:i/>
            <w:iCs/>
          </w:rPr>
          <w:t>Tampa Bay Surface Water Improvement and Management (SWIM) Plan</w:t>
        </w:r>
      </w:hyperlink>
      <w:r>
        <w:t>. Brooksville, Florida: Southwest Florida Water Management District.</w:t>
      </w:r>
    </w:p>
    <w:p w14:paraId="33F76203" w14:textId="77777777" w:rsidR="00472C87" w:rsidRDefault="00000000">
      <w:pPr>
        <w:pStyle w:val="Bibliography"/>
      </w:pPr>
      <w:bookmarkStart w:id="71" w:name="ref-garrett2011"/>
      <w:bookmarkEnd w:id="70"/>
      <w:r>
        <w:t xml:space="preserve">Garrett, M., J. Wolny, E. Truby, C. Heil, and C. Kovach. 2011. Harmful algal bloom species and phosphate-processing effluent: Field and laboratory studies. </w:t>
      </w:r>
      <w:r>
        <w:rPr>
          <w:i/>
          <w:iCs/>
        </w:rPr>
        <w:t>Marine Pollution Bulletin</w:t>
      </w:r>
      <w:r>
        <w:t xml:space="preserve"> 62: 596–601. </w:t>
      </w:r>
      <w:hyperlink r:id="rId51">
        <w:r>
          <w:rPr>
            <w:rStyle w:val="Hyperlink"/>
          </w:rPr>
          <w:t>https://doi.org/10.1016/j.marpolbul.2010.11.017</w:t>
        </w:r>
      </w:hyperlink>
      <w:r>
        <w:t>.</w:t>
      </w:r>
    </w:p>
    <w:p w14:paraId="3477E1C3" w14:textId="77777777" w:rsidR="00472C87" w:rsidRDefault="00000000">
      <w:pPr>
        <w:pStyle w:val="Bibliography"/>
      </w:pPr>
      <w:bookmarkStart w:id="72" w:name="ref-greening2006"/>
      <w:bookmarkEnd w:id="71"/>
      <w:r>
        <w:t xml:space="preserve">Greening, H. S., and A. Janicki. 2006. Toward reversal of eutrophic conditions in a subtropical estuary: Water quality and seagrass response to nitrogen loading reductions in Tampa Bay, Florida, USA. </w:t>
      </w:r>
      <w:r>
        <w:rPr>
          <w:i/>
          <w:iCs/>
        </w:rPr>
        <w:t>Environmental Management</w:t>
      </w:r>
      <w:r>
        <w:t xml:space="preserve"> 38: 163–178. </w:t>
      </w:r>
      <w:hyperlink r:id="rId52">
        <w:r>
          <w:rPr>
            <w:rStyle w:val="Hyperlink"/>
          </w:rPr>
          <w:t>https://doi.org/10.1007/s00267-005-0079-4</w:t>
        </w:r>
      </w:hyperlink>
      <w:r>
        <w:t>.</w:t>
      </w:r>
    </w:p>
    <w:p w14:paraId="761CB30E" w14:textId="77777777" w:rsidR="00472C87" w:rsidRDefault="00000000">
      <w:pPr>
        <w:pStyle w:val="Bibliography"/>
      </w:pPr>
      <w:bookmarkStart w:id="73" w:name="ref-greening2014"/>
      <w:bookmarkEnd w:id="72"/>
      <w:r>
        <w:t xml:space="preserve">Greening, H. S., A. Janicki, E. T. Sherwood, R. Pribble, and J. O. R. Johansson. 2014. Ecosystem responses to long-term nutrient management in an urban estuary: Tampa Bay, Florida, USA. </w:t>
      </w:r>
      <w:r>
        <w:rPr>
          <w:i/>
          <w:iCs/>
        </w:rPr>
        <w:t>Estuarine, Coastal and Shelf Science</w:t>
      </w:r>
      <w:r>
        <w:t xml:space="preserve"> 151: A1–A16. </w:t>
      </w:r>
      <w:hyperlink r:id="rId53">
        <w:r>
          <w:rPr>
            <w:rStyle w:val="Hyperlink"/>
          </w:rPr>
          <w:t>https://doi.org/10.1016/j.ecss.2014.10.003</w:t>
        </w:r>
      </w:hyperlink>
      <w:r>
        <w:t>.</w:t>
      </w:r>
    </w:p>
    <w:p w14:paraId="460E0949" w14:textId="77777777" w:rsidR="00472C87" w:rsidRDefault="00000000">
      <w:pPr>
        <w:pStyle w:val="Bibliography"/>
      </w:pPr>
      <w:bookmarkStart w:id="74" w:name="ref-hall2022"/>
      <w:bookmarkEnd w:id="73"/>
      <w:r>
        <w:t xml:space="preserve">Hall, L. M., L. J. Morris, R. H. Chamberlain, M. D. Hanisak, R. W. Virnstein, R. Paperno, B. Riegl, L. R. Ellis, A. Simpson, and C. A. Jacoby. 2022. Spatiotemporal patterns in the biomass of drift macroalgae in the Indian River Lagoon, Florida, United States. </w:t>
      </w:r>
      <w:r>
        <w:rPr>
          <w:i/>
          <w:iCs/>
        </w:rPr>
        <w:t>Frontiers in Marine Science</w:t>
      </w:r>
      <w:r>
        <w:t xml:space="preserve"> 9: 767440. </w:t>
      </w:r>
      <w:hyperlink r:id="rId54">
        <w:r>
          <w:rPr>
            <w:rStyle w:val="Hyperlink"/>
          </w:rPr>
          <w:t>https://doi.org/10.3389/fmars.2022.767440</w:t>
        </w:r>
      </w:hyperlink>
      <w:r>
        <w:t>.</w:t>
      </w:r>
    </w:p>
    <w:p w14:paraId="23871042" w14:textId="77777777" w:rsidR="00472C87" w:rsidRDefault="00000000">
      <w:pPr>
        <w:pStyle w:val="Bibliography"/>
      </w:pPr>
      <w:bookmarkStart w:id="75" w:name="ref-hall1999"/>
      <w:bookmarkEnd w:id="74"/>
      <w:r>
        <w:lastRenderedPageBreak/>
        <w:t xml:space="preserve">Hall, Margaret O., M. J. Durako, J. W. Fourqurean, and J. C. Zieman. 1999. Decadal changes in seagrass distribution and abundance in Florida Bay. </w:t>
      </w:r>
      <w:r>
        <w:rPr>
          <w:i/>
          <w:iCs/>
        </w:rPr>
        <w:t>Estuaries</w:t>
      </w:r>
      <w:r>
        <w:t xml:space="preserve"> 22: 445. </w:t>
      </w:r>
      <w:hyperlink r:id="rId55">
        <w:r>
          <w:rPr>
            <w:rStyle w:val="Hyperlink"/>
          </w:rPr>
          <w:t>https://doi.org/10.2307/1353210</w:t>
        </w:r>
      </w:hyperlink>
      <w:r>
        <w:t>.</w:t>
      </w:r>
    </w:p>
    <w:p w14:paraId="0F878C8C" w14:textId="77777777" w:rsidR="00472C87" w:rsidRDefault="00000000">
      <w:pPr>
        <w:pStyle w:val="Bibliography"/>
      </w:pPr>
      <w:bookmarkStart w:id="76" w:name="ref-hall2016"/>
      <w:bookmarkEnd w:id="75"/>
      <w:r>
        <w:t xml:space="preserve">Hall, Margaret O., B. T. Furman, M. Merello, and M. J. Durako. 2016. Recurrence of </w:t>
      </w:r>
      <w:r>
        <w:rPr>
          <w:i/>
          <w:iCs/>
        </w:rPr>
        <w:t>Thalassia testudinum</w:t>
      </w:r>
      <w:r>
        <w:t xml:space="preserve"> seagrass die-off in Florida Bay, USA: Initial observations. </w:t>
      </w:r>
      <w:r>
        <w:rPr>
          <w:i/>
          <w:iCs/>
        </w:rPr>
        <w:t>Marine Ecology Progress Series</w:t>
      </w:r>
      <w:r>
        <w:t xml:space="preserve"> 560: 243–249. </w:t>
      </w:r>
      <w:hyperlink r:id="rId56">
        <w:r>
          <w:rPr>
            <w:rStyle w:val="Hyperlink"/>
          </w:rPr>
          <w:t>https://doi.org/10.3354/meps11923</w:t>
        </w:r>
      </w:hyperlink>
      <w:r>
        <w:t>.</w:t>
      </w:r>
    </w:p>
    <w:p w14:paraId="5E277ECB" w14:textId="77777777" w:rsidR="00472C87" w:rsidRDefault="00000000">
      <w:pPr>
        <w:pStyle w:val="Bibliography"/>
      </w:pPr>
      <w:bookmarkStart w:id="77" w:name="ref-hammer2018"/>
      <w:bookmarkEnd w:id="76"/>
      <w:r>
        <w:t xml:space="preserve">Hammer, K., J. Borum, H. Hasler-Sheetal, E. Shields, K. Sand-Jensen, and K. Moore. 2018. High temperatures cause reduced growth, plant death and metabolic changes in eelgrass </w:t>
      </w:r>
      <w:r>
        <w:rPr>
          <w:i/>
          <w:iCs/>
        </w:rPr>
        <w:t>Zostera marina</w:t>
      </w:r>
      <w:r>
        <w:t xml:space="preserve">. </w:t>
      </w:r>
      <w:r>
        <w:rPr>
          <w:i/>
          <w:iCs/>
        </w:rPr>
        <w:t>Marine Ecology Progress Series</w:t>
      </w:r>
      <w:r>
        <w:t xml:space="preserve"> 604: 121–132. </w:t>
      </w:r>
      <w:hyperlink r:id="rId57">
        <w:r>
          <w:rPr>
            <w:rStyle w:val="Hyperlink"/>
          </w:rPr>
          <w:t>https://doi.org/10.3354/meps12740</w:t>
        </w:r>
      </w:hyperlink>
      <w:r>
        <w:t>.</w:t>
      </w:r>
    </w:p>
    <w:p w14:paraId="2C382AD5" w14:textId="77777777" w:rsidR="00472C87" w:rsidRDefault="00000000">
      <w:pPr>
        <w:pStyle w:val="Bibliography"/>
      </w:pPr>
      <w:bookmarkStart w:id="78" w:name="ref-han2014"/>
      <w:bookmarkEnd w:id="77"/>
      <w:r>
        <w:t xml:space="preserve">Han, Q., and D. Liu. 2014. Macroalgae blooms and their effects on seagrass ecosystems. </w:t>
      </w:r>
      <w:r>
        <w:rPr>
          <w:i/>
          <w:iCs/>
        </w:rPr>
        <w:t>Journal of Ocean University of China</w:t>
      </w:r>
      <w:r>
        <w:t xml:space="preserve"> 13: 791–798. </w:t>
      </w:r>
      <w:hyperlink r:id="rId58">
        <w:r>
          <w:rPr>
            <w:rStyle w:val="Hyperlink"/>
          </w:rPr>
          <w:t>https://doi.org/10.1007/s11802-014-2471-2</w:t>
        </w:r>
      </w:hyperlink>
      <w:r>
        <w:t>.</w:t>
      </w:r>
    </w:p>
    <w:p w14:paraId="01CFF53D" w14:textId="77777777" w:rsidR="00472C87" w:rsidRDefault="00000000">
      <w:pPr>
        <w:pStyle w:val="Bibliography"/>
      </w:pPr>
      <w:bookmarkStart w:id="79" w:name="ref-hensel2023"/>
      <w:bookmarkEnd w:id="78"/>
      <w:r>
        <w:t xml:space="preserve">Hensel, M. J. S., C. J. Patrick, R. J. Orth, D. J. Wilcox, W. C. Dennison, C. Gurbisz, M. P. Hannam, et al. 2023. Rise of </w:t>
      </w:r>
      <w:r>
        <w:rPr>
          <w:i/>
          <w:iCs/>
        </w:rPr>
        <w:t>Ruppia</w:t>
      </w:r>
      <w:r>
        <w:t xml:space="preserve"> in Chesapeake Bay: Climate change-driven turnover of foundation species creates new threats and management opportunities. </w:t>
      </w:r>
      <w:r>
        <w:rPr>
          <w:i/>
          <w:iCs/>
        </w:rPr>
        <w:t>Proceedings of the National Academy of Sciences</w:t>
      </w:r>
      <w:r>
        <w:t xml:space="preserve"> 120. </w:t>
      </w:r>
      <w:hyperlink r:id="rId59">
        <w:r>
          <w:rPr>
            <w:rStyle w:val="Hyperlink"/>
          </w:rPr>
          <w:t>https://doi.org/10.1073/pnas.2220678120</w:t>
        </w:r>
      </w:hyperlink>
      <w:r>
        <w:t>.</w:t>
      </w:r>
    </w:p>
    <w:p w14:paraId="21FFE00E" w14:textId="77777777" w:rsidR="00472C87" w:rsidRDefault="00000000">
      <w:pPr>
        <w:pStyle w:val="Bibliography"/>
      </w:pPr>
      <w:bookmarkStart w:id="80" w:name="ref-hirsch1982"/>
      <w:bookmarkEnd w:id="79"/>
      <w:r>
        <w:t xml:space="preserve">Hirsch, R. M., J. R. Slack, and R. A. Smith. 1982. Techniques of trend analysis for monthly water quality data. </w:t>
      </w:r>
      <w:r>
        <w:rPr>
          <w:i/>
          <w:iCs/>
        </w:rPr>
        <w:t>Water Resources Research</w:t>
      </w:r>
      <w:r>
        <w:t xml:space="preserve"> 18: 107–121. </w:t>
      </w:r>
      <w:hyperlink r:id="rId60">
        <w:r>
          <w:rPr>
            <w:rStyle w:val="Hyperlink"/>
          </w:rPr>
          <w:t>https://doi.org/10.1029/wr018i001p00107</w:t>
        </w:r>
      </w:hyperlink>
      <w:r>
        <w:t>.</w:t>
      </w:r>
    </w:p>
    <w:p w14:paraId="70434A15" w14:textId="77777777" w:rsidR="00472C87" w:rsidRDefault="00000000">
      <w:pPr>
        <w:pStyle w:val="Bibliography"/>
      </w:pPr>
      <w:bookmarkStart w:id="81" w:name="ref-hutchinson1957"/>
      <w:bookmarkEnd w:id="80"/>
      <w:r>
        <w:t xml:space="preserve">Hutchinson, G. E. 1957. Concluding remarks. </w:t>
      </w:r>
      <w:r>
        <w:rPr>
          <w:i/>
          <w:iCs/>
        </w:rPr>
        <w:t>Cold Spring Harbor Symposia on Quantitative Biology</w:t>
      </w:r>
      <w:r>
        <w:t xml:space="preserve"> 22: 415–427. </w:t>
      </w:r>
      <w:hyperlink r:id="rId61">
        <w:r>
          <w:rPr>
            <w:rStyle w:val="Hyperlink"/>
          </w:rPr>
          <w:t>https://doi.org/10.1101/sqb.1957.022.01.039</w:t>
        </w:r>
      </w:hyperlink>
      <w:r>
        <w:t>.</w:t>
      </w:r>
    </w:p>
    <w:p w14:paraId="607E0608" w14:textId="77777777" w:rsidR="00472C87" w:rsidRDefault="00000000">
      <w:pPr>
        <w:pStyle w:val="Bibliography"/>
      </w:pPr>
      <w:bookmarkStart w:id="82" w:name="ref-tbep0696"/>
      <w:bookmarkEnd w:id="81"/>
      <w:r>
        <w:t xml:space="preserve">Janicki, A. J., and D. L. Wade. 1996. </w:t>
      </w:r>
      <w:hyperlink r:id="rId62">
        <w:r>
          <w:rPr>
            <w:rStyle w:val="Hyperlink"/>
            <w:i/>
            <w:iCs/>
          </w:rPr>
          <w:t>Estimating critical nitrogen loads for the Tampa Bay Estuary: An empirically based approach to setting management targets</w:t>
        </w:r>
      </w:hyperlink>
      <w:r>
        <w:t>. 06-96. St. Petersburg, Florida: Tampa Bay Estuary Program.</w:t>
      </w:r>
    </w:p>
    <w:p w14:paraId="5DBA4B3A" w14:textId="77777777" w:rsidR="00472C87" w:rsidRDefault="00000000">
      <w:pPr>
        <w:pStyle w:val="Bibliography"/>
      </w:pPr>
      <w:bookmarkStart w:id="83" w:name="ref-tbep0400"/>
      <w:bookmarkEnd w:id="82"/>
      <w:r>
        <w:t xml:space="preserve">Janicki, A., D. Wade, and J. R. Pribble. 2000. </w:t>
      </w:r>
      <w:hyperlink r:id="rId63">
        <w:r>
          <w:rPr>
            <w:rStyle w:val="Hyperlink"/>
            <w:i/>
            <w:iCs/>
          </w:rPr>
          <w:t>Developing and establishing a process to track the status of chlorophyll-a concentrations and light attenuation to support seagrass restoration goals in Tampa Bay</w:t>
        </w:r>
      </w:hyperlink>
      <w:r>
        <w:t>. 04-00. St. Petersburg, Florida: Tampa Bay Estuary Program.</w:t>
      </w:r>
    </w:p>
    <w:p w14:paraId="4EE4E69B" w14:textId="77777777" w:rsidR="00472C87" w:rsidRDefault="00000000">
      <w:pPr>
        <w:pStyle w:val="Bibliography"/>
      </w:pPr>
      <w:bookmarkStart w:id="84" w:name="ref-jei2022"/>
      <w:bookmarkEnd w:id="83"/>
      <w:r>
        <w:t xml:space="preserve">Janicki Environmental, Inc. 2022. </w:t>
      </w:r>
      <w:hyperlink r:id="rId64">
        <w:r>
          <w:rPr>
            <w:rStyle w:val="Hyperlink"/>
            <w:i/>
            <w:iCs/>
          </w:rPr>
          <w:t>Identifying potential drivers of change in seagrass and algal community composition in SWFL aquatic preserves</w:t>
        </w:r>
      </w:hyperlink>
      <w:r>
        <w:t>. Charlotte Harbor; Estero Bay Aquatic Preserves.</w:t>
      </w:r>
    </w:p>
    <w:p w14:paraId="3E6FAFC9" w14:textId="77777777" w:rsidR="00472C87" w:rsidRDefault="00000000">
      <w:pPr>
        <w:pStyle w:val="Bibliography"/>
      </w:pPr>
      <w:bookmarkStart w:id="85" w:name="ref-tbep0623"/>
      <w:bookmarkEnd w:id="84"/>
      <w:r>
        <w:t xml:space="preserve">Janicki Environmental, Inc. 2023. </w:t>
      </w:r>
      <w:hyperlink r:id="rId65">
        <w:r>
          <w:rPr>
            <w:rStyle w:val="Hyperlink"/>
            <w:i/>
            <w:iCs/>
          </w:rPr>
          <w:t>Estimates of total nitrogen, total phosphorus, total suspended solids, and biological oxygen demand loadings to Tampa Bay, Florida: 2017-2021</w:t>
        </w:r>
      </w:hyperlink>
      <w:r>
        <w:t>. 06-23. St. Petersburg, Florida: Tampa Bay Estuary Program.</w:t>
      </w:r>
    </w:p>
    <w:p w14:paraId="5DB785F0" w14:textId="77777777" w:rsidR="00472C87" w:rsidRDefault="00000000">
      <w:pPr>
        <w:pStyle w:val="Bibliography"/>
      </w:pPr>
      <w:bookmarkStart w:id="86" w:name="ref-tbep0816"/>
      <w:bookmarkEnd w:id="85"/>
      <w:r>
        <w:t xml:space="preserve">Johansson, J. O. R. 2016. </w:t>
      </w:r>
      <w:hyperlink r:id="rId66">
        <w:r>
          <w:rPr>
            <w:rStyle w:val="Hyperlink"/>
            <w:i/>
            <w:iCs/>
          </w:rPr>
          <w:t>Seagrass transect monitoring in Tampa Bay: A summary of findings from 1997 through 2015</w:t>
        </w:r>
      </w:hyperlink>
      <w:r>
        <w:t>. 08-16. St. Petersburg, Florida: Tampa Bay Estuary Program.</w:t>
      </w:r>
    </w:p>
    <w:p w14:paraId="649A32CF" w14:textId="77777777" w:rsidR="00472C87" w:rsidRDefault="00000000">
      <w:pPr>
        <w:pStyle w:val="Bibliography"/>
      </w:pPr>
      <w:bookmarkStart w:id="87" w:name="ref-johansson15"/>
      <w:bookmarkEnd w:id="86"/>
      <w:r>
        <w:t xml:space="preserve">Johansson, J. O. R., and Janicki Environmental, Inc. 2015. </w:t>
      </w:r>
      <w:hyperlink r:id="rId67">
        <w:r>
          <w:rPr>
            <w:rStyle w:val="Hyperlink"/>
            <w:i/>
            <w:iCs/>
          </w:rPr>
          <w:t>Long-term underwater light climate variation and submerged seagrass trends in Tampa Bay, Florida: With a discussion of phytoplankton and CDOM interactions</w:t>
        </w:r>
      </w:hyperlink>
      <w:r>
        <w:t>. 06-15. St. Petersburg, Florida: Tampa Bay Estuary Program.</w:t>
      </w:r>
    </w:p>
    <w:p w14:paraId="0A9C1B40" w14:textId="77777777" w:rsidR="00472C87" w:rsidRDefault="00000000">
      <w:pPr>
        <w:pStyle w:val="Bibliography"/>
      </w:pPr>
      <w:bookmarkStart w:id="88" w:name="ref-koch2007"/>
      <w:bookmarkEnd w:id="87"/>
      <w:r>
        <w:lastRenderedPageBreak/>
        <w:t xml:space="preserve">Koch, M. S., S. A. Schopmeyer, O. I. Nielsen, C. Kyhn-Hansen, and C. J. Madden. 2007. Conceptual model of seagrass die-off in Florida Bay: Links to biogeochemical processes. </w:t>
      </w:r>
      <w:r>
        <w:rPr>
          <w:i/>
          <w:iCs/>
        </w:rPr>
        <w:t>Journal of Experimental Marine Biology and Ecology</w:t>
      </w:r>
      <w:r>
        <w:t xml:space="preserve"> 350: 73–88. </w:t>
      </w:r>
      <w:hyperlink r:id="rId68">
        <w:r>
          <w:rPr>
            <w:rStyle w:val="Hyperlink"/>
          </w:rPr>
          <w:t>https://doi.org/10.1016/j.jembe.2007.05.031</w:t>
        </w:r>
      </w:hyperlink>
      <w:r>
        <w:t>.</w:t>
      </w:r>
    </w:p>
    <w:p w14:paraId="21CE16E1" w14:textId="77777777" w:rsidR="00472C87" w:rsidRDefault="00000000">
      <w:pPr>
        <w:pStyle w:val="Bibliography"/>
      </w:pPr>
      <w:bookmarkStart w:id="89" w:name="ref-lefcheck2018"/>
      <w:bookmarkEnd w:id="88"/>
      <w:r>
        <w:t xml:space="preserve">Lefcheck, J. S., R. J. Orth, W. C. Dennison, D. J. Wilcox, R. R. Murphy, J. Keisman, C. Gurbisz, et al. 2018. Long-term nutrient reductions lead to the unprecedented recovery of a temperate coastal region. </w:t>
      </w:r>
      <w:r>
        <w:rPr>
          <w:i/>
          <w:iCs/>
        </w:rPr>
        <w:t>Proceedings of the National Academy of Sciences</w:t>
      </w:r>
      <w:r>
        <w:t xml:space="preserve"> 115: 3658–3662. </w:t>
      </w:r>
      <w:hyperlink r:id="rId69">
        <w:r>
          <w:rPr>
            <w:rStyle w:val="Hyperlink"/>
          </w:rPr>
          <w:t>https://doi.org/10.1073/pnas.1715798115</w:t>
        </w:r>
      </w:hyperlink>
      <w:r>
        <w:t>.</w:t>
      </w:r>
    </w:p>
    <w:p w14:paraId="7A508B27" w14:textId="77777777" w:rsidR="00472C87" w:rsidRDefault="00000000">
      <w:pPr>
        <w:pStyle w:val="Bibliography"/>
      </w:pPr>
      <w:bookmarkStart w:id="90" w:name="ref-lefcheck2017"/>
      <w:bookmarkEnd w:id="89"/>
      <w:r>
        <w:t>Lefcheck, J. S., D. J. Wilcox, R. R. Murphy, S. R. Marion, and R. J. Orth. 2017. Multiple stressors threaten the imperiled coastal foundation species eelgrass (</w:t>
      </w:r>
      <w:r>
        <w:rPr>
          <w:i/>
          <w:iCs/>
        </w:rPr>
        <w:t>Zostera marina</w:t>
      </w:r>
      <w:r>
        <w:t xml:space="preserve">) in Chesapeake Bay, USA. </w:t>
      </w:r>
      <w:r>
        <w:rPr>
          <w:i/>
          <w:iCs/>
        </w:rPr>
        <w:t>Global Change Biology</w:t>
      </w:r>
      <w:r>
        <w:t xml:space="preserve"> 23: 3474–3483. </w:t>
      </w:r>
      <w:hyperlink r:id="rId70">
        <w:r>
          <w:rPr>
            <w:rStyle w:val="Hyperlink"/>
          </w:rPr>
          <w:t>https://doi.org/10.1111/gcb.13623</w:t>
        </w:r>
      </w:hyperlink>
      <w:r>
        <w:t>.</w:t>
      </w:r>
    </w:p>
    <w:p w14:paraId="7EF75A10" w14:textId="77777777" w:rsidR="00472C87" w:rsidRDefault="00000000">
      <w:pPr>
        <w:pStyle w:val="Bibliography"/>
      </w:pPr>
      <w:bookmarkStart w:id="91" w:name="ref-lewis1985"/>
      <w:bookmarkEnd w:id="90"/>
      <w:r>
        <w:t xml:space="preserve">Lewis III, R. R., M. Durako, M. Moffler, and R. Phillips. 1985. </w:t>
      </w:r>
      <w:hyperlink r:id="rId71">
        <w:r>
          <w:rPr>
            <w:rStyle w:val="Hyperlink"/>
          </w:rPr>
          <w:t>Seagrass meadows of Tampa Bay - a review</w:t>
        </w:r>
      </w:hyperlink>
      <w:r>
        <w:t xml:space="preserve">. In </w:t>
      </w:r>
      <w:r>
        <w:rPr>
          <w:i/>
          <w:iCs/>
        </w:rPr>
        <w:t>Proceedings, Tampa Bay Area Scientific Information Symposium, May 1982</w:t>
      </w:r>
      <w:r>
        <w:t>, ed. S. F. Treat, J. L. Simon, R. R. Lewis III, and R. L. Whitman Jr., 210–246. Tampa, Florida: Bellweather Press.</w:t>
      </w:r>
    </w:p>
    <w:p w14:paraId="7247249A" w14:textId="77777777" w:rsidR="00472C87" w:rsidRDefault="00000000">
      <w:pPr>
        <w:pStyle w:val="Bibliography"/>
      </w:pPr>
      <w:bookmarkStart w:id="92" w:name="ref-lirman2003"/>
      <w:bookmarkEnd w:id="91"/>
      <w:r>
        <w:t xml:space="preserve">Lirman, D., and W. P. Cropper. 2003. The influence of salinity on seagrass growth, survivorship, and distribution within Biscayne Bay, Florida: Field, experimental, and modeling studies. </w:t>
      </w:r>
      <w:r>
        <w:rPr>
          <w:i/>
          <w:iCs/>
        </w:rPr>
        <w:t>Estuaries</w:t>
      </w:r>
      <w:r>
        <w:t xml:space="preserve"> 26: 131–141. </w:t>
      </w:r>
      <w:hyperlink r:id="rId72">
        <w:r>
          <w:rPr>
            <w:rStyle w:val="Hyperlink"/>
          </w:rPr>
          <w:t>https://doi.org/10.1007/bf02691700</w:t>
        </w:r>
      </w:hyperlink>
      <w:r>
        <w:t>.</w:t>
      </w:r>
    </w:p>
    <w:p w14:paraId="2E540D79" w14:textId="77777777" w:rsidR="00472C87" w:rsidRDefault="00000000">
      <w:pPr>
        <w:pStyle w:val="Bibliography"/>
      </w:pPr>
      <w:bookmarkStart w:id="93" w:name="ref-lizcano-sandoval2022"/>
      <w:bookmarkEnd w:id="92"/>
      <w:r>
        <w:t xml:space="preserve">Lizcano-Sandoval, L., C. Anastasiou, E. Montes, G. E. Raulerson, E. T. Sherwood, and F. E. Muller-Karger. 2022. Seagrass distribution, areal cover, and changes (1990-2021) in coastal waters off West-Central Florida, USA. </w:t>
      </w:r>
      <w:r>
        <w:rPr>
          <w:i/>
          <w:iCs/>
        </w:rPr>
        <w:t>Estuarine, Coastal and Shelf Science</w:t>
      </w:r>
      <w:r>
        <w:t xml:space="preserve"> 279: 108134. </w:t>
      </w:r>
      <w:hyperlink r:id="rId73">
        <w:r>
          <w:rPr>
            <w:rStyle w:val="Hyperlink"/>
          </w:rPr>
          <w:t>https://doi.org/10.1016/j.ecss.2022.108134</w:t>
        </w:r>
      </w:hyperlink>
      <w:r>
        <w:t>.</w:t>
      </w:r>
    </w:p>
    <w:p w14:paraId="6995B997" w14:textId="77777777" w:rsidR="00472C87" w:rsidRDefault="00000000">
      <w:pPr>
        <w:pStyle w:val="Bibliography"/>
      </w:pPr>
      <w:bookmarkStart w:id="94" w:name="ref-lopez2021"/>
      <w:bookmarkEnd w:id="93"/>
      <w:r>
        <w:t xml:space="preserve">Lopez, C. B., S. Shankar, S. G. Kaminski, M. Garrett, and K. A. Hubbard. 2021. </w:t>
      </w:r>
      <w:hyperlink r:id="rId74">
        <w:r>
          <w:rPr>
            <w:rStyle w:val="Hyperlink"/>
            <w:i/>
            <w:iCs/>
          </w:rPr>
          <w:t>Linking Pyrodinium bahamense physiology and behavior to population growth and loss in nature and implications for management</w:t>
        </w:r>
      </w:hyperlink>
      <w:r>
        <w:t>. 07a-21. St. Petersburg, Florida: Tampa Bay Estuary Program.</w:t>
      </w:r>
    </w:p>
    <w:p w14:paraId="2FFDBF81" w14:textId="77777777" w:rsidR="00472C87" w:rsidRDefault="00000000">
      <w:pPr>
        <w:pStyle w:val="Bibliography"/>
      </w:pPr>
      <w:bookmarkStart w:id="95" w:name="ref-lopez2023"/>
      <w:bookmarkEnd w:id="94"/>
      <w:r>
        <w:t xml:space="preserve">Lopez, C. B., S. Shankar, S. G. Kaminski, and K. A. Hubbard. 2023. </w:t>
      </w:r>
      <w:r>
        <w:rPr>
          <w:i/>
          <w:iCs/>
        </w:rPr>
        <w:t>Pyrodinium bahamense</w:t>
      </w:r>
      <w:r>
        <w:t xml:space="preserve"> bloom dynamics in Old Tampa Bay, FL, with a focus on Feather Sound. </w:t>
      </w:r>
      <w:r>
        <w:rPr>
          <w:i/>
          <w:iCs/>
        </w:rPr>
        <w:t>Florida Scientist</w:t>
      </w:r>
      <w:r>
        <w:t xml:space="preserve"> 86: 62–71.</w:t>
      </w:r>
    </w:p>
    <w:p w14:paraId="34A8960D" w14:textId="77777777" w:rsidR="00472C87" w:rsidRDefault="00000000">
      <w:pPr>
        <w:pStyle w:val="Bibliography"/>
      </w:pPr>
      <w:bookmarkStart w:id="96" w:name="ref-luther2022"/>
      <w:bookmarkEnd w:id="95"/>
      <w:r>
        <w:t xml:space="preserve">Luther, M. E., and S. D. Meyers. 2022. </w:t>
      </w:r>
      <w:hyperlink r:id="rId75">
        <w:r>
          <w:rPr>
            <w:rStyle w:val="Hyperlink"/>
            <w:i/>
            <w:iCs/>
          </w:rPr>
          <w:t>Designing a genetic algorithm for the selection of causeway cut-throughs in Old Tampa Bay: Planning and prototyping</w:t>
        </w:r>
      </w:hyperlink>
      <w:r>
        <w:t>. 08-22. St. Petersburg, Florida: Tampa Bay Estuary Program.</w:t>
      </w:r>
    </w:p>
    <w:p w14:paraId="42913090" w14:textId="77777777" w:rsidR="00472C87" w:rsidRDefault="00000000">
      <w:pPr>
        <w:pStyle w:val="Bibliography"/>
      </w:pPr>
      <w:bookmarkStart w:id="97" w:name="ref-madeira2012"/>
      <w:bookmarkEnd w:id="96"/>
      <w:r>
        <w:t xml:space="preserve">Madeira, D., L. Narciso, H. N. Cabral, and C. Vinagre. 2012. Thermal tolerance and potential impacts of climate change on coastal and estuarine organisms. </w:t>
      </w:r>
      <w:r>
        <w:rPr>
          <w:i/>
          <w:iCs/>
        </w:rPr>
        <w:t>Journal of Sea Research</w:t>
      </w:r>
      <w:r>
        <w:t xml:space="preserve"> 70: 32–41. </w:t>
      </w:r>
      <w:hyperlink r:id="rId76">
        <w:r>
          <w:rPr>
            <w:rStyle w:val="Hyperlink"/>
          </w:rPr>
          <w:t>https://doi.org/10.1016/j.seares.2012.03.002</w:t>
        </w:r>
      </w:hyperlink>
      <w:r>
        <w:t>.</w:t>
      </w:r>
    </w:p>
    <w:p w14:paraId="5700D4DC" w14:textId="77777777" w:rsidR="00472C87" w:rsidRDefault="00000000">
      <w:pPr>
        <w:pStyle w:val="Bibliography"/>
      </w:pPr>
      <w:bookmarkStart w:id="98" w:name="ref-maxwell2016"/>
      <w:bookmarkEnd w:id="97"/>
      <w:r>
        <w:t xml:space="preserve">Maxwell, P. S., J. S. Eklöf, M. M. van Katwijk, K. R. O’Brien, M. de la Torre-Castro, C. Boström, T. J. Bouma, et al. 2016. The fundamental role of ecological feedback mechanisms for the adaptive management of seagrass ecosystems - a review. </w:t>
      </w:r>
      <w:r>
        <w:rPr>
          <w:i/>
          <w:iCs/>
        </w:rPr>
        <w:t>Biological Reviews</w:t>
      </w:r>
      <w:r>
        <w:t xml:space="preserve"> 92: 1521–1538. </w:t>
      </w:r>
      <w:hyperlink r:id="rId77">
        <w:r>
          <w:rPr>
            <w:rStyle w:val="Hyperlink"/>
          </w:rPr>
          <w:t>https://doi.org/10.1111/brv.12294</w:t>
        </w:r>
      </w:hyperlink>
      <w:r>
        <w:t>.</w:t>
      </w:r>
    </w:p>
    <w:p w14:paraId="55F2DFE0" w14:textId="77777777" w:rsidR="00472C87" w:rsidRDefault="00000000">
      <w:pPr>
        <w:pStyle w:val="Bibliography"/>
      </w:pPr>
      <w:bookmarkStart w:id="99" w:name="ref-mcmillan1967"/>
      <w:bookmarkEnd w:id="98"/>
      <w:r>
        <w:lastRenderedPageBreak/>
        <w:t xml:space="preserve">McMillan, C., and F. N. Moseley. 1967. Salinity Tolerances of Five Marine Spermatophytes of Redfish Bay, Texas. </w:t>
      </w:r>
      <w:r>
        <w:rPr>
          <w:i/>
          <w:iCs/>
        </w:rPr>
        <w:t>Ecology</w:t>
      </w:r>
      <w:r>
        <w:t xml:space="preserve"> 48: 503–506. </w:t>
      </w:r>
      <w:hyperlink r:id="rId78">
        <w:r>
          <w:rPr>
            <w:rStyle w:val="Hyperlink"/>
          </w:rPr>
          <w:t>https://doi.org/10.2307/1932688</w:t>
        </w:r>
      </w:hyperlink>
      <w:r>
        <w:t>.</w:t>
      </w:r>
    </w:p>
    <w:p w14:paraId="61837A0D" w14:textId="77777777" w:rsidR="00472C87" w:rsidRDefault="00000000">
      <w:pPr>
        <w:pStyle w:val="Bibliography"/>
      </w:pPr>
      <w:bookmarkStart w:id="100" w:name="ref-millard13"/>
      <w:bookmarkEnd w:id="99"/>
      <w:r>
        <w:t xml:space="preserve">Millard, S. P. 2013. </w:t>
      </w:r>
      <w:hyperlink r:id="rId79">
        <w:r>
          <w:rPr>
            <w:rStyle w:val="Hyperlink"/>
            <w:i/>
            <w:iCs/>
          </w:rPr>
          <w:t>EnvStats: An R package for environmental statistics</w:t>
        </w:r>
      </w:hyperlink>
      <w:r>
        <w:t>. New York: Springer.</w:t>
      </w:r>
    </w:p>
    <w:p w14:paraId="0BEE3139" w14:textId="77777777" w:rsidR="00472C87" w:rsidRDefault="00000000">
      <w:pPr>
        <w:pStyle w:val="Bibliography"/>
      </w:pPr>
      <w:bookmarkStart w:id="101" w:name="ref-moreno-marin2018"/>
      <w:bookmarkEnd w:id="100"/>
      <w:r>
        <w:t xml:space="preserve">Moreno-Marín, F., F. G. Brun, and M. F. Pedersen. 2018. Additive response to multiple environmental stressors in the seagrass </w:t>
      </w:r>
      <w:r>
        <w:rPr>
          <w:i/>
          <w:iCs/>
        </w:rPr>
        <w:t>Zostera marina</w:t>
      </w:r>
      <w:r>
        <w:t xml:space="preserve"> L. </w:t>
      </w:r>
      <w:r>
        <w:rPr>
          <w:i/>
          <w:iCs/>
        </w:rPr>
        <w:t>Limnology and Oceanography</w:t>
      </w:r>
      <w:r>
        <w:t xml:space="preserve"> 63: 1528–1544. </w:t>
      </w:r>
      <w:hyperlink r:id="rId80">
        <w:r>
          <w:rPr>
            <w:rStyle w:val="Hyperlink"/>
          </w:rPr>
          <w:t>https://doi.org/10.1002/lno.10789</w:t>
        </w:r>
      </w:hyperlink>
      <w:r>
        <w:t>.</w:t>
      </w:r>
    </w:p>
    <w:p w14:paraId="4BE30BC8" w14:textId="77777777" w:rsidR="00472C87" w:rsidRDefault="00000000">
      <w:pPr>
        <w:pStyle w:val="Bibliography"/>
      </w:pPr>
      <w:bookmarkStart w:id="102" w:name="ref-morrison2006"/>
      <w:bookmarkEnd w:id="101"/>
      <w:r>
        <w:t xml:space="preserve">Morrison, G., E. T. Sherwood, R. Boler, and J. Barron. 2006. Variations in water clarity and chlorophylla in Tampa Bay, Florida, in response to annual rainfall, 19852004. </w:t>
      </w:r>
      <w:r>
        <w:rPr>
          <w:i/>
          <w:iCs/>
        </w:rPr>
        <w:t>Estuaries and Coasts</w:t>
      </w:r>
      <w:r>
        <w:t xml:space="preserve"> 29: 926–931. </w:t>
      </w:r>
      <w:hyperlink r:id="rId81">
        <w:r>
          <w:rPr>
            <w:rStyle w:val="Hyperlink"/>
          </w:rPr>
          <w:t>https://doi.org/10.1007/bf02798652</w:t>
        </w:r>
      </w:hyperlink>
      <w:r>
        <w:t>.</w:t>
      </w:r>
    </w:p>
    <w:p w14:paraId="6047DAB6" w14:textId="77777777" w:rsidR="00472C87" w:rsidRDefault="00000000">
      <w:pPr>
        <w:pStyle w:val="Bibliography"/>
      </w:pPr>
      <w:bookmarkStart w:id="103" w:name="ref-nickerson2023"/>
      <w:bookmarkEnd w:id="102"/>
      <w:r>
        <w:t xml:space="preserve">Nickerson, A. K., R. H. Weisberg, L. Zheng, and Y. Liu. 2023. Sea surface temperature trends for Tampa Bay, West Florida Shelf and the deep Gulf of Mexico. </w:t>
      </w:r>
      <w:r>
        <w:rPr>
          <w:i/>
          <w:iCs/>
        </w:rPr>
        <w:t>Deep Sea Research Part II: Topical Studies in Oceanography</w:t>
      </w:r>
      <w:r>
        <w:t xml:space="preserve"> 211: 105321. </w:t>
      </w:r>
      <w:hyperlink r:id="rId82">
        <w:r>
          <w:rPr>
            <w:rStyle w:val="Hyperlink"/>
          </w:rPr>
          <w:t>https://doi.org/10.1016/j.dsr2.2023.105321</w:t>
        </w:r>
      </w:hyperlink>
      <w:r>
        <w:t>.</w:t>
      </w:r>
    </w:p>
    <w:p w14:paraId="3F9E56E7" w14:textId="77777777" w:rsidR="00472C87" w:rsidRDefault="00000000">
      <w:pPr>
        <w:pStyle w:val="Bibliography"/>
      </w:pPr>
      <w:bookmarkStart w:id="104" w:name="ref-oliver2018"/>
      <w:bookmarkEnd w:id="103"/>
      <w:r>
        <w:t xml:space="preserve">Oliver, E. C. J., M. G. Donat, M. T. Burrows, P. J. Moore, D. A. Smale, L. V. Alexander, J. A. Benthuysen, et al. 2018. Longer and more frequent marine heatwaves over the past century. </w:t>
      </w:r>
      <w:r>
        <w:rPr>
          <w:i/>
          <w:iCs/>
        </w:rPr>
        <w:t>Nature Communications</w:t>
      </w:r>
      <w:r>
        <w:t xml:space="preserve"> 9. </w:t>
      </w:r>
      <w:hyperlink r:id="rId83">
        <w:r>
          <w:rPr>
            <w:rStyle w:val="Hyperlink"/>
          </w:rPr>
          <w:t>https://doi.org/10.1038/s41467-018-03732-9</w:t>
        </w:r>
      </w:hyperlink>
      <w:r>
        <w:t>.</w:t>
      </w:r>
    </w:p>
    <w:p w14:paraId="3878AD24" w14:textId="77777777" w:rsidR="00472C87" w:rsidRDefault="00000000">
      <w:pPr>
        <w:pStyle w:val="Bibliography"/>
      </w:pPr>
      <w:bookmarkStart w:id="105" w:name="ref-orth2006"/>
      <w:bookmarkEnd w:id="104"/>
      <w:r>
        <w:t xml:space="preserve">Orth, R. J., T. J. B. Carruthers, W. C. Dennison, C. M. Duarte, J. W. Fourqurean, K. L. Heck, A. R. Hughes, et al. 2006. A global crisis for seagrass ecosystems. </w:t>
      </w:r>
      <w:r>
        <w:rPr>
          <w:i/>
          <w:iCs/>
        </w:rPr>
        <w:t>BioScience</w:t>
      </w:r>
      <w:r>
        <w:t xml:space="preserve"> 56: 987–996. </w:t>
      </w:r>
      <w:hyperlink r:id="rId84">
        <w:r>
          <w:rPr>
            <w:rStyle w:val="Hyperlink"/>
          </w:rPr>
          <w:t>https://doi.org/10.1641/0006-3568(2006)56[987:agcfse]2.0.co;2</w:t>
        </w:r>
      </w:hyperlink>
      <w:r>
        <w:t>.</w:t>
      </w:r>
    </w:p>
    <w:p w14:paraId="08971406" w14:textId="77777777" w:rsidR="00472C87" w:rsidRDefault="00000000">
      <w:pPr>
        <w:pStyle w:val="Bibliography"/>
      </w:pPr>
      <w:bookmarkStart w:id="106" w:name="ref-orth2017"/>
      <w:bookmarkEnd w:id="105"/>
      <w:r>
        <w:t xml:space="preserve">Orth, R. J., W. C. Dennison, J. S. Lefcheck, C. Gurbisz, M. Hannam, J. Keisman, J. B. Landry, et al. 2017. Submersed aquatic vegetation in Chesapeake Bay: Sentinel species in a changing world. </w:t>
      </w:r>
      <w:r>
        <w:rPr>
          <w:i/>
          <w:iCs/>
        </w:rPr>
        <w:t>BioScience</w:t>
      </w:r>
      <w:r>
        <w:t xml:space="preserve"> 67: 698–712. </w:t>
      </w:r>
      <w:hyperlink r:id="rId85">
        <w:r>
          <w:rPr>
            <w:rStyle w:val="Hyperlink"/>
          </w:rPr>
          <w:t>https://doi.org/10.1093/biosci/bix058</w:t>
        </w:r>
      </w:hyperlink>
      <w:r>
        <w:t>.</w:t>
      </w:r>
    </w:p>
    <w:p w14:paraId="26E7EAC5" w14:textId="77777777" w:rsidR="00472C87" w:rsidRDefault="00000000">
      <w:pPr>
        <w:pStyle w:val="Bibliography"/>
      </w:pPr>
      <w:bookmarkStart w:id="107" w:name="ref-orth2023"/>
      <w:bookmarkEnd w:id="106"/>
      <w:r>
        <w:t xml:space="preserve">Orth, R. J., and K. L. Heck. 2023. The dynamics of seagrass ecosystems: History, past accomplishments, and future prospects. </w:t>
      </w:r>
      <w:r>
        <w:rPr>
          <w:i/>
          <w:iCs/>
        </w:rPr>
        <w:t>Estuaries and Coasts</w:t>
      </w:r>
      <w:r>
        <w:t xml:space="preserve"> 46: 1653–1676. </w:t>
      </w:r>
      <w:hyperlink r:id="rId86">
        <w:r>
          <w:rPr>
            <w:rStyle w:val="Hyperlink"/>
          </w:rPr>
          <w:t>https://doi.org/10.1007/s12237-023-01252-4</w:t>
        </w:r>
      </w:hyperlink>
      <w:r>
        <w:t>.</w:t>
      </w:r>
    </w:p>
    <w:p w14:paraId="2A265113" w14:textId="77777777" w:rsidR="00472C87" w:rsidRDefault="00000000">
      <w:pPr>
        <w:pStyle w:val="Bibliography"/>
      </w:pPr>
      <w:bookmarkStart w:id="108" w:name="ref-orth2020"/>
      <w:bookmarkEnd w:id="107"/>
      <w:r>
        <w:t xml:space="preserve">Orth, R. J., J. S. Lefcheck, K. S. McGlathery, L. Aoki, M. W. Luckenbach, K. A. Moore, M. P. J. Oreska, R. Snyder, D. J. Wilcox, and B. Lusk. 2020. Restoration of seagrass habitat leads to rapid recovery of coastal ecosystem services. </w:t>
      </w:r>
      <w:r>
        <w:rPr>
          <w:i/>
          <w:iCs/>
        </w:rPr>
        <w:t>Science Advances</w:t>
      </w:r>
      <w:r>
        <w:t xml:space="preserve"> 6: 1–9. </w:t>
      </w:r>
      <w:hyperlink r:id="rId87">
        <w:r>
          <w:rPr>
            <w:rStyle w:val="Hyperlink"/>
          </w:rPr>
          <w:t>https://doi.org/10.1126/sciadv.abc6434</w:t>
        </w:r>
      </w:hyperlink>
      <w:r>
        <w:t>.</w:t>
      </w:r>
    </w:p>
    <w:p w14:paraId="1B0100A6" w14:textId="77777777" w:rsidR="00472C87" w:rsidRDefault="00000000">
      <w:pPr>
        <w:pStyle w:val="Bibliography"/>
      </w:pPr>
      <w:bookmarkStart w:id="109" w:name="ref-osland2015"/>
      <w:bookmarkEnd w:id="108"/>
      <w:r>
        <w:t xml:space="preserve">Osland, M. J., N. M. Enwright, R. H. Day, C. A. Gabler, C. L. Stagg, and J. B. Grace. 2015. Beyond just sea-level rise: considering macroclimatic drivers within coastal wetland vulnerability assessments to climate change. </w:t>
      </w:r>
      <w:r>
        <w:rPr>
          <w:i/>
          <w:iCs/>
        </w:rPr>
        <w:t>Global Change Biology</w:t>
      </w:r>
      <w:r>
        <w:t xml:space="preserve"> 22: 1–11. </w:t>
      </w:r>
      <w:hyperlink r:id="rId88">
        <w:r>
          <w:rPr>
            <w:rStyle w:val="Hyperlink"/>
          </w:rPr>
          <w:t>https://doi.org/10.1111/gcb.13084</w:t>
        </w:r>
      </w:hyperlink>
      <w:r>
        <w:t>.</w:t>
      </w:r>
    </w:p>
    <w:p w14:paraId="1082A35E" w14:textId="77777777" w:rsidR="00472C87" w:rsidRDefault="00000000">
      <w:pPr>
        <w:pStyle w:val="Bibliography"/>
      </w:pPr>
      <w:bookmarkStart w:id="110" w:name="ref-phillips1960"/>
      <w:bookmarkEnd w:id="109"/>
      <w:r>
        <w:t xml:space="preserve">Phillips, R. C. 1960. </w:t>
      </w:r>
      <w:r>
        <w:rPr>
          <w:i/>
          <w:iCs/>
        </w:rPr>
        <w:t>Observations on the ecology and distribution of the florida seagrasses</w:t>
      </w:r>
      <w:r>
        <w:t>. 44. Florida State Board of Conservation, Marine Laboratory.</w:t>
      </w:r>
    </w:p>
    <w:p w14:paraId="7EC2166D" w14:textId="77777777" w:rsidR="00472C87" w:rsidRDefault="00000000">
      <w:pPr>
        <w:pStyle w:val="Bibliography"/>
      </w:pPr>
      <w:bookmarkStart w:id="111" w:name="ref-phillips88"/>
      <w:bookmarkEnd w:id="110"/>
      <w:r>
        <w:t xml:space="preserve">Phillips, R., and E. Meñez. 1988. </w:t>
      </w:r>
      <w:r>
        <w:rPr>
          <w:i/>
          <w:iCs/>
        </w:rPr>
        <w:t>Seagrasses</w:t>
      </w:r>
      <w:r>
        <w:t>. Washington, D.C.: Smithsonian Institution Press.</w:t>
      </w:r>
    </w:p>
    <w:p w14:paraId="76E34629" w14:textId="77777777" w:rsidR="00472C87" w:rsidRDefault="00000000">
      <w:pPr>
        <w:pStyle w:val="Bibliography"/>
      </w:pPr>
      <w:bookmarkStart w:id="112" w:name="ref-phlips2006"/>
      <w:bookmarkEnd w:id="111"/>
      <w:r>
        <w:lastRenderedPageBreak/>
        <w:t xml:space="preserve">Phlips, J., S. Badylak, E. Bledsoe, and M. Cichra. 2006. Factors affecting the distribution of </w:t>
      </w:r>
      <w:r>
        <w:rPr>
          <w:i/>
          <w:iCs/>
        </w:rPr>
        <w:t>Pyrodinium bahamense var. bahamense</w:t>
      </w:r>
      <w:r>
        <w:t xml:space="preserve"> in coastal waters of Florida. </w:t>
      </w:r>
      <w:r>
        <w:rPr>
          <w:i/>
          <w:iCs/>
        </w:rPr>
        <w:t>Marine Ecology Progress Series</w:t>
      </w:r>
      <w:r>
        <w:t xml:space="preserve"> 322: 99–115. </w:t>
      </w:r>
      <w:hyperlink r:id="rId89">
        <w:r>
          <w:rPr>
            <w:rStyle w:val="Hyperlink"/>
          </w:rPr>
          <w:t>https://doi.org/10.3354/meps322099</w:t>
        </w:r>
      </w:hyperlink>
      <w:r>
        <w:t>.</w:t>
      </w:r>
    </w:p>
    <w:p w14:paraId="080788C3" w14:textId="77777777" w:rsidR="00472C87" w:rsidRDefault="00000000">
      <w:pPr>
        <w:pStyle w:val="Bibliography"/>
      </w:pPr>
      <w:bookmarkStart w:id="113" w:name="ref-rasheed2011"/>
      <w:bookmarkEnd w:id="112"/>
      <w:r>
        <w:t xml:space="preserve">Rasheed, M., and R. Unsworth. 2011. Long-term climate-associated dynamics of a tropical seagrass meadow: implications for the future. </w:t>
      </w:r>
      <w:r>
        <w:rPr>
          <w:i/>
          <w:iCs/>
        </w:rPr>
        <w:t>Marine Ecology Progress Series</w:t>
      </w:r>
      <w:r>
        <w:t xml:space="preserve"> 422: 93–103. </w:t>
      </w:r>
      <w:hyperlink r:id="rId90">
        <w:r>
          <w:rPr>
            <w:rStyle w:val="Hyperlink"/>
          </w:rPr>
          <w:t>https://doi.org/10.3354/meps08925</w:t>
        </w:r>
      </w:hyperlink>
      <w:r>
        <w:t>.</w:t>
      </w:r>
    </w:p>
    <w:p w14:paraId="241649AE" w14:textId="77777777" w:rsidR="00472C87" w:rsidRDefault="00000000">
      <w:pPr>
        <w:pStyle w:val="Bibliography"/>
      </w:pPr>
      <w:bookmarkStart w:id="114" w:name="ref-robblee1991"/>
      <w:bookmarkEnd w:id="113"/>
      <w:r>
        <w:t xml:space="preserve">Robblee, M. B., T. Barber, P. Carlson Jr, M. Durako, J. W. Fourqurean, L. Muehlstein, D. Porter, L. Yarbro, R. Zieman, and J. C. Zieman. 1991. Mass mortality of the tropical seagrass </w:t>
      </w:r>
      <w:r>
        <w:rPr>
          <w:i/>
          <w:iCs/>
        </w:rPr>
        <w:t>Thalassia testudinum</w:t>
      </w:r>
      <w:r>
        <w:t xml:space="preserve"> in Florida Bay (USA). </w:t>
      </w:r>
      <w:r>
        <w:rPr>
          <w:i/>
          <w:iCs/>
        </w:rPr>
        <w:t>Marine Ecology Progress Series</w:t>
      </w:r>
      <w:r>
        <w:t xml:space="preserve"> 71: 297–299.</w:t>
      </w:r>
    </w:p>
    <w:p w14:paraId="06154B77" w14:textId="77777777" w:rsidR="00472C87" w:rsidRDefault="00000000">
      <w:pPr>
        <w:pStyle w:val="Bibliography"/>
      </w:pPr>
      <w:bookmarkStart w:id="115" w:name="ref-roca2016"/>
      <w:bookmarkEnd w:id="114"/>
      <w:r>
        <w:t xml:space="preserve">Roca, G., T. Alcoverro, D. Krause-Jensen, T. J. S. Balsby, M. M. van Katwijk, N. Marbà, R. Santos, et al. 2016. Response of seagrass indicators to shifts in environmental stressors: A global review and management synthesis. </w:t>
      </w:r>
      <w:r>
        <w:rPr>
          <w:i/>
          <w:iCs/>
        </w:rPr>
        <w:t>Ecological Indicators</w:t>
      </w:r>
      <w:r>
        <w:t xml:space="preserve"> 63: 310–323. </w:t>
      </w:r>
      <w:hyperlink r:id="rId91">
        <w:r>
          <w:rPr>
            <w:rStyle w:val="Hyperlink"/>
          </w:rPr>
          <w:t>https://doi.org/10.1016/j.ecolind.2015.12.007</w:t>
        </w:r>
      </w:hyperlink>
      <w:r>
        <w:t>.</w:t>
      </w:r>
    </w:p>
    <w:p w14:paraId="79FCD0FE" w14:textId="77777777" w:rsidR="00472C87" w:rsidRDefault="00000000">
      <w:pPr>
        <w:pStyle w:val="Bibliography"/>
      </w:pPr>
      <w:bookmarkStart w:id="116" w:name="ref-schmidt2002"/>
      <w:bookmarkEnd w:id="115"/>
      <w:r>
        <w:t xml:space="preserve">Schmidt, N., and M. E. Luther. 2002. ENSO impacts on salinity in Tampa Bay, Florida. </w:t>
      </w:r>
      <w:r>
        <w:rPr>
          <w:i/>
          <w:iCs/>
        </w:rPr>
        <w:t>Estuaries</w:t>
      </w:r>
      <w:r>
        <w:t xml:space="preserve"> 25: 976–984. </w:t>
      </w:r>
      <w:hyperlink r:id="rId92">
        <w:r>
          <w:rPr>
            <w:rStyle w:val="Hyperlink"/>
          </w:rPr>
          <w:t>https://doi.org/10.1007/bf02691345</w:t>
        </w:r>
      </w:hyperlink>
      <w:r>
        <w:t>.</w:t>
      </w:r>
    </w:p>
    <w:p w14:paraId="72EAAC63" w14:textId="77777777" w:rsidR="00472C87" w:rsidRDefault="00000000">
      <w:pPr>
        <w:pStyle w:val="Bibliography"/>
      </w:pPr>
      <w:bookmarkStart w:id="117" w:name="ref-schrandt2021"/>
      <w:bookmarkEnd w:id="116"/>
      <w:r>
        <w:t xml:space="preserve">Schrandt, M. N., T. C. MacDonald, E. T. Sherwood, and M. W. Beck. 2021. A multimetric nekton index for monitoring, managing and communicating ecosystem health status in an urbanized Gulf of Mexico estuary. </w:t>
      </w:r>
      <w:r>
        <w:rPr>
          <w:i/>
          <w:iCs/>
        </w:rPr>
        <w:t>Ecological Indicators</w:t>
      </w:r>
      <w:r>
        <w:t xml:space="preserve"> 123: 107310. </w:t>
      </w:r>
      <w:hyperlink r:id="rId93">
        <w:r>
          <w:rPr>
            <w:rStyle w:val="Hyperlink"/>
          </w:rPr>
          <w:t>https://doi.org/10.1016/j.ecolind.2020.107310</w:t>
        </w:r>
      </w:hyperlink>
      <w:r>
        <w:t>.</w:t>
      </w:r>
    </w:p>
    <w:p w14:paraId="2FE44595" w14:textId="77777777" w:rsidR="00472C87" w:rsidRDefault="00000000">
      <w:pPr>
        <w:pStyle w:val="Bibliography"/>
      </w:pPr>
      <w:bookmarkStart w:id="118" w:name="ref-scolaro2023"/>
      <w:bookmarkEnd w:id="117"/>
      <w:r>
        <w:t xml:space="preserve">Scolaro, S., M. W. Beck, M. C. Burke, G. E. Raulerson, and E. T. Sherwood. 2023. Piney Point, seagrass, and macroalgae: Impact assessment and a case for enhanced macroalgae monitoring. </w:t>
      </w:r>
      <w:r>
        <w:rPr>
          <w:i/>
          <w:iCs/>
        </w:rPr>
        <w:t>Florida Scientist</w:t>
      </w:r>
      <w:r>
        <w:t xml:space="preserve"> 86: 339–345.</w:t>
      </w:r>
    </w:p>
    <w:p w14:paraId="634E2318" w14:textId="77777777" w:rsidR="00472C87" w:rsidRDefault="00000000">
      <w:pPr>
        <w:pStyle w:val="Bibliography"/>
      </w:pPr>
      <w:bookmarkStart w:id="119" w:name="ref-sherwood2013"/>
      <w:bookmarkEnd w:id="118"/>
      <w:r>
        <w:t xml:space="preserve">Sherwood, E. T., and H. S. Greening. 2013. Potential impacts and management implications of climate change on Tampa Bay estuary critical coastal habitats. </w:t>
      </w:r>
      <w:r>
        <w:rPr>
          <w:i/>
          <w:iCs/>
        </w:rPr>
        <w:t>Environmental Management</w:t>
      </w:r>
      <w:r>
        <w:t xml:space="preserve"> 53: 401–415. </w:t>
      </w:r>
      <w:hyperlink r:id="rId94">
        <w:r>
          <w:rPr>
            <w:rStyle w:val="Hyperlink"/>
          </w:rPr>
          <w:t>https://doi.org/10.1007/s00267-013-0179-5</w:t>
        </w:r>
      </w:hyperlink>
      <w:r>
        <w:t>.</w:t>
      </w:r>
    </w:p>
    <w:p w14:paraId="47A531E0" w14:textId="77777777" w:rsidR="00472C87" w:rsidRDefault="00000000">
      <w:pPr>
        <w:pStyle w:val="Bibliography"/>
      </w:pPr>
      <w:bookmarkStart w:id="120" w:name="ref-sherwood2015"/>
      <w:bookmarkEnd w:id="119"/>
      <w:r>
        <w:t xml:space="preserve">Sherwood, E. T., H. S. Greening, L. Garcia, K. Kaufman, T. Janicki, R. Pribble, B. Cunningham, et al. 2015. </w:t>
      </w:r>
      <w:hyperlink r:id="rId95">
        <w:r>
          <w:rPr>
            <w:rStyle w:val="Hyperlink"/>
            <w:i/>
            <w:iCs/>
          </w:rPr>
          <w:t>Development of an integrated ecosystem model to determine effectiveness of potential watershed management projects on improving Old Tampa Bay</w:t>
        </w:r>
      </w:hyperlink>
      <w:r>
        <w:t>. 10-15. St. Petersburg, Florida: Tampa Bay Estuary Program.</w:t>
      </w:r>
    </w:p>
    <w:p w14:paraId="27773645" w14:textId="77777777" w:rsidR="00472C87" w:rsidRDefault="00000000">
      <w:pPr>
        <w:pStyle w:val="Bibliography"/>
      </w:pPr>
      <w:bookmarkStart w:id="121" w:name="ref-sherwood2016"/>
      <w:bookmarkEnd w:id="120"/>
      <w:r>
        <w:t xml:space="preserve">Sherwood, E. T., H. S. Greening, A. J. Janicki, and D. J. Karlen. 2016. Tampa Bay estuary: Monitoring long-term recovery through regional partnerships. </w:t>
      </w:r>
      <w:r>
        <w:rPr>
          <w:i/>
          <w:iCs/>
        </w:rPr>
        <w:t>Regional Studies in Marine Science</w:t>
      </w:r>
      <w:r>
        <w:t xml:space="preserve"> 4: 1–11. </w:t>
      </w:r>
      <w:hyperlink r:id="rId96">
        <w:r>
          <w:rPr>
            <w:rStyle w:val="Hyperlink"/>
          </w:rPr>
          <w:t>https://doi.org/10.1016/j.rsma.2015.05.005</w:t>
        </w:r>
      </w:hyperlink>
      <w:r>
        <w:t>.</w:t>
      </w:r>
    </w:p>
    <w:p w14:paraId="2369AB04" w14:textId="77777777" w:rsidR="00472C87" w:rsidRDefault="00000000">
      <w:pPr>
        <w:pStyle w:val="Bibliography"/>
      </w:pPr>
      <w:bookmarkStart w:id="122" w:name="ref-sherwood2017"/>
      <w:bookmarkEnd w:id="121"/>
      <w:r>
        <w:t xml:space="preserve">Sherwood, E. T., H. S. Greening, J. O. R. Johansson, K. Kaufman, and G. E. Raulerson. 2017. Tampa Bay (Florida, USA): Documenting seagrass recovery since the 1980’s and reviewing the benefits. </w:t>
      </w:r>
      <w:r>
        <w:rPr>
          <w:i/>
          <w:iCs/>
        </w:rPr>
        <w:t>Southeastern Geographer</w:t>
      </w:r>
      <w:r>
        <w:t xml:space="preserve"> 57: 294–319. </w:t>
      </w:r>
      <w:hyperlink r:id="rId97">
        <w:r>
          <w:rPr>
            <w:rStyle w:val="Hyperlink"/>
          </w:rPr>
          <w:t>https://doi.org/10.1353/sgo.2017.0026</w:t>
        </w:r>
      </w:hyperlink>
      <w:r>
        <w:t>.</w:t>
      </w:r>
    </w:p>
    <w:p w14:paraId="27D289E7" w14:textId="77777777" w:rsidR="00472C87" w:rsidRDefault="00000000">
      <w:pPr>
        <w:pStyle w:val="Bibliography"/>
      </w:pPr>
      <w:bookmarkStart w:id="123" w:name="ref-shiir"/>
      <w:bookmarkEnd w:id="122"/>
      <w:r>
        <w:t xml:space="preserve">Shi, J., and C. Hu. In review. Response of South Florida estuaries to the 2023 heatwave. </w:t>
      </w:r>
      <w:r>
        <w:rPr>
          <w:i/>
          <w:iCs/>
        </w:rPr>
        <w:t>Estuaries and Coasts</w:t>
      </w:r>
      <w:r>
        <w:t xml:space="preserve">. </w:t>
      </w:r>
      <w:hyperlink r:id="rId98">
        <w:r>
          <w:rPr>
            <w:rStyle w:val="Hyperlink"/>
          </w:rPr>
          <w:t>https://doi.org/10.21203/rs.3.rs-3528678/v1</w:t>
        </w:r>
      </w:hyperlink>
      <w:r>
        <w:t>.</w:t>
      </w:r>
    </w:p>
    <w:p w14:paraId="53012767" w14:textId="77777777" w:rsidR="00472C87" w:rsidRDefault="00000000">
      <w:pPr>
        <w:pStyle w:val="Bibliography"/>
      </w:pPr>
      <w:bookmarkStart w:id="124" w:name="ref-statham2012a"/>
      <w:bookmarkEnd w:id="123"/>
      <w:r>
        <w:lastRenderedPageBreak/>
        <w:t xml:space="preserve">Statham, P. J. 2012. Nutrients in estuaries - An overview and the potential impacts of climate change. </w:t>
      </w:r>
      <w:r>
        <w:rPr>
          <w:i/>
          <w:iCs/>
        </w:rPr>
        <w:t>Science of The Total Environment</w:t>
      </w:r>
      <w:r>
        <w:t xml:space="preserve"> 434: 213–227. </w:t>
      </w:r>
      <w:hyperlink r:id="rId99">
        <w:r>
          <w:rPr>
            <w:rStyle w:val="Hyperlink"/>
          </w:rPr>
          <w:t>https://doi.org/10.1016/j.scitotenv.2011.09.088</w:t>
        </w:r>
      </w:hyperlink>
      <w:r>
        <w:t>.</w:t>
      </w:r>
    </w:p>
    <w:p w14:paraId="6E517501" w14:textId="77777777" w:rsidR="00472C87" w:rsidRDefault="00000000">
      <w:pPr>
        <w:pStyle w:val="Bibliography"/>
      </w:pPr>
      <w:bookmarkStart w:id="125" w:name="ref-stelling2023"/>
      <w:bookmarkEnd w:id="124"/>
      <w:r>
        <w:t xml:space="preserve">Stelling, B., E. Phlips, S. Badylak, L. Landauer, M. Tate, and A. West-Valle. 2023. Seasonality of phytoplankton biomass and composition on the Cape Canaveral shelf of Florida: Role of shifts in climate and coastal watershed influences. </w:t>
      </w:r>
      <w:r>
        <w:rPr>
          <w:i/>
          <w:iCs/>
        </w:rPr>
        <w:t>Frontiers in Ecology and Evolution</w:t>
      </w:r>
      <w:r>
        <w:t xml:space="preserve"> 11: 1134069. </w:t>
      </w:r>
      <w:hyperlink r:id="rId100">
        <w:r>
          <w:rPr>
            <w:rStyle w:val="Hyperlink"/>
          </w:rPr>
          <w:t>https://doi.org/10.3389/fevo.2023.1134069</w:t>
        </w:r>
      </w:hyperlink>
      <w:r>
        <w:t>.</w:t>
      </w:r>
    </w:p>
    <w:p w14:paraId="4602985B" w14:textId="77777777" w:rsidR="00472C87" w:rsidRDefault="00000000">
      <w:pPr>
        <w:pStyle w:val="Bibliography"/>
      </w:pPr>
      <w:bookmarkStart w:id="126" w:name="ref-tango2016"/>
      <w:bookmarkEnd w:id="125"/>
      <w:r>
        <w:t xml:space="preserve">Tango, P. J., and R. A. Batiuk. 2016. Chesapeake Bay recovery and factors affecting trends: Long-term monitoring, indicators, and insights. </w:t>
      </w:r>
      <w:r>
        <w:rPr>
          <w:i/>
          <w:iCs/>
        </w:rPr>
        <w:t>Regional Studies in Marine Science</w:t>
      </w:r>
      <w:r>
        <w:t xml:space="preserve"> 4: 12–20. </w:t>
      </w:r>
      <w:hyperlink r:id="rId101">
        <w:r>
          <w:rPr>
            <w:rStyle w:val="Hyperlink"/>
          </w:rPr>
          <w:t>https://doi.org/10.1016/j.rsma.2015.11.010</w:t>
        </w:r>
      </w:hyperlink>
      <w:r>
        <w:t>.</w:t>
      </w:r>
    </w:p>
    <w:p w14:paraId="6C9BB199" w14:textId="77777777" w:rsidR="00472C87" w:rsidRDefault="00000000">
      <w:pPr>
        <w:pStyle w:val="Bibliography"/>
      </w:pPr>
      <w:bookmarkStart w:id="127" w:name="ref-taplin2005"/>
      <w:bookmarkEnd w:id="126"/>
      <w:r>
        <w:t xml:space="preserve">Taplin, K. A., E. A. Irlandi, and R. Raves. 2005. Interference between the macroalga </w:t>
      </w:r>
      <w:r>
        <w:rPr>
          <w:i/>
          <w:iCs/>
        </w:rPr>
        <w:t>Caulerpa prolifera</w:t>
      </w:r>
      <w:r>
        <w:t xml:space="preserve"> and the seagrass </w:t>
      </w:r>
      <w:r>
        <w:rPr>
          <w:i/>
          <w:iCs/>
        </w:rPr>
        <w:t>Halodule wrightii</w:t>
      </w:r>
      <w:r>
        <w:t xml:space="preserve">. </w:t>
      </w:r>
      <w:r>
        <w:rPr>
          <w:i/>
          <w:iCs/>
        </w:rPr>
        <w:t>Aquatic Botany</w:t>
      </w:r>
      <w:r>
        <w:t xml:space="preserve"> 83: 175–186. </w:t>
      </w:r>
      <w:hyperlink r:id="rId102">
        <w:r>
          <w:rPr>
            <w:rStyle w:val="Hyperlink"/>
          </w:rPr>
          <w:t>https://doi.org/10.1016/j.aquabot.2005.06.003</w:t>
        </w:r>
      </w:hyperlink>
      <w:r>
        <w:t>.</w:t>
      </w:r>
    </w:p>
    <w:p w14:paraId="2BF932EB" w14:textId="77777777" w:rsidR="00472C87" w:rsidRDefault="00000000">
      <w:pPr>
        <w:pStyle w:val="Bibliography"/>
      </w:pPr>
      <w:bookmarkStart w:id="128" w:name="ref-tbep0923"/>
      <w:bookmarkEnd w:id="127"/>
      <w:r>
        <w:t xml:space="preserve">Todd, A., H. Walsh, and J. Neville. 2023. </w:t>
      </w:r>
      <w:hyperlink r:id="rId103">
        <w:r>
          <w:rPr>
            <w:rStyle w:val="Hyperlink"/>
            <w:i/>
            <w:iCs/>
          </w:rPr>
          <w:t>2023 economic valuation of Tampa Bay</w:t>
        </w:r>
      </w:hyperlink>
      <w:r>
        <w:t>. 09-23. St. Petersburg, Florida: Tampa Bay Estuary Program.</w:t>
      </w:r>
    </w:p>
    <w:p w14:paraId="1223306C" w14:textId="77777777" w:rsidR="00472C87" w:rsidRDefault="00000000">
      <w:pPr>
        <w:pStyle w:val="Bibliography"/>
      </w:pPr>
      <w:bookmarkStart w:id="129" w:name="ref-tomasko2023"/>
      <w:bookmarkEnd w:id="128"/>
      <w:r>
        <w:t xml:space="preserve">Tomasko, D. A. 2023. Ecological impacts to Sarasota Bay from Piney Point discharges - examining the evidence. </w:t>
      </w:r>
      <w:r>
        <w:rPr>
          <w:i/>
          <w:iCs/>
        </w:rPr>
        <w:t>Florida Scientist</w:t>
      </w:r>
      <w:r>
        <w:t xml:space="preserve"> 86: 301–313.</w:t>
      </w:r>
    </w:p>
    <w:p w14:paraId="6B056AE9" w14:textId="77777777" w:rsidR="00472C87" w:rsidRDefault="00000000">
      <w:pPr>
        <w:pStyle w:val="Bibliography"/>
      </w:pPr>
      <w:bookmarkStart w:id="130" w:name="ref-tomasko2020"/>
      <w:bookmarkEnd w:id="129"/>
      <w:r>
        <w:t xml:space="preserve">Tomasko, D. A., M. Alderson, R. Burnes, J. Hecker, N. Iadevaia, J. Leverone, G. Raulerson, and E. Sherwood. 2020. The effects of Hurricane Irma on seagrass meadows in previously eutrophic estuaries in Southwest Florida (USA). </w:t>
      </w:r>
      <w:r>
        <w:rPr>
          <w:i/>
          <w:iCs/>
        </w:rPr>
        <w:t>Marine Pollution Bulletin</w:t>
      </w:r>
      <w:r>
        <w:t xml:space="preserve"> 156: 111247. </w:t>
      </w:r>
      <w:hyperlink r:id="rId104">
        <w:r>
          <w:rPr>
            <w:rStyle w:val="Hyperlink"/>
          </w:rPr>
          <w:t>https://doi.org/10.1016/j.marpolbul.2020.111247</w:t>
        </w:r>
      </w:hyperlink>
      <w:r>
        <w:t>.</w:t>
      </w:r>
    </w:p>
    <w:p w14:paraId="49E35804" w14:textId="77777777" w:rsidR="00472C87" w:rsidRDefault="00000000">
      <w:pPr>
        <w:pStyle w:val="Bibliography"/>
      </w:pPr>
      <w:bookmarkStart w:id="131" w:name="ref-tomasko2005"/>
      <w:bookmarkEnd w:id="130"/>
      <w:r>
        <w:t xml:space="preserve">Tomasko, D. A., C. A. Corbett, H. S. Greening, and G. E. Raulerson. 2005. Spatial and temporal variation in seagrass coverage in Southwest Florida: assessing the relative effects of anthropogenic nutrient load reductions and rainfall in four contiguous estuaries. </w:t>
      </w:r>
      <w:r>
        <w:rPr>
          <w:i/>
          <w:iCs/>
        </w:rPr>
        <w:t>Marine Pollution Bulletin</w:t>
      </w:r>
      <w:r>
        <w:t xml:space="preserve"> 50: 797–805. </w:t>
      </w:r>
      <w:hyperlink r:id="rId105">
        <w:r>
          <w:rPr>
            <w:rStyle w:val="Hyperlink"/>
          </w:rPr>
          <w:t>https://doi.org/10.1016/j.marpolbul.2005.02.010</w:t>
        </w:r>
      </w:hyperlink>
      <w:r>
        <w:t>.</w:t>
      </w:r>
    </w:p>
    <w:p w14:paraId="31B47688" w14:textId="77777777" w:rsidR="00472C87" w:rsidRDefault="00000000">
      <w:pPr>
        <w:pStyle w:val="Bibliography"/>
      </w:pPr>
      <w:bookmarkStart w:id="132" w:name="ref-usup1994"/>
      <w:bookmarkEnd w:id="131"/>
      <w:r>
        <w:t xml:space="preserve">Usup, G., D. M. Kulis, and D. M. Anderson. 1994. Growth and toxin production of the toxic dinoflagellate  in laboratory cultures. </w:t>
      </w:r>
      <w:r>
        <w:rPr>
          <w:i/>
          <w:iCs/>
        </w:rPr>
        <w:t>Natural Toxins</w:t>
      </w:r>
      <w:r>
        <w:t xml:space="preserve"> 2: 254–262. </w:t>
      </w:r>
      <w:hyperlink r:id="rId106">
        <w:r>
          <w:rPr>
            <w:rStyle w:val="Hyperlink"/>
          </w:rPr>
          <w:t>https://doi.org/10.1002/nt.2620020503</w:t>
        </w:r>
      </w:hyperlink>
      <w:r>
        <w:t>.</w:t>
      </w:r>
    </w:p>
    <w:p w14:paraId="73341A84" w14:textId="77777777" w:rsidR="00472C87" w:rsidRDefault="00000000">
      <w:pPr>
        <w:pStyle w:val="Bibliography"/>
      </w:pPr>
      <w:bookmarkStart w:id="133" w:name="ref-vanbogaert2018"/>
      <w:bookmarkEnd w:id="132"/>
      <w:r>
        <w:t xml:space="preserve">Van Bogaert, N., K. Rosario, B. T. Furman, M. O. Hall, A. M. Greco, and M. Breitbart. 2018. Discovery of a novel potexvirus in the seagrass </w:t>
      </w:r>
      <w:r>
        <w:rPr>
          <w:i/>
          <w:iCs/>
        </w:rPr>
        <w:t>Thalassia testudinum</w:t>
      </w:r>
      <w:r>
        <w:t xml:space="preserve"> from Tampa Bay, Florida. </w:t>
      </w:r>
      <w:r>
        <w:rPr>
          <w:i/>
          <w:iCs/>
        </w:rPr>
        <w:t>Limnology and Oceanography Letters</w:t>
      </w:r>
      <w:r>
        <w:t xml:space="preserve"> 4: 1–8. </w:t>
      </w:r>
      <w:hyperlink r:id="rId107">
        <w:r>
          <w:rPr>
            <w:rStyle w:val="Hyperlink"/>
          </w:rPr>
          <w:t>https://doi.org/10.1002/lol2.10098</w:t>
        </w:r>
      </w:hyperlink>
      <w:r>
        <w:t>.</w:t>
      </w:r>
    </w:p>
    <w:p w14:paraId="30EA355C" w14:textId="77777777" w:rsidR="00472C87" w:rsidRDefault="00000000">
      <w:pPr>
        <w:pStyle w:val="Bibliography"/>
      </w:pPr>
      <w:bookmarkStart w:id="134" w:name="ref-vandermeer1972"/>
      <w:bookmarkEnd w:id="133"/>
      <w:r>
        <w:t xml:space="preserve">Vandermeer, J. H. 1972. Niche theory. </w:t>
      </w:r>
      <w:r>
        <w:rPr>
          <w:i/>
          <w:iCs/>
        </w:rPr>
        <w:t>Annual Review of Ecology and Systematics</w:t>
      </w:r>
      <w:r>
        <w:t xml:space="preserve"> 3: 107–132. </w:t>
      </w:r>
      <w:hyperlink r:id="rId108">
        <w:r>
          <w:rPr>
            <w:rStyle w:val="Hyperlink"/>
          </w:rPr>
          <w:t>https://doi.org/10.1146/annurev.es.03.110172.000543</w:t>
        </w:r>
      </w:hyperlink>
      <w:r>
        <w:t>.</w:t>
      </w:r>
    </w:p>
    <w:p w14:paraId="240DEA8F" w14:textId="77777777" w:rsidR="00472C87" w:rsidRDefault="00000000">
      <w:pPr>
        <w:pStyle w:val="Bibliography"/>
      </w:pPr>
      <w:bookmarkStart w:id="135" w:name="ref-waycott2009"/>
      <w:bookmarkEnd w:id="134"/>
      <w:r>
        <w:t xml:space="preserve">Waycott, M., C. M. Duarte, T. J. B. Carruthers, R. J. Orth, W. C. Dennison, S. Olyarnik, A. Calladine, et al. 2009. Accelerating loss of seagrasses across the globe threatens coastal ecosystems. </w:t>
      </w:r>
      <w:r>
        <w:rPr>
          <w:i/>
          <w:iCs/>
        </w:rPr>
        <w:t>Proceedings of the National Academy of Sciences</w:t>
      </w:r>
      <w:r>
        <w:t xml:space="preserve"> 106: 12377–12381. </w:t>
      </w:r>
      <w:hyperlink r:id="rId109">
        <w:r>
          <w:rPr>
            <w:rStyle w:val="Hyperlink"/>
          </w:rPr>
          <w:t>https://doi.org/10.1073/pnas.0905620106</w:t>
        </w:r>
      </w:hyperlink>
      <w:r>
        <w:t>.</w:t>
      </w:r>
    </w:p>
    <w:p w14:paraId="44EC2526" w14:textId="77777777" w:rsidR="00472C87" w:rsidRDefault="00000000">
      <w:pPr>
        <w:pStyle w:val="Bibliography"/>
      </w:pPr>
      <w:bookmarkStart w:id="136" w:name="ref-webster2021"/>
      <w:bookmarkEnd w:id="135"/>
      <w:r>
        <w:lastRenderedPageBreak/>
        <w:t xml:space="preserve">Webster, C. L., K. L. Kilminster, M. Sánchez Alarcón, K. Bennett, S. Strydom, S. McNamara, P. S. Lavery, and K. M. McMahon. 2021. Population-specific resilience of </w:t>
      </w:r>
      <w:r>
        <w:rPr>
          <w:i/>
          <w:iCs/>
        </w:rPr>
        <w:t>Halophila ovalis</w:t>
      </w:r>
      <w:r>
        <w:t xml:space="preserve"> seagrass habitat to unseasonal rainfall, an extreme climate event in estuaries. </w:t>
      </w:r>
      <w:r>
        <w:rPr>
          <w:i/>
          <w:iCs/>
        </w:rPr>
        <w:t>Journal of Ecology</w:t>
      </w:r>
      <w:r>
        <w:t xml:space="preserve"> 109: 3260–3279. </w:t>
      </w:r>
      <w:hyperlink r:id="rId110">
        <w:r>
          <w:rPr>
            <w:rStyle w:val="Hyperlink"/>
          </w:rPr>
          <w:t>https://doi.org/10.1111/1365-2745.13648</w:t>
        </w:r>
      </w:hyperlink>
      <w:r>
        <w:t>.</w:t>
      </w:r>
    </w:p>
    <w:p w14:paraId="3259FB4C" w14:textId="77777777" w:rsidR="00472C87" w:rsidRDefault="00000000">
      <w:pPr>
        <w:pStyle w:val="Bibliography"/>
      </w:pPr>
      <w:bookmarkStart w:id="137" w:name="ref-weisberg2006"/>
      <w:bookmarkEnd w:id="136"/>
      <w:r>
        <w:t xml:space="preserve">Weisberg, R. H., and L. Zheng. 2006. Circulation of Tampa Bay driven by buoyancy, tides, and winds, as simulated using a finite volume coastal ocean model. </w:t>
      </w:r>
      <w:r>
        <w:rPr>
          <w:i/>
          <w:iCs/>
        </w:rPr>
        <w:t>Journal of Geophysical Research: Oceans</w:t>
      </w:r>
      <w:r>
        <w:t xml:space="preserve"> 111. </w:t>
      </w:r>
      <w:hyperlink r:id="rId111">
        <w:r>
          <w:rPr>
            <w:rStyle w:val="Hyperlink"/>
          </w:rPr>
          <w:t>https://doi.org/10.1029/2005jc003067</w:t>
        </w:r>
      </w:hyperlink>
      <w:r>
        <w:t>.</w:t>
      </w:r>
    </w:p>
    <w:p w14:paraId="410A59F1" w14:textId="77777777" w:rsidR="00472C87" w:rsidRDefault="00000000">
      <w:pPr>
        <w:pStyle w:val="Bibliography"/>
      </w:pPr>
      <w:bookmarkStart w:id="138" w:name="ref-white2017"/>
      <w:bookmarkEnd w:id="137"/>
      <w:r>
        <w:t xml:space="preserve">White, E., and D. Kaplan. 2017. Restore or retreat? Saltwater intrusion and water management in coastal wetlands. </w:t>
      </w:r>
      <w:r>
        <w:rPr>
          <w:i/>
          <w:iCs/>
        </w:rPr>
        <w:t>Ecosystem Health and Sustainability</w:t>
      </w:r>
      <w:r>
        <w:t xml:space="preserve"> 3: e01258. </w:t>
      </w:r>
      <w:hyperlink r:id="rId112">
        <w:r>
          <w:rPr>
            <w:rStyle w:val="Hyperlink"/>
          </w:rPr>
          <w:t>https://doi.org/10.1002/ehs2.1258</w:t>
        </w:r>
      </w:hyperlink>
      <w:r>
        <w:t>.</w:t>
      </w:r>
    </w:p>
    <w:p w14:paraId="45294965" w14:textId="77777777" w:rsidR="00472C87" w:rsidRDefault="00000000">
      <w:pPr>
        <w:pStyle w:val="Bibliography"/>
      </w:pPr>
      <w:bookmarkStart w:id="139" w:name="ref-wood11"/>
      <w:bookmarkEnd w:id="138"/>
      <w:r>
        <w:t xml:space="preserve">Wood, S. N. 2011. Fast stable restricted maximum likelihood and marginal likelihood estimation of semiparametric generalized linear models. </w:t>
      </w:r>
      <w:r>
        <w:rPr>
          <w:i/>
          <w:iCs/>
        </w:rPr>
        <w:t>Journal of the Royal Statistical Society (B)</w:t>
      </w:r>
      <w:r>
        <w:t xml:space="preserve"> 73: 3–36. </w:t>
      </w:r>
      <w:hyperlink r:id="rId113">
        <w:r>
          <w:rPr>
            <w:rStyle w:val="Hyperlink"/>
          </w:rPr>
          <w:t>https://doi.org/10.1111/j.1467-9868.2010.00749.x</w:t>
        </w:r>
      </w:hyperlink>
      <w:r>
        <w:t>.</w:t>
      </w:r>
    </w:p>
    <w:p w14:paraId="5BF16F2C" w14:textId="77777777" w:rsidR="00472C87" w:rsidRDefault="00000000">
      <w:pPr>
        <w:pStyle w:val="Bibliography"/>
      </w:pPr>
      <w:bookmarkStart w:id="140" w:name="ref-wood17"/>
      <w:bookmarkEnd w:id="139"/>
      <w:r>
        <w:t xml:space="preserve">Wood, S. N. 2017. </w:t>
      </w:r>
      <w:r>
        <w:rPr>
          <w:i/>
          <w:iCs/>
        </w:rPr>
        <w:t>Generalized Additive Models: An introduction with R</w:t>
      </w:r>
      <w:r>
        <w:t>. 2nd ed. Chapman; Hall/CRC.</w:t>
      </w:r>
    </w:p>
    <w:p w14:paraId="5842CFC3" w14:textId="77777777" w:rsidR="00472C87" w:rsidRDefault="00000000">
      <w:pPr>
        <w:pStyle w:val="Bibliography"/>
      </w:pPr>
      <w:bookmarkStart w:id="141" w:name="ref-zhang2023"/>
      <w:bookmarkEnd w:id="140"/>
      <w:r>
        <w:t>Zhang, M., H. Li, L. Zhang, and J. Liu. 2023. Heat stress, especially when coupled with high light, accelerates the decline of tropical seagrass (</w:t>
      </w:r>
      <w:r>
        <w:rPr>
          <w:i/>
          <w:iCs/>
        </w:rPr>
        <w:t>Enhalus acoroides</w:t>
      </w:r>
      <w:r>
        <w:t xml:space="preserve">) meadows. </w:t>
      </w:r>
      <w:r>
        <w:rPr>
          <w:i/>
          <w:iCs/>
        </w:rPr>
        <w:t>Marine Pollution Bulletin</w:t>
      </w:r>
      <w:r>
        <w:t xml:space="preserve"> 192: 115043. </w:t>
      </w:r>
      <w:hyperlink r:id="rId114">
        <w:r>
          <w:rPr>
            <w:rStyle w:val="Hyperlink"/>
          </w:rPr>
          <w:t>https://doi.org/10.1016/j.marpolbul.2023.115043</w:t>
        </w:r>
      </w:hyperlink>
      <w:r>
        <w:t>.</w:t>
      </w:r>
    </w:p>
    <w:p w14:paraId="16295172" w14:textId="77777777" w:rsidR="00472C87" w:rsidRDefault="00000000">
      <w:pPr>
        <w:pStyle w:val="Bibliography"/>
      </w:pPr>
      <w:bookmarkStart w:id="142" w:name="ref-zieman1975"/>
      <w:bookmarkEnd w:id="141"/>
      <w:r>
        <w:t xml:space="preserve">Zieman, J. C. 1975. Seasonal variation of turtle grass, </w:t>
      </w:r>
      <w:r>
        <w:rPr>
          <w:i/>
          <w:iCs/>
        </w:rPr>
        <w:t>Thalassia testudinum König</w:t>
      </w:r>
      <w:r>
        <w:t xml:space="preserve">, with reference to temperature and salinity effects. </w:t>
      </w:r>
      <w:r>
        <w:rPr>
          <w:i/>
          <w:iCs/>
        </w:rPr>
        <w:t>Aquatic Botany</w:t>
      </w:r>
      <w:r>
        <w:t xml:space="preserve"> 1: 107–123. </w:t>
      </w:r>
      <w:hyperlink r:id="rId115">
        <w:r>
          <w:rPr>
            <w:rStyle w:val="Hyperlink"/>
          </w:rPr>
          <w:t>https://doi.org/10.1016/0304-3770(75)90016-9</w:t>
        </w:r>
      </w:hyperlink>
      <w:r>
        <w:t>.</w:t>
      </w:r>
    </w:p>
    <w:p w14:paraId="4A264194" w14:textId="77777777" w:rsidR="00472C87" w:rsidRDefault="00000000">
      <w:pPr>
        <w:pStyle w:val="Bibliography"/>
      </w:pPr>
      <w:bookmarkStart w:id="143" w:name="ref-zuur2009a"/>
      <w:bookmarkEnd w:id="142"/>
      <w:r>
        <w:t xml:space="preserve">Zuur, A. F., E. N. Ieno, N. Walker, A. A. Saveliev, and G. M. Smith. 2009. </w:t>
      </w:r>
      <w:r>
        <w:rPr>
          <w:i/>
          <w:iCs/>
        </w:rPr>
        <w:t>Mixed effects models and extensions in ecology with R</w:t>
      </w:r>
      <w:r>
        <w:t xml:space="preserve">. New York: Springer. </w:t>
      </w:r>
      <w:hyperlink r:id="rId116">
        <w:r>
          <w:rPr>
            <w:rStyle w:val="Hyperlink"/>
          </w:rPr>
          <w:t>https://doi.org/10.1007/978-0-387-87458-6</w:t>
        </w:r>
      </w:hyperlink>
      <w:r>
        <w:t>.</w:t>
      </w:r>
      <w:bookmarkEnd w:id="40"/>
      <w:bookmarkEnd w:id="42"/>
      <w:bookmarkEnd w:id="143"/>
    </w:p>
    <w:sectPr w:rsidR="00472C87" w:rsidSect="004B51EB">
      <w:footerReference w:type="default" r:id="rId11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05990" w14:textId="77777777" w:rsidR="004B51EB" w:rsidRDefault="004B51EB">
      <w:pPr>
        <w:spacing w:after="0"/>
      </w:pPr>
      <w:r>
        <w:separator/>
      </w:r>
    </w:p>
  </w:endnote>
  <w:endnote w:type="continuationSeparator" w:id="0">
    <w:p w14:paraId="34CFE447" w14:textId="77777777" w:rsidR="004B51EB" w:rsidRDefault="004B51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8962650"/>
      <w:docPartObj>
        <w:docPartGallery w:val="Page Numbers (Bottom of Page)"/>
        <w:docPartUnique/>
      </w:docPartObj>
    </w:sdtPr>
    <w:sdtEndPr>
      <w:rPr>
        <w:noProof/>
      </w:rPr>
    </w:sdtEndPr>
    <w:sdtContent>
      <w:p w14:paraId="63490D18"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882F15"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7EDAF" w14:textId="77777777" w:rsidR="004B51EB" w:rsidRDefault="004B51EB">
      <w:r>
        <w:separator/>
      </w:r>
    </w:p>
  </w:footnote>
  <w:footnote w:type="continuationSeparator" w:id="0">
    <w:p w14:paraId="4EFF3D3A" w14:textId="77777777" w:rsidR="004B51EB" w:rsidRDefault="004B51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3ACC0CC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C746208"/>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4C9A394A"/>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C728B4C"/>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8324798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EBCA57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44401467">
    <w:abstractNumId w:val="1"/>
  </w:num>
  <w:num w:numId="2" w16cid:durableId="684594278">
    <w:abstractNumId w:val="0"/>
  </w:num>
  <w:num w:numId="3" w16cid:durableId="2135755371">
    <w:abstractNumId w:val="11"/>
  </w:num>
  <w:num w:numId="4" w16cid:durableId="521864421">
    <w:abstractNumId w:val="9"/>
  </w:num>
  <w:num w:numId="5" w16cid:durableId="1294285200">
    <w:abstractNumId w:val="8"/>
  </w:num>
  <w:num w:numId="6" w16cid:durableId="1525821760">
    <w:abstractNumId w:val="7"/>
  </w:num>
  <w:num w:numId="7" w16cid:durableId="1834224836">
    <w:abstractNumId w:val="6"/>
  </w:num>
  <w:num w:numId="8" w16cid:durableId="672300852">
    <w:abstractNumId w:val="10"/>
  </w:num>
  <w:num w:numId="9" w16cid:durableId="708917550">
    <w:abstractNumId w:val="5"/>
  </w:num>
  <w:num w:numId="10" w16cid:durableId="1329821261">
    <w:abstractNumId w:val="4"/>
  </w:num>
  <w:num w:numId="11" w16cid:durableId="634485812">
    <w:abstractNumId w:val="3"/>
  </w:num>
  <w:num w:numId="12" w16cid:durableId="1296912930">
    <w:abstractNumId w:val="2"/>
  </w:num>
  <w:num w:numId="13" w16cid:durableId="1406682967">
    <w:abstractNumId w:val="13"/>
  </w:num>
  <w:num w:numId="14" w16cid:durableId="4682048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72C87"/>
    <w:rsid w:val="00472C87"/>
    <w:rsid w:val="004B51EB"/>
    <w:rsid w:val="00F01F7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DF1DC"/>
  <w15:docId w15:val="{9352D2A7-51D0-4361-AD0A-745C8DCBF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957057"/>
    <w:pPr>
      <w:keepNext/>
      <w:keepLines/>
      <w:spacing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752863"/>
    <w:pPr>
      <w:keepNext/>
      <w:keepLines/>
      <w:spacing w:before="20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FBE"/>
    <w:pPr>
      <w:spacing w:before="180" w:after="180" w:line="480" w:lineRule="auto"/>
    </w:pPr>
  </w:style>
  <w:style w:type="paragraph" w:customStyle="1" w:styleId="FirstParagraph">
    <w:name w:val="First Paragraph"/>
    <w:basedOn w:val="BodyText"/>
    <w:next w:val="BodyText"/>
    <w:qFormat/>
    <w:rsid w:val="00D20E66"/>
  </w:style>
  <w:style w:type="paragraph" w:customStyle="1" w:styleId="Compact">
    <w:name w:val="Compact"/>
    <w:basedOn w:val="BodyText"/>
    <w:qFormat/>
    <w:rsid w:val="00452488"/>
    <w:pPr>
      <w:spacing w:before="0" w:after="0" w:line="240" w:lineRule="auto"/>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04FBE"/>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5281/zenodo.4319936" TargetMode="External"/><Relationship Id="rId117" Type="http://schemas.openxmlformats.org/officeDocument/2006/relationships/footer" Target="footer1.xml"/><Relationship Id="rId21" Type="http://schemas.openxmlformats.org/officeDocument/2006/relationships/hyperlink" Target="https://doi.org/10.21203/rs.3.rs-3946855/v1" TargetMode="External"/><Relationship Id="rId42" Type="http://schemas.openxmlformats.org/officeDocument/2006/relationships/hyperlink" Target="https://doi.org/10.1016/j.ocecoaman.2023.106490" TargetMode="External"/><Relationship Id="rId47" Type="http://schemas.openxmlformats.org/officeDocument/2006/relationships/hyperlink" Target="https://doi.org/10.1111/gcb.15684" TargetMode="External"/><Relationship Id="rId63" Type="http://schemas.openxmlformats.org/officeDocument/2006/relationships/hyperlink" Target="https://drive.google.com/file/d/1XMULU8w4syWcSv_ciOUOhnC_G4xt6GIF/view?usp=drivesdk" TargetMode="External"/><Relationship Id="rId68" Type="http://schemas.openxmlformats.org/officeDocument/2006/relationships/hyperlink" Target="https://doi.org/10.1016/j.jembe.2007.05.031" TargetMode="External"/><Relationship Id="rId84" Type="http://schemas.openxmlformats.org/officeDocument/2006/relationships/hyperlink" Target="https://doi.org/10.1641/0006-3568(2006)56%5b987:agcfse%5d2.0.co;2" TargetMode="External"/><Relationship Id="rId89" Type="http://schemas.openxmlformats.org/officeDocument/2006/relationships/hyperlink" Target="https://doi.org/10.3354/meps322099" TargetMode="External"/><Relationship Id="rId112" Type="http://schemas.openxmlformats.org/officeDocument/2006/relationships/hyperlink" Target="https://doi.org/10.1002/ehs2.1258" TargetMode="External"/><Relationship Id="rId16" Type="http://schemas.openxmlformats.org/officeDocument/2006/relationships/image" Target="media/image5.png"/><Relationship Id="rId107" Type="http://schemas.openxmlformats.org/officeDocument/2006/relationships/hyperlink" Target="https://doi.org/10.1002/lol2.10098" TargetMode="External"/><Relationship Id="rId11" Type="http://schemas.openxmlformats.org/officeDocument/2006/relationships/hyperlink" Target="https://tbep-tech.github.io/otb-temp/tempeval" TargetMode="External"/><Relationship Id="rId32" Type="http://schemas.openxmlformats.org/officeDocument/2006/relationships/hyperlink" Target="https://doi.org/10.1002/joc.3887" TargetMode="External"/><Relationship Id="rId37" Type="http://schemas.openxmlformats.org/officeDocument/2006/relationships/hyperlink" Target="https://doi.org/10.1016/j.ecolind.2023.111035" TargetMode="External"/><Relationship Id="rId53" Type="http://schemas.openxmlformats.org/officeDocument/2006/relationships/hyperlink" Target="https://doi.org/10.1016/j.ecss.2014.10.003" TargetMode="External"/><Relationship Id="rId58" Type="http://schemas.openxmlformats.org/officeDocument/2006/relationships/hyperlink" Target="https://doi.org/10.1007/s11802-014-2471-2" TargetMode="External"/><Relationship Id="rId74" Type="http://schemas.openxmlformats.org/officeDocument/2006/relationships/hyperlink" Target="https://drive.google.com/file/d/1iXX_JZP5fLS3ORIkFb7WwNYv8HjpHyKw/view?usp=sharing" TargetMode="External"/><Relationship Id="rId79" Type="http://schemas.openxmlformats.org/officeDocument/2006/relationships/hyperlink" Target="https://www.springer.com" TargetMode="External"/><Relationship Id="rId102" Type="http://schemas.openxmlformats.org/officeDocument/2006/relationships/hyperlink" Target="https://doi.org/10.1016/j.aquabot.2005.06.003" TargetMode="External"/><Relationship Id="rId5" Type="http://schemas.openxmlformats.org/officeDocument/2006/relationships/footnotes" Target="footnotes.xml"/><Relationship Id="rId90" Type="http://schemas.openxmlformats.org/officeDocument/2006/relationships/hyperlink" Target="https://doi.org/10.3354/meps08925" TargetMode="External"/><Relationship Id="rId95" Type="http://schemas.openxmlformats.org/officeDocument/2006/relationships/hyperlink" Target="https://drive.google.com/file/d/1BCviGfLykVX-p1tA3b0306deP3pKMagr/view?usp=drivesdk" TargetMode="External"/><Relationship Id="rId22" Type="http://schemas.openxmlformats.org/officeDocument/2006/relationships/hyperlink" Target="https://doi.org/10.1016/j.ocecoaman.2023.106929" TargetMode="External"/><Relationship Id="rId27" Type="http://schemas.openxmlformats.org/officeDocument/2006/relationships/hyperlink" Target="https://doi.org/10.1016/j.marpolbul.2022.113598" TargetMode="External"/><Relationship Id="rId43" Type="http://schemas.openxmlformats.org/officeDocument/2006/relationships/hyperlink" Target="https://doi.org/10.1016/j.jenvman.2018.01.025" TargetMode="External"/><Relationship Id="rId48" Type="http://schemas.openxmlformats.org/officeDocument/2006/relationships/hyperlink" Target="https://doi.org/10.1111/conl.12938" TargetMode="External"/><Relationship Id="rId64" Type="http://schemas.openxmlformats.org/officeDocument/2006/relationships/hyperlink" Target="https://sarasota.wateratlas.usf.edu/upload/documents/Final_AP_Seagrass_Report_040422.pdf" TargetMode="External"/><Relationship Id="rId69" Type="http://schemas.openxmlformats.org/officeDocument/2006/relationships/hyperlink" Target="https://doi.org/10.1073/pnas.1715798115" TargetMode="External"/><Relationship Id="rId113" Type="http://schemas.openxmlformats.org/officeDocument/2006/relationships/hyperlink" Target="https://doi.org/10.1111/j.1467-9868.2010.00749.x" TargetMode="External"/><Relationship Id="rId118" Type="http://schemas.openxmlformats.org/officeDocument/2006/relationships/fontTable" Target="fontTable.xml"/><Relationship Id="rId80" Type="http://schemas.openxmlformats.org/officeDocument/2006/relationships/hyperlink" Target="https://doi.org/10.1002/lno.10789" TargetMode="External"/><Relationship Id="rId85" Type="http://schemas.openxmlformats.org/officeDocument/2006/relationships/hyperlink" Target="https://doi.org/10.1093/biosci/bix058"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hyperlink" Target="https://doi.org/10.3354/meps147277" TargetMode="External"/><Relationship Id="rId38" Type="http://schemas.openxmlformats.org/officeDocument/2006/relationships/hyperlink" Target="https://doi.org/10.2307/1352383" TargetMode="External"/><Relationship Id="rId59" Type="http://schemas.openxmlformats.org/officeDocument/2006/relationships/hyperlink" Target="https://doi.org/10.1073/pnas.2220678120" TargetMode="External"/><Relationship Id="rId103" Type="http://schemas.openxmlformats.org/officeDocument/2006/relationships/hyperlink" Target="https://drive.google.com/file/d/15zetRgrFKkWah9KAY1in7q0so8ywHzkA/view?usp=drive_link" TargetMode="External"/><Relationship Id="rId108" Type="http://schemas.openxmlformats.org/officeDocument/2006/relationships/hyperlink" Target="https://doi.org/10.1146/annurev.es.03.110172.000543" TargetMode="External"/><Relationship Id="rId54" Type="http://schemas.openxmlformats.org/officeDocument/2006/relationships/hyperlink" Target="https://doi.org/10.3389/fmars.2022.767440" TargetMode="External"/><Relationship Id="rId70" Type="http://schemas.openxmlformats.org/officeDocument/2006/relationships/hyperlink" Target="https://doi.org/10.1111/gcb.13623" TargetMode="External"/><Relationship Id="rId75" Type="http://schemas.openxmlformats.org/officeDocument/2006/relationships/hyperlink" Target="https://drive.google.com/file/d/1-1Jq9vly5EvVwEp698brlBucXjSMDbNn/view?usp=sharing" TargetMode="External"/><Relationship Id="rId91" Type="http://schemas.openxmlformats.org/officeDocument/2006/relationships/hyperlink" Target="https://doi.org/10.1016/j.ecolind.2015.12.007" TargetMode="External"/><Relationship Id="rId96" Type="http://schemas.openxmlformats.org/officeDocument/2006/relationships/hyperlink" Target="https://doi.org/10.1016/j.rsma.2015.05.005"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111/j.1365-2699.2006.01584.x" TargetMode="External"/><Relationship Id="rId28" Type="http://schemas.openxmlformats.org/officeDocument/2006/relationships/hyperlink" Target="https://doi.org/10.3389/fevo.2023.1070266" TargetMode="External"/><Relationship Id="rId49" Type="http://schemas.openxmlformats.org/officeDocument/2006/relationships/hyperlink" Target="https://doi.org/10.1038/ngeo1477" TargetMode="External"/><Relationship Id="rId114" Type="http://schemas.openxmlformats.org/officeDocument/2006/relationships/hyperlink" Target="https://doi.org/10.1016/j.marpolbul.2023.115043" TargetMode="External"/><Relationship Id="rId119" Type="http://schemas.openxmlformats.org/officeDocument/2006/relationships/theme" Target="theme/theme1.xml"/><Relationship Id="rId10" Type="http://schemas.openxmlformats.org/officeDocument/2006/relationships/hyperlink" Target="https://wateratlas.usf.edu/" TargetMode="External"/><Relationship Id="rId31" Type="http://schemas.openxmlformats.org/officeDocument/2006/relationships/hyperlink" Target="https://CRAN.R-project.org/package=SPEI" TargetMode="External"/><Relationship Id="rId44" Type="http://schemas.openxmlformats.org/officeDocument/2006/relationships/hyperlink" Target="https://doi.org/10.1080/00785236.1995.10422039" TargetMode="External"/><Relationship Id="rId52" Type="http://schemas.openxmlformats.org/officeDocument/2006/relationships/hyperlink" Target="https://doi.org/10.1007/s00267-005-0079-4" TargetMode="External"/><Relationship Id="rId60" Type="http://schemas.openxmlformats.org/officeDocument/2006/relationships/hyperlink" Target="https://doi.org/10.1029/wr018i001p00107" TargetMode="External"/><Relationship Id="rId65" Type="http://schemas.openxmlformats.org/officeDocument/2006/relationships/hyperlink" Target="https://drive.google.com/file/d/1KARuSC5fGx05MuT1wiOQFWNXysBokkQl/view?usp=share_link" TargetMode="External"/><Relationship Id="rId73" Type="http://schemas.openxmlformats.org/officeDocument/2006/relationships/hyperlink" Target="https://doi.org/10.1016/j.ecss.2022.108134" TargetMode="External"/><Relationship Id="rId78" Type="http://schemas.openxmlformats.org/officeDocument/2006/relationships/hyperlink" Target="https://doi.org/10.2307/1932688" TargetMode="External"/><Relationship Id="rId81" Type="http://schemas.openxmlformats.org/officeDocument/2006/relationships/hyperlink" Target="https://doi.org/10.1007/bf02798652" TargetMode="External"/><Relationship Id="rId86" Type="http://schemas.openxmlformats.org/officeDocument/2006/relationships/hyperlink" Target="https://doi.org/10.1007/s12237-023-01252-4" TargetMode="External"/><Relationship Id="rId94" Type="http://schemas.openxmlformats.org/officeDocument/2006/relationships/hyperlink" Target="https://doi.org/10.1007/s00267-013-0179-5" TargetMode="External"/><Relationship Id="rId99" Type="http://schemas.openxmlformats.org/officeDocument/2006/relationships/hyperlink" Target="https://doi.org/10.1016/j.scitotenv.2011.09.088" TargetMode="External"/><Relationship Id="rId101" Type="http://schemas.openxmlformats.org/officeDocument/2006/relationships/hyperlink" Target="https://doi.org/10.1016/j.rsma.2015.11.010" TargetMode="External"/><Relationship Id="rId4" Type="http://schemas.openxmlformats.org/officeDocument/2006/relationships/webSettings" Target="webSettings.xml"/><Relationship Id="rId9" Type="http://schemas.openxmlformats.org/officeDocument/2006/relationships/hyperlink" Target="https://tampabay.wateratlas.usf.edu/seagrass-monitoring/"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i.org/10.1016/j.jembe.2007.06.024" TargetMode="External"/><Relationship Id="rId109" Type="http://schemas.openxmlformats.org/officeDocument/2006/relationships/hyperlink" Target="https://doi.org/10.1073/pnas.0905620106" TargetMode="External"/><Relationship Id="rId34" Type="http://schemas.openxmlformats.org/officeDocument/2006/relationships/hyperlink" Target="https://drive.google.com/file/d/1tUkGW7TRAJ_skWj-UemDVIJnUAsy0ITf/view?usp=drivesdk" TargetMode="External"/><Relationship Id="rId50" Type="http://schemas.openxmlformats.org/officeDocument/2006/relationships/hyperlink" Target="https://drive.google.com/file/d/1kZkvuprvsMyN9nPS5PHYvXHyo1KQxKTr/view?usp=drivesdk" TargetMode="External"/><Relationship Id="rId55" Type="http://schemas.openxmlformats.org/officeDocument/2006/relationships/hyperlink" Target="https://doi.org/10.2307/1353210" TargetMode="External"/><Relationship Id="rId76" Type="http://schemas.openxmlformats.org/officeDocument/2006/relationships/hyperlink" Target="https://doi.org/10.1016/j.seares.2012.03.002" TargetMode="External"/><Relationship Id="rId97" Type="http://schemas.openxmlformats.org/officeDocument/2006/relationships/hyperlink" Target="https://doi.org/10.1353/sgo.2017.0026" TargetMode="External"/><Relationship Id="rId104" Type="http://schemas.openxmlformats.org/officeDocument/2006/relationships/hyperlink" Target="https://doi.org/10.1016/j.marpolbul.2020.111247" TargetMode="External"/><Relationship Id="rId7" Type="http://schemas.openxmlformats.org/officeDocument/2006/relationships/hyperlink" Target="mailto:mbeck@tbep.org" TargetMode="External"/><Relationship Id="rId71" Type="http://schemas.openxmlformats.org/officeDocument/2006/relationships/hyperlink" Target="https://drive.google.com/file/d/1sNp3FpjdeOjATZ9nDRRAiXEOqQen9W_p/view?usp=sharing" TargetMode="External"/><Relationship Id="rId92" Type="http://schemas.openxmlformats.org/officeDocument/2006/relationships/hyperlink" Target="https://doi.org/10.1007/bf02691345" TargetMode="External"/><Relationship Id="rId2" Type="http://schemas.openxmlformats.org/officeDocument/2006/relationships/styles" Target="styles.xml"/><Relationship Id="rId29" Type="http://schemas.openxmlformats.org/officeDocument/2006/relationships/hyperlink" Target="https://doi.org/10.21105/joss.03485" TargetMode="External"/><Relationship Id="rId24" Type="http://schemas.openxmlformats.org/officeDocument/2006/relationships/hyperlink" Target="https://doi.org/10.18637/jss.v067.i01" TargetMode="External"/><Relationship Id="rId40" Type="http://schemas.openxmlformats.org/officeDocument/2006/relationships/hyperlink" Target="https://doi.org/10.1016/j.rse.2018.02.014" TargetMode="External"/><Relationship Id="rId45" Type="http://schemas.openxmlformats.org/officeDocument/2006/relationships/hyperlink" Target="https://doi.org/10.1007/s12237-008-9038-7" TargetMode="External"/><Relationship Id="rId66" Type="http://schemas.openxmlformats.org/officeDocument/2006/relationships/hyperlink" Target="https://drive.google.com/file/d/1Z_8L9sYQWSl1hon1tP1Y8zBo7MHQK9zC/view?usp=drivesdk" TargetMode="External"/><Relationship Id="rId87" Type="http://schemas.openxmlformats.org/officeDocument/2006/relationships/hyperlink" Target="https://doi.org/10.1126/sciadv.abc6434" TargetMode="External"/><Relationship Id="rId110" Type="http://schemas.openxmlformats.org/officeDocument/2006/relationships/hyperlink" Target="https://doi.org/10.1111/1365-2745.13648" TargetMode="External"/><Relationship Id="rId115" Type="http://schemas.openxmlformats.org/officeDocument/2006/relationships/hyperlink" Target="https://doi.org/10.1016/0304-3770(75)90016-9" TargetMode="External"/><Relationship Id="rId61" Type="http://schemas.openxmlformats.org/officeDocument/2006/relationships/hyperlink" Target="https://doi.org/10.1101/sqb.1957.022.01.039" TargetMode="External"/><Relationship Id="rId82" Type="http://schemas.openxmlformats.org/officeDocument/2006/relationships/hyperlink" Target="https://doi.org/10.1016/j.dsr2.2023.105321"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oi.org/10.1007/s12237-019-00619-w" TargetMode="External"/><Relationship Id="rId35" Type="http://schemas.openxmlformats.org/officeDocument/2006/relationships/hyperlink" Target="https://doi.org/10.2134/jeq2001.302303x" TargetMode="External"/><Relationship Id="rId56" Type="http://schemas.openxmlformats.org/officeDocument/2006/relationships/hyperlink" Target="https://doi.org/10.3354/meps11923" TargetMode="External"/><Relationship Id="rId77" Type="http://schemas.openxmlformats.org/officeDocument/2006/relationships/hyperlink" Target="https://doi.org/10.1111/brv.12294" TargetMode="External"/><Relationship Id="rId100" Type="http://schemas.openxmlformats.org/officeDocument/2006/relationships/hyperlink" Target="https://doi.org/10.3389/fevo.2023.1134069" TargetMode="External"/><Relationship Id="rId105" Type="http://schemas.openxmlformats.org/officeDocument/2006/relationships/hyperlink" Target="https://doi.org/10.1016/j.marpolbul.2005.02.010" TargetMode="External"/><Relationship Id="rId8" Type="http://schemas.openxmlformats.org/officeDocument/2006/relationships/hyperlink" Target="https://data-swfwmd.opendata.arcgis.com/" TargetMode="External"/><Relationship Id="rId51" Type="http://schemas.openxmlformats.org/officeDocument/2006/relationships/hyperlink" Target="https://doi.org/10.1016/j.marpolbul.2010.11.017" TargetMode="External"/><Relationship Id="rId72" Type="http://schemas.openxmlformats.org/officeDocument/2006/relationships/hyperlink" Target="https://doi.org/10.1007/bf02691700" TargetMode="External"/><Relationship Id="rId93" Type="http://schemas.openxmlformats.org/officeDocument/2006/relationships/hyperlink" Target="https://doi.org/10.1016/j.ecolind.2020.107310" TargetMode="External"/><Relationship Id="rId98" Type="http://schemas.openxmlformats.org/officeDocument/2006/relationships/hyperlink" Target="https://doi.org/10.21203/rs.3.rs-3528678/v1" TargetMode="External"/><Relationship Id="rId3" Type="http://schemas.openxmlformats.org/officeDocument/2006/relationships/settings" Target="settings.xml"/><Relationship Id="rId25" Type="http://schemas.openxmlformats.org/officeDocument/2006/relationships/hyperlink" Target="https://doi.org/10.5281/zenodo.3648664" TargetMode="External"/><Relationship Id="rId46" Type="http://schemas.openxmlformats.org/officeDocument/2006/relationships/hyperlink" Target="https://doi.org/10.3389/fpls.2021.612947" TargetMode="External"/><Relationship Id="rId67" Type="http://schemas.openxmlformats.org/officeDocument/2006/relationships/hyperlink" Target="https://drive.google.com/file/d/19bNEs2qy6z0hXa1IE7OtbFTjqk1LarFN/view?usp=drivesdk" TargetMode="External"/><Relationship Id="rId116" Type="http://schemas.openxmlformats.org/officeDocument/2006/relationships/hyperlink" Target="https://doi.org/10.1007/978-0-387-87458-6" TargetMode="External"/><Relationship Id="rId20" Type="http://schemas.openxmlformats.org/officeDocument/2006/relationships/hyperlink" Target="https://github.com/tbep-tech/temp-manu" TargetMode="External"/><Relationship Id="rId41" Type="http://schemas.openxmlformats.org/officeDocument/2006/relationships/hyperlink" Target="https://CRAN.R-project.org/package=rnoaa" TargetMode="External"/><Relationship Id="rId62" Type="http://schemas.openxmlformats.org/officeDocument/2006/relationships/hyperlink" Target="https://drive.google.com/file/d/1kZkvuprvsMyN9nPS5PHYvXHyo1KQxKTr/view?usp=drivesdk" TargetMode="External"/><Relationship Id="rId83" Type="http://schemas.openxmlformats.org/officeDocument/2006/relationships/hyperlink" Target="https://doi.org/10.1038/s41467-018-03732-9" TargetMode="External"/><Relationship Id="rId88" Type="http://schemas.openxmlformats.org/officeDocument/2006/relationships/hyperlink" Target="https://doi.org/10.1111/gcb.13084" TargetMode="External"/><Relationship Id="rId111" Type="http://schemas.openxmlformats.org/officeDocument/2006/relationships/hyperlink" Target="https://doi.org/10.1029/2005jc003067" TargetMode="External"/><Relationship Id="rId15" Type="http://schemas.openxmlformats.org/officeDocument/2006/relationships/image" Target="media/image4.png"/><Relationship Id="rId36" Type="http://schemas.openxmlformats.org/officeDocument/2006/relationships/hyperlink" Target="https://doi.org/10.1111/1365-2664.13169" TargetMode="External"/><Relationship Id="rId57" Type="http://schemas.openxmlformats.org/officeDocument/2006/relationships/hyperlink" Target="https://doi.org/10.3354/meps12740" TargetMode="External"/><Relationship Id="rId106" Type="http://schemas.openxmlformats.org/officeDocument/2006/relationships/hyperlink" Target="https://doi.org/10.1002/nt.26200205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54</Pages>
  <Words>16044</Words>
  <Characters>91457</Characters>
  <Application>Microsoft Office Word</Application>
  <DocSecurity>0</DocSecurity>
  <Lines>762</Lines>
  <Paragraphs>214</Paragraphs>
  <ScaleCrop>false</ScaleCrop>
  <Company/>
  <LinksUpToDate>false</LinksUpToDate>
  <CharactersWithSpaces>107287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cp:lastModifiedBy>Marcus Beck</cp:lastModifiedBy>
  <cp:revision>2</cp:revision>
  <dcterms:created xsi:type="dcterms:W3CDTF">2024-05-09T15:45:00Z</dcterms:created>
  <dcterms:modified xsi:type="dcterms:W3CDTF">2024-05-09T15:57:00Z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