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5" w:name="figures"/>
    <w:p>
      <w:pPr>
        <w:pStyle w:val="Heading2"/>
      </w:pPr>
      <w:r>
        <w:t xml:space="preserve">Figures</w:t>
      </w:r>
    </w:p>
    <w:tbl>
      <w:tblPr>
        <w:tblStyle w:val="Table"/>
        <w:tblW w:type="pct" w:w="5000"/>
        <w:tblLook w:firstRow="0" w:lastRow="0" w:firstColumn="0" w:lastColumn="0" w:noHBand="0" w:noVBand="0" w:val="0000"/>
        <w:jc w:val="start"/>
      </w:tblPr>
      <w:tblGrid>
        <w:gridCol w:w="7920"/>
      </w:tblGrid>
      <w:tr>
        <w:tc>
          <w:tcPr/>
          <w:bookmarkStart w:id="24" w:name="fig-suppmeteowqraw"/>
          <w:p>
            <w:pPr>
              <w:jc w:val="center"/>
            </w:pPr>
            <w:r>
              <w:drawing>
                <wp:inline>
                  <wp:extent cx="5611007" cy="641362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611007"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Pr>
      <w:tblGrid>
        <w:gridCol w:w="7920"/>
      </w:tblGrid>
      <w:tr>
        <w:tc>
          <w:tcPr/>
          <w:bookmarkStart w:id="28" w:name="fig-suppfimtrnds"/>
          <w:p>
            <w:pPr>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Pr>
      <w:tblGrid>
        <w:gridCol w:w="7920"/>
      </w:tblGrid>
      <w:tr>
        <w:tc>
          <w:tcPr/>
          <w:bookmarkStart w:id="32" w:name="fig-supppincotrnds"/>
          <w:p>
            <w:pPr>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Pr>
      <w:tblGrid>
        <w:gridCol w:w="7920"/>
      </w:tblGrid>
      <w:tr>
        <w:tc>
          <w:tcPr/>
          <w:bookmarkStart w:id="36" w:name="fig-suppkendall"/>
          <w:p>
            <w:pPr>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Pr>
      <w:tblGrid>
        <w:gridCol w:w="7920"/>
      </w:tblGrid>
      <w:tr>
        <w:tc>
          <w:tcPr/>
          <w:bookmarkStart w:id="40" w:name="fig-supgamex"/>
          <w:p>
            <w:pPr>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Pr>
      <w:tblGrid>
        <w:gridCol w:w="7920"/>
      </w:tblGrid>
      <w:tr>
        <w:tc>
          <w:tcPr/>
          <w:bookmarkStart w:id="44" w:name="fig-suppmixeff"/>
          <w:p>
            <w:pPr>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44"/>
        </w:tc>
      </w:tr>
    </w:tbl>
    <w:p>
      <w:r>
        <w:br w:type="page"/>
      </w:r>
    </w:p>
    <w:bookmarkEnd w:id="45"/>
    <w:bookmarkStart w:id="48" w:name="tables"/>
    <w:p>
      <w:pPr>
        <w:pStyle w:val="Heading2"/>
      </w:pPr>
      <w:r>
        <w:t xml:space="preserve">Tables</w:t>
      </w:r>
    </w:p>
    <w:bookmarkStart w:id="46"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46"/>
    <w:p>
      <w:r>
        <w:br w:type="page"/>
      </w:r>
    </w:p>
    <w:bookmarkStart w:id="47"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47"/>
    <w:p>
      <w:r>
        <w:br w:type="page"/>
      </w:r>
    </w:p>
    <w:p>
      <w:pPr>
        <w:pStyle w:val="BodyText"/>
      </w:pPr>
      <w:r>
        <w:t xml:space="preserve">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3).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4).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 Kerry Flaherty-Walia1, Sheila Scolaro1, Maya C Burke1, and Edward T Sherwood1</dc:creator>
  <cp:keywords/>
  <dcterms:created xsi:type="dcterms:W3CDTF">2023-12-14T20:59:58Z</dcterms:created>
  <dcterms:modified xsi:type="dcterms:W3CDTF">2023-12-14T20:59:58Z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