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2020-06-01 12:53:41</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(Table</w:t>
      </w:r>
      <w:r>
        <w:t xml:space="preserve"> </w:t>
      </w:r>
      <w:r>
        <w:t xml:space="preserve">1</w:t>
      </w:r>
      <w:r>
        <w:t xml:space="preserve">).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2</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2</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FirstParagraph"/>
      </w:pPr>
      <w:r>
        <w:t xml:space="preserve">Table</w:t>
      </w:r>
      <w:r>
        <w:t xml:space="preserve"> </w:t>
      </w:r>
      <w:r>
        <w:t xml:space="preserve">3</w:t>
      </w:r>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Compact"/>
        <w:pStyle w:val=""/>
      </w:pPr>
      <w:r>
        <w:t xml:space="preserve">Table 1: Station locations, sample sizes, and median values for salnity, dissolved inorganic nitrogen (DIN, sum of ammonia, nitrate, and nitrite), and chlorophyll. Rows are arranged from north to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52"/>
        <w:tblLook w:firstRow="1" w:lastRow="0" w:firstColumn="0" w:lastColumn="0" w:noHBand="0" w:noVBand="1"/>
      </w:tblPr>
      <w:tblGrid>
        <w:gridCol w:w="1080"/>
        <w:gridCol w:w="1296"/>
        <w:gridCol w:w="1296"/>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Salinity (psu)</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DIN (mg/L)</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Chl-a (ug/L)</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Latitude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Longitude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37.836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-122.418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w:t>
            </w:r>
          </w:p>
        </w:tc>
      </w:tr>
    </w:tbl>
    <w:p>
      <w:pPr>
        <w:pStyle w:val="TableCaption"/>
      </w:pPr>
      <w:r>
        <w:t xml:space="preserve">Table 2: Summary and details for each of the GAM structures in equations (2) to (5).</w:t>
      </w:r>
    </w:p>
    <w:tbl>
      <w:tblPr>
        <w:tblStyle w:val="Table"/>
        <w:tblW w:type="pct" w:w="0.0"/>
        <w:tblLook w:firstRow="1"/>
        <w:tblCaption w:val="Table 2: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(cyear); and Within-year seasonal fluctuations that follow the same pattern every year -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cyear and doy same as gam0;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 gam1; and Within-year seasonal fluctuations that vary across years but in a constrained pattern compared to gam6 (</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Nonelinear trends with seasonality (unconstrained knots)</w:t>
            </w:r>
          </w:p>
        </w:tc>
        <w:tc>
          <w:p>
            <w:pPr>
              <w:pStyle w:val="Compact"/>
              <w:jc w:val="left"/>
            </w:pPr>
            <w:r>
              <w:t xml:space="preserve">Variant of gam1 with much higher values of k, allowing the splines to follow greater fluctuations both within and across years.</w:t>
            </w:r>
          </w:p>
        </w:tc>
      </w:tr>
    </w:tbl>
    <w:p>
      <w:pPr>
        <w:pStyle w:val="Compact"/>
        <w:pStyle w:val=""/>
      </w:pPr>
      <w:r>
        <w:t xml:space="preserve">Table 3: Model performance statistics for each station and GAM structure (Table</w:t>
      </w:r>
      <w:r>
        <w:t xml:space="preserve"> </w:t>
      </w:r>
      <w:r>
        <w:t xml:space="preserve">2</w:t>
      </w:r>
      <w:r>
        <w:t xml:space="preserve">). Four GAMs were fit to each station and performance is summarized as</w:t>
      </w:r>
      <w:r>
        <w:t xml:space="preserve"> </w:t>
      </w:r>
      <m:oMath>
        <m:r>
          <m:t>Δ</m:t>
        </m:r>
      </m:oMath>
      <w:r>
        <w:t xml:space="preserve"> </w:t>
      </w:r>
      <w:r>
        <w:t xml:space="preserve">AIC (from</w:t>
      </w:r>
      <w:r>
        <w:t xml:space="preserve"> </w:t>
      </w:r>
      <w:r>
        <w:rPr>
          <w:rStyle w:val="VerbatimChar"/>
        </w:rPr>
        <w:t xml:space="preserve">gam0</w:t>
      </w:r>
      <w:r>
        <w:t xml:space="preserve">), GCV, and R-squared values. Models with the lowest AIC, GCV and highest R-squared values for each station are emphasized.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69"/>
        <w:tblLook w:firstRow="1" w:lastRow="0" w:firstColumn="0" w:lastColumn="0" w:noHBand="0" w:noVBand="1"/>
      </w:tblPr>
      <w:tblGrid>
        <w:gridCol w:w="1158"/>
        <w:gridCol w:w="1011"/>
        <w:gridCol w:w="1438"/>
        <w:gridCol w:w="931"/>
        <w:gridCol w:w="1531"/>
      </w:tblGrid>
      <w:tr>
        <w:trPr>
          <w:cantSplit/>
          <w:trHeight w:val="47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Delta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R-squared</w:t>
            </w:r>
          </w:p>
        </w:tc>
      </w:tr>
      <w:tr>
        <w:trPr>
          <w:cantSplit/>
          <w:trHeight w:val="47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0.69</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0.43</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-421.6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0.66</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0.73</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2020-06-01T16:53:54Z</dcterms:created>
  <dcterms:modified xsi:type="dcterms:W3CDTF">2020-06-01T16:53:54Z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