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2020-05-29 09:55:12</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FirstParagraph"/>
      </w:pPr>
      <w:r>
        <w:t xml:space="preserve">Cloern et al. 2020</w:t>
      </w:r>
      <w:r>
        <w:t xml:space="preserve"> </w:t>
      </w:r>
      <w:hyperlink r:id="rId29">
        <w:r>
          <w:rPr>
            <w:rStyle w:val="Hyperlink"/>
          </w:rPr>
          <w:t xml:space="preserve">link</w:t>
        </w:r>
      </w:hyperlink>
    </w:p>
    <w:p>
      <w:pPr>
        <w:pStyle w:val="Heading1"/>
      </w:pPr>
      <w:bookmarkStart w:id="30" w:name="methods"/>
      <w:r>
        <w:t xml:space="preserve">Methods</w:t>
      </w:r>
      <w:bookmarkEnd w:id="30"/>
    </w:p>
    <w:p>
      <w:pPr>
        <w:pStyle w:val="Heading2"/>
      </w:pPr>
      <w:bookmarkStart w:id="31" w:name="study-area-and-data-sources"/>
      <w:r>
        <w:t xml:space="preserve">Study area and data sources</w:t>
      </w:r>
      <w:bookmarkEnd w:id="31"/>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Suisun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w:t>
      </w:r>
      <w:r>
        <w:t xml:space="preserve"> </w:t>
      </w:r>
      <w:r>
        <w:t xml:space="preserve">(Cloern and Schraga</w:t>
      </w:r>
      <w:r>
        <w:t xml:space="preserve"> </w:t>
      </w:r>
      <w:hyperlink w:anchor="ref-Cloern16">
        <w:r>
          <w:rPr>
            <w:rStyle w:val="Hyperlink"/>
          </w:rPr>
          <w:t xml:space="preserve">2016</w:t>
        </w:r>
      </w:hyperlink>
      <w:r>
        <w:t xml:space="preserve">, Schraga et al.</w:t>
      </w:r>
      <w:r>
        <w:t xml:space="preserve"> </w:t>
      </w:r>
      <w:hyperlink w:anchor="ref-Schraga20">
        <w:r>
          <w:rPr>
            <w:rStyle w:val="Hyperlink"/>
          </w:rPr>
          <w:t xml:space="preserve">2020</w:t>
        </w:r>
      </w:hyperlink>
      <w:r>
        <w:t xml:space="preserve">)</w:t>
      </w:r>
      <w:r>
        <w:t xml:space="preserve">.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24-32), and Lower South Bay (stations 34-36) (Table</w:t>
      </w:r>
      <w:r>
        <w:t xml:space="preserve"> </w:t>
      </w:r>
      <w:r>
        <w:t xml:space="preserve">1</w:t>
      </w:r>
      <w:r>
        <w:t xml:space="preserve">).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2" w:name="gam-application"/>
      <w:r>
        <w:t xml:space="preserve">GAM application</w:t>
      </w:r>
      <w:bookmarkEnd w:id="32"/>
    </w:p>
    <w:p>
      <w:pPr>
        <w:pStyle w:val="FirstParagraph"/>
      </w:pPr>
      <w:r>
        <w:t xml:space="preserve">Generalized Additive Models are an extension of linear models that can incorporate additive smoothed terms to model non-linear effects. The basic structural form is</w:t>
      </w:r>
      <w:r>
        <w:t xml:space="preserve"> </w:t>
      </w:r>
      <w:r>
        <w:t xml:space="preserve">(</w:t>
      </w:r>
      <w:r>
        <w:rPr>
          <w:i/>
        </w:rPr>
        <w:t xml:space="preserve">Generalized additive models</w:t>
      </w:r>
      <w:r>
        <w:t xml:space="preserve"> </w:t>
      </w:r>
      <w:hyperlink w:anchor="ref-Hastie90">
        <w:r>
          <w:rPr>
            <w:rStyle w:val="Hyperlink"/>
          </w:rPr>
          <w:t xml:space="preserve">1990</w:t>
        </w:r>
      </w:hyperlink>
      <w:r>
        <w:t xml:space="preserve">)</w:t>
      </w:r>
      <w:r>
        <w:t xml:space="preserve">:</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w:t>
      </w:r>
      <w:r>
        <w:t xml:space="preserve"> </w:t>
      </w:r>
      <w:r>
        <w:t xml:space="preserve">(Wood</w:t>
      </w:r>
      <w:r>
        <w:t xml:space="preserve"> </w:t>
      </w:r>
      <w:hyperlink w:anchor="ref-Wood03">
        <w:r>
          <w:rPr>
            <w:rStyle w:val="Hyperlink"/>
          </w:rPr>
          <w:t xml:space="preserve">2003</w:t>
        </w:r>
      </w:hyperlink>
      <w:r>
        <w:t xml:space="preserve">)</w:t>
      </w:r>
      <w:r>
        <w:t xml:space="preserve">.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w:t>
      </w:r>
      <w:r>
        <w:t xml:space="preserve"> </w:t>
      </w:r>
      <w:r>
        <w:t xml:space="preserve">(Murphy et al.</w:t>
      </w:r>
      <w:r>
        <w:t xml:space="preserve"> </w:t>
      </w:r>
      <w:hyperlink w:anchor="ref-Murphy19">
        <w:r>
          <w:rPr>
            <w:rStyle w:val="Hyperlink"/>
          </w:rPr>
          <w:t xml:space="preserve">2019</w:t>
        </w:r>
      </w:hyperlink>
      <w:r>
        <w:t xml:space="preserve">)</w:t>
      </w:r>
      <w:r>
        <w:t xml:space="preserve">,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w:t>
      </w:r>
      <w:r>
        <w:t xml:space="preserve"> </w:t>
      </w:r>
      <w:r>
        <w:t xml:space="preserve">Murphy et al. (</w:t>
      </w:r>
      <w:hyperlink w:anchor="ref-Murphy19">
        <w:r>
          <w:rPr>
            <w:rStyle w:val="Hyperlink"/>
          </w:rPr>
          <w:t xml:space="preserve">2019</w:t>
        </w:r>
      </w:hyperlink>
      <w:r>
        <w:t xml:space="preserve">)</w:t>
      </w:r>
      <w:r>
        <w:t xml:space="preserve">. The notation for gam3, gam4, and gam5 are not used because these describe models in</w:t>
      </w:r>
      <w:r>
        <w:t xml:space="preserve"> </w:t>
      </w:r>
      <w:r>
        <w:t xml:space="preserve">Murphy et al. (</w:t>
      </w:r>
      <w:hyperlink w:anchor="ref-Murphy19">
        <w:r>
          <w:rPr>
            <w:rStyle w:val="Hyperlink"/>
          </w:rPr>
          <w:t xml:space="preserve">2019</w:t>
        </w:r>
      </w:hyperlink>
      <w:r>
        <w:t xml:space="preserve">)</w:t>
      </w:r>
      <w:r>
        <w:t xml:space="preserve"> </w:t>
      </w:r>
      <w:r>
        <w:t xml:space="preserve">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(Table</w:t>
      </w:r>
      <w:r>
        <w:t xml:space="preserve"> </w:t>
      </w:r>
      <w:r>
        <w:t xml:space="preserve">2</w:t>
      </w:r>
      <w:r>
        <w:t xml:space="preserve">, Figure</w:t>
      </w:r>
      <w:r>
        <w:t xml:space="preserve"> </w:t>
      </w:r>
      <w:r>
        <w:t xml:space="preserve">1</w:t>
      </w:r>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w:t>
      </w:r>
      <w:r>
        <w:t xml:space="preserve">Venables and Ripley (</w:t>
      </w:r>
      <w:hyperlink w:anchor="ref-Venables02">
        <w:r>
          <w:rPr>
            <w:rStyle w:val="Hyperlink"/>
          </w:rPr>
          <w:t xml:space="preserve">2002</w:t>
        </w:r>
      </w:hyperlink>
      <w:r>
        <w:t xml:space="preserve">)</w:t>
      </w:r>
      <w:r>
        <w:t xml:space="preserve"> </w:t>
      </w:r>
      <w:r>
        <w:t xml:space="preserve">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w:t>
      </w:r>
      <w:r>
        <w:t xml:space="preserve"> </w:t>
      </w:r>
      <w:r>
        <w:t xml:space="preserve">(Box and Cox</w:t>
      </w:r>
      <w:r>
        <w:t xml:space="preserve"> </w:t>
      </w:r>
      <w:hyperlink w:anchor="ref-Box64">
        <w:r>
          <w:rPr>
            <w:rStyle w:val="Hyperlink"/>
          </w:rPr>
          <w:t xml:space="preserve">1964</w:t>
        </w:r>
      </w:hyperlink>
      <w:r>
        <w:t xml:space="preserve">)</w:t>
      </w:r>
      <w:r>
        <w:t xml:space="preserve">:</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w:t>
      </w:r>
      <w:r>
        <w:t xml:space="preserve"> </w:t>
      </w:r>
      <w:r>
        <w:t xml:space="preserve">(Hyndman et al.</w:t>
      </w:r>
      <w:r>
        <w:t xml:space="preserve"> </w:t>
      </w:r>
      <w:hyperlink w:anchor="ref-Hyndman20">
        <w:r>
          <w:rPr>
            <w:rStyle w:val="Hyperlink"/>
          </w:rPr>
          <w:t xml:space="preserve">2020</w:t>
        </w:r>
      </w:hyperlink>
      <w:r>
        <w:t xml:space="preserve">)</w:t>
      </w:r>
      <w:r>
        <w:t xml:space="preserve"> </w:t>
      </w:r>
      <w:r>
        <w:t xml:space="preserve">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for optimizing GAMs to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(Table</w:t>
      </w:r>
      <w:r>
        <w:t xml:space="preserve"> </w:t>
      </w:r>
      <w:r>
        <w:t xml:space="preserve">2</w:t>
      </w:r>
      <w:r>
        <w:t xml:space="preserve">, Figure</w:t>
      </w:r>
      <w:r>
        <w:t xml:space="preserve"> </w:t>
      </w:r>
      <w:r>
        <w:t xml:space="preserve">1</w:t>
      </w:r>
      <w:r>
        <w:t xml:space="preserve">).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compared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for the transformations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independent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from the predictions.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 For hypothesis tests that required estimates of central tendency and confidence intervals for mean values, back-transformations were based on an exponentiation or inverse function of the transformed response variable as before, with the addition of a correction factor. This bias-correction factor was simply the variance of the model residuals divided by two for variables in log-space and correction with a forecast variance estimate as specified in the</w:t>
      </w:r>
      <w:r>
        <w:t xml:space="preserve"> </w:t>
      </w:r>
      <w:r>
        <w:rPr>
          <w:i/>
        </w:rPr>
        <w:t xml:space="preserve">InvBoxCox()</w:t>
      </w:r>
      <w:r>
        <w:t xml:space="preserve"> </w:t>
      </w:r>
      <w:r>
        <w:t xml:space="preserve">function from the forecast package.</w:t>
      </w:r>
    </w:p>
    <w:p>
      <w:pPr>
        <w:pStyle w:val="Heading2"/>
      </w:pPr>
      <w:bookmarkStart w:id="33" w:name="trend-tests-on-gam-results"/>
      <w:r>
        <w:t xml:space="preserve">Trend tests on GAM results</w:t>
      </w:r>
      <w:bookmarkEnd w:id="33"/>
    </w:p>
    <w:p>
      <w:pPr>
        <w:pStyle w:val="FirstParagraph"/>
      </w:pPr>
      <w:r>
        <w:t xml:space="preserve">Each of the GAM structures described in equations (2) to (5) provide different approaches to quantify long-term variation in annual and seasonal changes. Although useful as a general approach to view functional forms for different time series, additional information regarding whether an observed change is statistically significant can be useful to inform environmental management decisions. We present two methods for performing trend tests on model results that address different changes that may be of management interest. First, a method for evaluating the percent change in annual averages between two time periods is briefly summarized. This approach is similar to that presented in</w:t>
      </w:r>
      <w:r>
        <w:t xml:space="preserve"> </w:t>
      </w:r>
      <w:r>
        <w:t xml:space="preserve">Murphy et al. (</w:t>
      </w:r>
      <w:hyperlink w:anchor="ref-Murphy19">
        <w:r>
          <w:rPr>
            <w:rStyle w:val="Hyperlink"/>
          </w:rPr>
          <w:t xml:space="preserve">2019</w:t>
        </w:r>
      </w:hyperlink>
      <w:r>
        <w:t xml:space="preserve">)</w:t>
      </w:r>
      <w:r>
        <w:t xml:space="preserve">. Second, a method for evaluating means and confidence intervals from GAM results for seasonal periods is presented, including an estimate of direction and rate of seasonal change over time.</w:t>
      </w:r>
    </w:p>
    <w:p>
      <w:pPr>
        <w:pStyle w:val="BodyText"/>
      </w:pPr>
      <w:r>
        <w:t xml:space="preserve">The ability to compare time periods of interest has importance for evaluating whether a significant change has occurred in relation to perceived trends in observed data. For example, the noticeable change in SFE water quality in South Bay starting from the 1990s and persisting through 2005 was of considerable interest by environmental managers given the apparent departure from long-term conditions to a state that suggested a trend towards more eutrophic conditions. However, statistical methods to evaluate this change that were able to quantify the temporal variation and to provide a statistically robust estimate of the change were not available. The use of GAMs in parallel with hypothesis testing can be used for this purpose. Methods proposed in</w:t>
      </w:r>
      <w:r>
        <w:t xml:space="preserve"> </w:t>
      </w:r>
      <w:r>
        <w:t xml:space="preserve">Murphy et al. (</w:t>
      </w:r>
      <w:hyperlink w:anchor="ref-Murphy19">
        <w:r>
          <w:rPr>
            <w:rStyle w:val="Hyperlink"/>
          </w:rPr>
          <w:t xml:space="preserve">2019</w:t>
        </w:r>
      </w:hyperlink>
      <w:r>
        <w:t xml:space="preserve">)</w:t>
      </w:r>
      <w:r>
        <w:t xml:space="preserve"> </w:t>
      </w:r>
      <w:r>
        <w:t xml:space="preserve">and similarly applied in</w:t>
      </w:r>
      <w:r>
        <w:t xml:space="preserve"> </w:t>
      </w:r>
      <w:r>
        <w:t xml:space="preserve">Yang and Moyer (</w:t>
      </w:r>
      <w:hyperlink w:anchor="ref-Yang20">
        <w:r>
          <w:rPr>
            <w:rStyle w:val="Hyperlink"/>
          </w:rPr>
          <w:t xml:space="preserve">2020</w:t>
        </w:r>
      </w:hyperlink>
      <w:r>
        <w:t xml:space="preserve">)</w:t>
      </w:r>
      <w:r>
        <w:t xml:space="preserve"> </w:t>
      </w:r>
      <w:r>
        <w:t xml:space="preserve">were used and are briefly summarized herein.</w:t>
      </w:r>
    </w:p>
    <w:p>
      <w:pPr>
        <w:pStyle w:val="BodyText"/>
      </w:pPr>
      <w:r>
        <w:t xml:space="preserve">For two time periods of interest, a trend can be estimated as the difference in means from the GAM results between the periods, the percent change, and an appropriate p-value descibing the probability that the change is due to change alone.</w:t>
      </w:r>
      <w:r>
        <w:t xml:space="preserve"> </w:t>
      </w:r>
      <w:r>
        <w:t xml:space="preserve">Murphy et al. (</w:t>
      </w:r>
      <w:hyperlink w:anchor="ref-Murphy19">
        <w:r>
          <w:rPr>
            <w:rStyle w:val="Hyperlink"/>
          </w:rPr>
          <w:t xml:space="preserve">2019</w:t>
        </w:r>
      </w:hyperlink>
      <w:r>
        <w:t xml:space="preserve">)</w:t>
      </w:r>
      <w:r>
        <w:t xml:space="preserve"> </w:t>
      </w:r>
      <w:r>
        <w:t xml:space="preserve">defined the two time periods as</w:t>
      </w:r>
      <w:r>
        <w:t xml:space="preserve"> </w:t>
      </w:r>
      <w:r>
        <w:t xml:space="preserve">“</w:t>
      </w:r>
      <w:r>
        <w:t xml:space="preserve">base</w:t>
      </w:r>
      <w:r>
        <w:t xml:space="preserve">”</w:t>
      </w:r>
      <w:r>
        <w:t xml:space="preserve"> </w:t>
      </w:r>
      <w:r>
        <w:t xml:space="preserve">and</w:t>
      </w:r>
      <w:r>
        <w:t xml:space="preserve"> </w:t>
      </w:r>
      <w:r>
        <w:t xml:space="preserve">“</w:t>
      </w:r>
      <w:r>
        <w:t xml:space="preserve">test</w:t>
      </w:r>
      <w:r>
        <w:t xml:space="preserve">”</w:t>
      </w:r>
      <w:r>
        <w:t xml:space="preserve"> </w:t>
      </w:r>
      <w:r>
        <w:t xml:space="preserve">periods, where the former represents a baseline condition earlier in the time series as a basis of comparison to the more recent</w:t>
      </w:r>
      <w:r>
        <w:t xml:space="preserve"> </w:t>
      </w:r>
      <w:r>
        <w:t xml:space="preserve">“</w:t>
      </w:r>
      <w:r>
        <w:t xml:space="preserve">test</w:t>
      </w:r>
      <w:r>
        <w:t xml:space="preserve">”</w:t>
      </w:r>
      <w:r>
        <w:t xml:space="preserve"> </w:t>
      </w:r>
      <w:r>
        <w:t xml:space="preserve">period. It was further suggested the the base and test periods include a minimum of two years if evaluating years at the beginning and end of a time series to account for instability of GAM estimates at the edges of the independent variable space. The differences are estimated as:</w:t>
      </w:r>
    </w:p>
    <w:p>
      <w:pPr>
        <w:pStyle w:val="BodyText"/>
      </w:pPr>
      <m:oMathPara>
        <m:oMathParaPr>
          <m:jc m:val="center"/>
        </m:oMathParaPr>
        <m:oMath>
          <m:r>
            <m:rPr>
              <m:nor/>
              <m:sty m:val="p"/>
            </m:rPr>
            <m:t>Difference</m:t>
          </m:r>
          <m:r>
            <m:t>=</m:t>
          </m:r>
          <m:sSub>
            <m:e>
              <m:r>
                <m:t>Z</m:t>
              </m:r>
            </m:e>
            <m:sub>
              <m:r>
                <m:t>d</m:t>
              </m:r>
            </m:sub>
          </m:sSub>
          <m:acc>
            <m:accPr>
              <m:chr m:val="̂"/>
            </m:accPr>
            <m:e>
              <m:r>
                <m:t>β</m:t>
              </m:r>
            </m:e>
          </m:acc>
          <m:r>
            <m:t>  </m:t>
          </m:r>
          <m:r>
            <m:t>(</m:t>
          </m:r>
          <m:r>
            <m:t>7</m:t>
          </m:r>
          <m:r>
            <m:t>)</m:t>
          </m:r>
        </m:oMath>
      </m:oMathPara>
    </w:p>
    <w:p>
      <w:pPr>
        <w:pStyle w:val="FirstParagraph"/>
      </w:pPr>
      <w:r>
        <w:t xml:space="preserve">where</w:t>
      </w:r>
      <w:r>
        <w:t xml:space="preserve"> </w:t>
      </w:r>
      <m:oMath>
        <m:sSub>
          <m:e>
            <m:r>
              <m:t>Z</m:t>
            </m:r>
          </m:e>
          <m:sub>
            <m:r>
              <m:t>d</m:t>
            </m:r>
          </m:sub>
        </m:sSub>
      </m:oMath>
      <w:r>
        <w:t xml:space="preserve"> </w:t>
      </w:r>
      <w:r>
        <w:t xml:space="preserve">is a point estimate of the differences of the predictions between the base and test years and</w:t>
      </w:r>
      <w:r>
        <w:t xml:space="preserve"> </w:t>
      </w:r>
      <m:oMath>
        <m:acc>
          <m:accPr>
            <m:chr m:val="̂"/>
          </m:accPr>
          <m:e>
            <m:r>
              <m:t>β</m:t>
            </m:r>
          </m:e>
        </m:acc>
      </m:oMath>
      <w:r>
        <w:t xml:space="preserve"> </w:t>
      </w:r>
      <w:r>
        <w:t xml:space="preserve">is the estimated parameter vector from the fitted GAM. The standard error of this difference is then:</w:t>
      </w:r>
    </w:p>
    <w:p>
      <w:pPr>
        <w:pStyle w:val="BodyText"/>
      </w:pPr>
      <m:oMathPara>
        <m:oMathParaPr>
          <m:jc m:val="center"/>
        </m:oMathParaPr>
        <m:oMath>
          <m:sSub>
            <m:e>
              <m:r>
                <m:rPr>
                  <m:nor/>
                  <m:sty m:val="p"/>
                </m:rPr>
                <m:t>se</m:t>
              </m:r>
            </m:e>
            <m:sub>
              <m:r>
                <m:rPr>
                  <m:nor/>
                  <m:sty m:val="p"/>
                </m:rPr>
                <m:t>diff</m:t>
              </m:r>
            </m:sub>
          </m:sSub>
          <m:r>
            <m:t>=</m:t>
          </m:r>
          <m:rad>
            <m:radPr>
              <m:degHide m:val="1"/>
            </m:radPr>
            <m:deg/>
            <m:e>
              <m:sSub>
                <m:e>
                  <m:r>
                    <m:t>Z</m:t>
                  </m:r>
                </m:e>
                <m:sub>
                  <m:r>
                    <m:t>d</m:t>
                  </m:r>
                </m:sub>
              </m:sSub>
              <m:sSub>
                <m:e>
                  <m:acc>
                    <m:accPr>
                      <m:chr m:val="̂"/>
                    </m:accPr>
                    <m:e>
                      <m:r>
                        <m:t>Σ</m:t>
                      </m:r>
                    </m:e>
                  </m:acc>
                </m:e>
                <m:sub>
                  <m:r>
                    <m:t>β</m:t>
                  </m:r>
                </m:sub>
              </m:sSub>
              <m:sSubSup>
                <m:e>
                  <m:r>
                    <m:t>Z</m:t>
                  </m:r>
                </m:e>
                <m:sub>
                  <m:r>
                    <m:t>d</m:t>
                  </m:r>
                </m:sub>
                <m:sup>
                  <m:r>
                    <m:t>T</m:t>
                  </m:r>
                </m:sup>
              </m:sSubSup>
            </m:e>
          </m:rad>
          <m:r>
            <m:t>  </m:t>
          </m:r>
          <m:r>
            <m:t>(</m:t>
          </m:r>
          <m:r>
            <m:t>8</m:t>
          </m:r>
          <m:r>
            <m:t>)</m:t>
          </m:r>
        </m:oMath>
      </m:oMathPara>
    </w:p>
    <w:p>
      <w:pPr>
        <w:pStyle w:val="FirstParagraph"/>
      </w:pPr>
      <w:r>
        <w:t xml:space="preserve">defined as the square root of the product of</w:t>
      </w:r>
      <w:r>
        <w:t xml:space="preserve"> </w:t>
      </w:r>
      <m:oMath>
        <m:sSub>
          <m:e>
            <m:r>
              <m:t>Z</m:t>
            </m:r>
          </m:e>
          <m:sub>
            <m:r>
              <m:t>d</m:t>
            </m:r>
          </m:sub>
        </m:sSub>
      </m:oMath>
      <w:r>
        <w:t xml:space="preserve">, the estimated variance-covariance matrix of parameter vector for the fitted GAM</w:t>
      </w:r>
      <w:r>
        <w:t xml:space="preserve"> </w:t>
      </w:r>
      <m:oMath>
        <m:sSub>
          <m:e>
            <m:acc>
              <m:accPr>
                <m:chr m:val="̂"/>
              </m:accPr>
              <m:e>
                <m:r>
                  <m:t>Σ</m:t>
                </m:r>
              </m:e>
            </m:acc>
          </m:e>
          <m:sub>
            <m:r>
              <m:t>β</m:t>
            </m:r>
          </m:sub>
        </m:sSub>
      </m:oMath>
      <w:r>
        <w:t xml:space="preserve">, and the transposition of</w:t>
      </w:r>
      <w:r>
        <w:t xml:space="preserve"> </w:t>
      </w:r>
      <m:oMath>
        <m:sSub>
          <m:e>
            <m:r>
              <m:t>Z</m:t>
            </m:r>
          </m:e>
          <m:sub>
            <m:r>
              <m:t>d</m:t>
            </m:r>
          </m:sub>
        </m:sSub>
      </m:oMath>
      <w:r>
        <w:t xml:space="preserve">. The trend is considered significant if the appropriate confidence interval at a specified</w:t>
      </w:r>
      <w:r>
        <w:t xml:space="preserve"> </w:t>
      </w:r>
      <m:oMath>
        <m:r>
          <m:t>α</m:t>
        </m:r>
      </m:oMath>
      <w:r>
        <w:t xml:space="preserve"> </w:t>
      </w:r>
      <w:r>
        <w:t xml:space="preserve">does not include zero.</w:t>
      </w:r>
    </w:p>
    <w:p>
      <w:pPr>
        <w:pStyle w:val="BodyText"/>
      </w:pPr>
      <w:r>
        <w:t xml:space="preserve">The second hypothesis test evaluates changes in seasonal estimates between years using results from a fitted GAM. This test provides both an estimate of a seasonal mean, its associated confidence interval, and if the rate of change in the seasonal means has varied over a specific period of interest. For example, changes that occur during late fall or early spring can be evaluated between years to determine if the seasonal averages differ and if the direction and magnitude of change is significant. This has implications for understanding potential changes in seasonal bloom phenology resulting from shifting system responses to nutrient inputs or changes in the latter.</w:t>
      </w:r>
    </w:p>
    <w:p>
      <w:pPr>
        <w:pStyle w:val="BodyText"/>
      </w:pPr>
      <w:r>
        <w:t xml:space="preserve">Seasonal averages and confidence intervals were estimated from fitted GAMs by first creating a matrix of the predictors (i.e.,</w:t>
      </w:r>
      <w:r>
        <w:t xml:space="preserve"> </w:t>
      </w:r>
      <w:r>
        <w:rPr>
          <w:rStyle w:val="VerbatimChar"/>
        </w:rPr>
        <w:t xml:space="preserve">year</w:t>
      </w:r>
      <w:r>
        <w:t xml:space="preserve">,</w:t>
      </w:r>
      <w:r>
        <w:t xml:space="preserve"> </w:t>
      </w:r>
      <w:r>
        <w:rPr>
          <w:rStyle w:val="VerbatimChar"/>
        </w:rPr>
        <w:t xml:space="preserve">doy</w:t>
      </w:r>
      <w:r>
        <w:t xml:space="preserve">) covering the seasonal periods across the time series. For example, seasonal changes from late summer could be obtained from a prediction matrix covering all dates from Aug 1st to Sep. 30th for the period from 2000 to 2010. The prediction matrix is then used to obtain fitted values from a GAM that describe the estimated values of chlorophyll that occurred during the periods of interest. Rather than the estimated values for the predictions, a linear predictor matrix is returned that provides a parameter vecotr at the supplied covariate values. This predictor matrix is then used to estimate the mean seasonal value within a year and associated variance using the sum of predictions from the matrix. As a result, each year has a mean value of chlorophyll with an associated confidence interval that describes the modelled expectation for the seasonal period.</w:t>
      </w:r>
    </w:p>
    <w:p>
      <w:pPr>
        <w:pStyle w:val="BodyText"/>
      </w:pPr>
      <w:r>
        <w:t xml:space="preserve">Although the seasonal averages obtained from GAMs describe the expected values for each year, describing the direction and magnitude of the seasonal change across years may also be of interest. Conventionally, trend analysis of changes in a response variable could be achieved with ordinary least squares regression, where the response variable is the expected value of chlorophyll and the predictor is year as a numeric value. Regression analysis could be used to evaluate changes in the seasonal averages described above, although the fit from the regression would under-estimate the uncertainty in the model parameters by not accounting for the variance in the seasonal averages. To better describe the trends in the seasonal averages, we use mixed effects regression meta-analysis to evaluate seasonal changes and their uncertainty over a finite set of years. This analysis is an extension of conventional regression by accounting for different soures of uncertainty attributed to both variation of the true seasonal mean around the trend and variation of the estimated seasonal mean around the true seasonal mean:</w:t>
      </w:r>
    </w:p>
    <w:p>
      <w:pPr>
        <w:pStyle w:val="BodyText"/>
      </w:pPr>
      <m:oMathPara>
        <m:oMathParaPr>
          <m:jc m:val="center"/>
        </m:oMathParaPr>
        <m:oMath>
          <m:r>
            <m:t>c</m:t>
          </m:r>
          <m:r>
            <m:t>h</m:t>
          </m:r>
          <m:sSub>
            <m:e>
              <m:r>
                <m:t>l</m:t>
              </m:r>
            </m:e>
            <m:sub>
              <m:r>
                <m:t>i</m:t>
              </m:r>
            </m:sub>
          </m:sSub>
          <m:r>
            <m:t>=</m:t>
          </m:r>
          <m:sSub>
            <m:e>
              <m:r>
                <m:t>β</m:t>
              </m:r>
            </m:e>
            <m:sub>
              <m:r>
                <m:t>0</m:t>
              </m:r>
            </m:sub>
          </m:sSub>
          <m:r>
            <m:t>+</m:t>
          </m:r>
          <m:sSub>
            <m:e>
              <m:r>
                <m:t>β</m:t>
              </m:r>
            </m:e>
            <m:sub>
              <m:r>
                <m:t>1</m:t>
              </m:r>
            </m:sub>
          </m:sSub>
          <m:r>
            <m:t>y</m:t>
          </m:r>
          <m:r>
            <m:t>e</m:t>
          </m:r>
          <m:r>
            <m:t>a</m:t>
          </m:r>
          <m:sSub>
            <m:e>
              <m:r>
                <m:t>r</m:t>
              </m:r>
            </m:e>
            <m:sub>
              <m:r>
                <m:t>i</m:t>
              </m:r>
            </m:sub>
          </m:sSub>
          <m:r>
            <m:t>+</m:t>
          </m:r>
          <m:sSub>
            <m:e>
              <m:r>
                <m:t>b</m:t>
              </m:r>
            </m:e>
            <m:sub>
              <m:r>
                <m:t>i</m:t>
              </m:r>
            </m:sub>
          </m:sSub>
          <m:r>
            <m:t>+</m:t>
          </m:r>
          <m:sSub>
            <m:e>
              <m:r>
                <m:t>ϵ</m:t>
              </m:r>
            </m:e>
            <m:sub>
              <m:r>
                <m:t>i</m:t>
              </m:r>
            </m:sub>
          </m:sSub>
          <m:r>
            <m:t>  </m:t>
          </m:r>
          <m:r>
            <m:t>(</m:t>
          </m:r>
          <m:r>
            <m:t>9</m:t>
          </m:r>
          <m:r>
            <m:t>)</m:t>
          </m:r>
        </m:oMath>
      </m:oMathPara>
    </w:p>
    <w:p>
      <w:pPr>
        <w:pStyle w:val="FirstParagraph"/>
      </w:pPr>
      <w:r>
        <w:t xml:space="preserve">where the estimated value of chlorophyll at year</w:t>
      </w:r>
      <w:r>
        <w:t xml:space="preserve"> </w:t>
      </w:r>
      <m:oMath>
        <m:r>
          <m:t>i</m:t>
        </m:r>
      </m:oMath>
      <w:r>
        <w:t xml:space="preserve"> </w:t>
      </w:r>
      <w:r>
        <w:t xml:space="preserve">for the predetermined season is a function of the predicted seasonal mean</w:t>
      </w:r>
      <w:r>
        <w:t xml:space="preserve"> </w:t>
      </w:r>
      <m:oMath>
        <m:sSub>
          <m:e>
            <m:r>
              <m:t>β</m:t>
            </m:r>
          </m:e>
          <m:sub>
            <m:r>
              <m:t>0</m:t>
            </m:r>
          </m:sub>
        </m:sSub>
        <m:r>
          <m:t>+</m:t>
        </m:r>
        <m:sSub>
          <m:e>
            <m:r>
              <m:t>β</m:t>
            </m:r>
          </m:e>
          <m:sub>
            <m:r>
              <m:t>1</m:t>
            </m:r>
          </m:sub>
        </m:sSub>
        <m:r>
          <m:t>y</m:t>
        </m:r>
        <m:r>
          <m:t>e</m:t>
        </m:r>
        <m:r>
          <m:t>a</m:t>
        </m:r>
        <m:sSub>
          <m:e>
            <m:r>
              <m:t>r</m:t>
            </m:r>
          </m:e>
          <m:sub>
            <m:r>
              <m:t>i</m:t>
            </m:r>
          </m:sub>
        </m:sSub>
      </m:oMath>
      <w:r>
        <w:t xml:space="preserve"> </w:t>
      </w:r>
      <w:r>
        <w:t xml:space="preserve">plus deviation of the seasonal mean from the trend (</w:t>
      </w:r>
      <m:oMath>
        <m:sSub>
          <m:e>
            <m:r>
              <m:t>b</m:t>
            </m:r>
          </m:e>
          <m:sub>
            <m:r>
              <m:t>i</m:t>
            </m:r>
          </m:sub>
        </m:sSub>
      </m:oMath>
      <w:r>
        <w:t xml:space="preserve">) and devation of the seasonal mean from the true mean (</w:t>
      </w:r>
      <m:oMath>
        <m:sSub>
          <m:e>
            <m:r>
              <m:t>S</m:t>
            </m:r>
          </m:e>
          <m:sub>
            <m:r>
              <m:t>i</m:t>
            </m:r>
          </m:sub>
        </m:sSub>
      </m:oMath>
      <w:r>
        <w:t xml:space="preserve">). Both the error terms are assumed to be normally distributed with mean zero and variance for</w:t>
      </w:r>
      <w:r>
        <w:t xml:space="preserve"> </w:t>
      </w:r>
      <m:oMath>
        <m:sSub>
          <m:e>
            <m:r>
              <m:t>b</m:t>
            </m:r>
          </m:e>
          <m:sub>
            <m:r>
              <m:t>i</m:t>
            </m:r>
          </m:sub>
        </m:sSub>
      </m:oMath>
      <w:r>
        <w:t xml:space="preserve"> </w:t>
      </w:r>
      <w:r>
        <w:t xml:space="preserve">equal to an unknown term and variance for</w:t>
      </w:r>
      <w:r>
        <w:t xml:space="preserve"> </w:t>
      </w:r>
      <m:oMath>
        <m:sSub>
          <m:e>
            <m:r>
              <m:t>ϵ</m:t>
            </m:r>
          </m:e>
          <m:sub>
            <m:r>
              <m:t>i</m:t>
            </m:r>
          </m:sub>
        </m:sSub>
      </m:oMath>
      <w:r>
        <w:t xml:space="preserve"> </w:t>
      </w:r>
      <w:r>
        <w:t xml:space="preserve">equal to the squared standard error from the seasonal chloropyll averages. The R package</w:t>
      </w:r>
      <w:r>
        <w:t xml:space="preserve"> </w:t>
      </w:r>
      <w:r>
        <w:rPr>
          <w:i/>
        </w:rPr>
        <w:t xml:space="preserve">mixmeta</w:t>
      </w:r>
      <w:r>
        <w:t xml:space="preserve"> </w:t>
      </w:r>
      <w:r>
        <w:t xml:space="preserve">was used to estimate trends in the seasonal averages over time</w:t>
      </w:r>
      <w:r>
        <w:t xml:space="preserve"> </w:t>
      </w:r>
      <w:r>
        <w:t xml:space="preserve">(Sera et al.</w:t>
      </w:r>
      <w:r>
        <w:t xml:space="preserve"> </w:t>
      </w:r>
      <w:hyperlink w:anchor="ref-Sera19">
        <w:r>
          <w:rPr>
            <w:rStyle w:val="Hyperlink"/>
          </w:rPr>
          <w:t xml:space="preserve">2019</w:t>
        </w:r>
      </w:hyperlink>
      <w:r>
        <w:t xml:space="preserve">)</w:t>
      </w:r>
      <w:r>
        <w:t xml:space="preserve">. Results appear similar to those from regression analysis (e.g., slope and intercept estimates), although parameter uncertainty is more accurately estimated with mixed meta-analysis.</w:t>
      </w:r>
    </w:p>
    <w:p>
      <w:pPr>
        <w:pStyle w:val="Heading2"/>
      </w:pPr>
      <w:bookmarkStart w:id="34" w:name="model-application-and-interpretation"/>
      <w:r>
        <w:t xml:space="preserve">Model application and interpretation</w:t>
      </w:r>
      <w:bookmarkEnd w:id="34"/>
    </w:p>
    <w:p>
      <w:pPr>
        <w:pStyle w:val="FirstParagraph"/>
      </w:pPr>
      <w:r>
        <w:t xml:space="preserve">Each of the four GAM structures were used to fit models to the chlorophyll time series at each of the nine stations from central to lower South Bay. For each model and station, the fit was assessed using the standard summary statistics described above (i.e., GCV, AIC, and</w:t>
      </w:r>
      <w:r>
        <w:t xml:space="preserve"> </w:t>
      </w:r>
      <m:oMath>
        <m:sSup>
          <m:e>
            <m:r>
              <m:t>R</m:t>
            </m:r>
          </m:e>
          <m:sup>
            <m:r>
              <m:t>2</m:t>
            </m:r>
          </m:sup>
        </m:sSup>
      </m:oMath>
      <w:r>
        <w:t xml:space="preserve">) and relative significance of the individual smoothers terms. Models were also evaluated using different transformations to determine which had improved fit for specific time series. Secondary analyses evaluating trends with fitted GAM predictions were also compared between stations and model types, particularly to determine if and when significant results varied with alternative methods. Temporal and spatial patterns within and between stations were also idenfied to better quanity changes in chlorophyll production throughout the period of record using GAMs to demonstrate improved descriptions relative to interpretations from the observed data.</w:t>
      </w:r>
    </w:p>
    <w:p>
      <w:pPr>
        <w:pStyle w:val="Heading1"/>
      </w:pPr>
      <w:bookmarkStart w:id="35" w:name="results"/>
      <w:r>
        <w:t xml:space="preserve">Results</w:t>
      </w:r>
      <w:bookmarkEnd w:id="35"/>
    </w:p>
    <w:p>
      <w:pPr>
        <w:pStyle w:val="Heading1"/>
      </w:pPr>
      <w:bookmarkStart w:id="36" w:name="discussion"/>
      <w:r>
        <w:t xml:space="preserve">Discussion</w:t>
      </w:r>
      <w:bookmarkEnd w:id="36"/>
    </w:p>
    <w:p>
      <w:pPr>
        <w:pStyle w:val="Heading1"/>
      </w:pPr>
      <w:bookmarkStart w:id="37" w:name="conclusions"/>
      <w:r>
        <w:t xml:space="preserve">Conclusions</w:t>
      </w:r>
      <w:bookmarkEnd w:id="37"/>
    </w:p>
    <w:p>
      <w:pPr>
        <w:pStyle w:val="Heading1"/>
      </w:pPr>
      <w:bookmarkStart w:id="38" w:name="acknowledgments"/>
      <w:r>
        <w:t xml:space="preserve">Acknowledgments</w:t>
      </w:r>
      <w:bookmarkEnd w:id="38"/>
    </w:p>
    <w:p>
      <w:pPr>
        <w:pStyle w:val="Heading1"/>
      </w:pPr>
      <w:bookmarkStart w:id="39" w:name="figures"/>
      <w:r>
        <w:t xml:space="preserve">Figures</w:t>
      </w:r>
      <w:bookmarkEnd w:id="39"/>
    </w:p>
    <w:p>
      <w:pPr>
        <w:pStyle w:val="CaptionedFigure"/>
      </w:pPr>
      <w:r>
        <w:drawing>
          <wp:inline>
            <wp:extent cx="5504749" cy="4128561"/>
            <wp:effectExtent b="0" l="0" r="0" t="0"/>
            <wp:docPr descr="Figure 1: General output for each of the four GAM structures in equations (2) to (5). Day of year (Julian) is on the x-axis and each curve represents a different fitted year for chlorophyll concentration." title="" id="1" name="Picture"/>
            <a:graphic>
              <a:graphicData uri="http://schemas.openxmlformats.org/drawingml/2006/picture">
                <pic:pic>
                  <pic:nvPicPr>
                    <pic:cNvPr descr="figs/modsumfig.png" id="0" name="Picture"/>
                    <pic:cNvPicPr>
                      <a:picLocks noChangeArrowheads="1" noChangeAspect="1"/>
                    </pic:cNvPicPr>
                  </pic:nvPicPr>
                  <pic:blipFill>
                    <a:blip r:embed="rId40"/>
                    <a:stretch>
                      <a:fillRect/>
                    </a:stretch>
                  </pic:blipFill>
                  <pic:spPr bwMode="auto">
                    <a:xfrm>
                      <a:off x="0" y="0"/>
                      <a:ext cx="5504749" cy="4128561"/>
                    </a:xfrm>
                    <a:prstGeom prst="rect">
                      <a:avLst/>
                    </a:prstGeom>
                    <a:noFill/>
                    <a:ln w="9525">
                      <a:noFill/>
                      <a:headEnd/>
                      <a:tailEnd/>
                    </a:ln>
                  </pic:spPr>
                </pic:pic>
              </a:graphicData>
            </a:graphic>
          </wp:inline>
        </w:drawing>
      </w:r>
    </w:p>
    <w:p>
      <w:pPr>
        <w:pStyle w:val="ImageCaption"/>
      </w:pPr>
      <w:r>
        <w:t xml:space="preserve">Figure 1: General output for each of the four GAM structures in equations (2) to (5). Day of year (Julian) is on the x-axis and each curve represents a different fitted year for chlorophyll concentration.</w:t>
      </w:r>
    </w:p>
    <w:p>
      <w:pPr>
        <w:pStyle w:val="Heading1"/>
      </w:pPr>
      <w:bookmarkStart w:id="41" w:name="tables"/>
      <w:r>
        <w:t xml:space="preserve">Tables</w:t>
      </w:r>
      <w:bookmarkEnd w:id="41"/>
    </w:p>
    <w:p>
      <w:pPr>
        <w:pStyle w:val="Compact"/>
        <w:pStyle w:val=""/>
      </w:pPr>
      <w:r>
        <w:t xml:space="preserve">Table 1: Station locations, sample sizes, and median values for salnity, dissolved inorganic nitrogen (DIN, sum of ammonia, nitrate, and nitrite), and chlorophyll. Rows are arranged from north to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52"/>
        <w:tblLook w:firstRow="1" w:lastRow="0" w:firstColumn="0" w:lastColumn="0" w:noHBand="0" w:noVBand="1"/>
      </w:tblPr>
      <w:tblGrid>
        <w:gridCol w:w="1080"/>
        <w:gridCol w:w="1296"/>
        <w:gridCol w:w="1296"/>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Salinity (psu)</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DIN (mg/L)</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Chl-a (ug/L)</w:t>
            </w:r>
          </w:p>
        </w:tc>
      </w:tr>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Latitude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Longitude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37.836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-122.418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29.9</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w:t>
            </w:r>
          </w:p>
        </w:tc>
      </w:tr>
    </w:tbl>
    <w:p>
      <w:pPr>
        <w:pStyle w:val="TableCaption"/>
      </w:pPr>
      <w:r>
        <w:t xml:space="preserve">Table 2: Summary and details for each of the GAM structures in equations (2) to (5).</w:t>
      </w:r>
    </w:p>
    <w:tbl>
      <w:tblPr>
        <w:tblStyle w:val="Table"/>
        <w:tblW w:type="pct" w:w="0.0"/>
        <w:tblLook w:firstRow="1"/>
        <w:tblCaption w:val="Table 2: Summary and details for each of the GAM structures in equations (2) to (5)."/>
      </w:tblPr>
      <w:tblGrid/>
      <w:tr>
        <w:trPr>
          <w:cnfStyle w:firstRow="1"/>
        </w:trPr>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Summary</w:t>
            </w:r>
          </w:p>
        </w:tc>
        <w:tc>
          <w:tcPr>
            <w:tcBorders>
              <w:bottom w:val="single"/>
            </w:tcBorders>
            <w:vAlign w:val="bottom"/>
          </w:tcPr>
          <w:p>
            <w:pPr>
              <w:pStyle w:val="Compact"/>
              <w:jc w:val="left"/>
            </w:pPr>
            <w:r>
              <w:t xml:space="preserve">Details</w:t>
            </w:r>
          </w:p>
        </w:tc>
      </w:tr>
      <w:tr>
        <w:tc>
          <w:p>
            <w:pPr>
              <w:pStyle w:val="Compact"/>
              <w:jc w:val="left"/>
            </w:pPr>
            <w:r>
              <w:rPr>
                <w:rStyle w:val="VerbatimChar"/>
              </w:rPr>
              <w:t xml:space="preserve">gam0</w:t>
            </w:r>
          </w:p>
        </w:tc>
        <w:tc>
          <w:p>
            <w:pPr>
              <w:pStyle w:val="Compact"/>
              <w:jc w:val="left"/>
            </w:pPr>
            <w:r>
              <w:t xml:space="preserve">Linear trend with seasonality</w:t>
            </w:r>
          </w:p>
        </w:tc>
        <w:tc>
          <w:p>
            <w:pPr>
              <w:pStyle w:val="Compact"/>
              <w:jc w:val="left"/>
            </w:pPr>
            <w:r>
              <w:t xml:space="preserve">A linear trend in time over the course of the time series (cyear); and Within-year seasonal fluctuations that follow the same pattern every year - e.g. large spring bloom and small fall bloom (</w:t>
            </w:r>
            <w:r>
              <w:rPr>
                <w:rStyle w:val="VerbatimChar"/>
              </w:rPr>
              <w:t xml:space="preserve">s(doy, bs = "cc")</w:t>
            </w:r>
            <w:r>
              <w:t xml:space="preserve">)</w:t>
            </w:r>
          </w:p>
        </w:tc>
      </w:tr>
      <w:tr>
        <w:tc>
          <w:p>
            <w:pPr>
              <w:pStyle w:val="Compact"/>
              <w:jc w:val="left"/>
            </w:pPr>
            <w:r>
              <w:rPr>
                <w:rStyle w:val="VerbatimChar"/>
              </w:rPr>
              <w:t xml:space="preserve">gam1</w:t>
            </w:r>
          </w:p>
        </w:tc>
        <w:tc>
          <w:p>
            <w:pPr>
              <w:pStyle w:val="Compact"/>
              <w:jc w:val="left"/>
            </w:pPr>
            <w:r>
              <w:t xml:space="preserve">Nonlinear trends seasonality (constrained knots)</w:t>
            </w:r>
          </w:p>
        </w:tc>
        <w:tc>
          <w:p>
            <w:pPr>
              <w:pStyle w:val="Compact"/>
              <w:jc w:val="left"/>
            </w:pPr>
            <w:r>
              <w:t xml:space="preserve">Treats cyear and doy same as gam0; and A smooth non-linear trend through time, such that the seasonal peaks are similar across years, but interannual change is evident</w:t>
            </w:r>
          </w:p>
        </w:tc>
      </w:tr>
      <w:tr>
        <w:tc>
          <w:p>
            <w:pPr>
              <w:pStyle w:val="Compact"/>
              <w:jc w:val="left"/>
            </w:pPr>
            <w:r>
              <w:rPr>
                <w:rStyle w:val="VerbatimChar"/>
              </w:rPr>
              <w:t xml:space="preserve">gam2</w:t>
            </w:r>
          </w:p>
        </w:tc>
        <w:tc>
          <w:p>
            <w:pPr>
              <w:pStyle w:val="Compact"/>
              <w:jc w:val="left"/>
            </w:pPr>
            <w:r>
              <w:t xml:space="preserve">Nonlinear trends wiht seasonality, plus interaction</w:t>
            </w:r>
          </w:p>
        </w:tc>
        <w:tc>
          <w:p>
            <w:pPr>
              <w:pStyle w:val="Compact"/>
              <w:jc w:val="left"/>
            </w:pPr>
            <w:r>
              <w:t xml:space="preserve">Treats cyear and doy same as gam1; and Within-year seasonal fluctuations that vary across years but in a constrained pattern compared to gam6 (</w:t>
            </w:r>
            <w:r>
              <w:rPr>
                <w:rStyle w:val="VerbatimChar"/>
              </w:rPr>
              <w:t xml:space="preserve">ti(year, doy, bs = c("tp", "cc"))</w:t>
            </w:r>
            <w:r>
              <w:t xml:space="preserve">)</w:t>
            </w:r>
          </w:p>
        </w:tc>
      </w:tr>
      <w:tr>
        <w:tc>
          <w:p>
            <w:pPr>
              <w:pStyle w:val="Compact"/>
              <w:jc w:val="left"/>
            </w:pPr>
            <w:r>
              <w:rPr>
                <w:rStyle w:val="VerbatimChar"/>
              </w:rPr>
              <w:t xml:space="preserve">gam6</w:t>
            </w:r>
          </w:p>
        </w:tc>
        <w:tc>
          <w:p>
            <w:pPr>
              <w:pStyle w:val="Compact"/>
              <w:jc w:val="left"/>
            </w:pPr>
            <w:r>
              <w:t xml:space="preserve">Nonelinear trends with seasonality (unconstrained knots)</w:t>
            </w:r>
          </w:p>
        </w:tc>
        <w:tc>
          <w:p>
            <w:pPr>
              <w:pStyle w:val="Compact"/>
              <w:jc w:val="left"/>
            </w:pPr>
            <w:r>
              <w:t xml:space="preserve">Variant of gam1 with much higher values of k, allowing the splines to follow greater fluctuations both within and across years.</w:t>
            </w:r>
          </w:p>
        </w:tc>
      </w:tr>
    </w:tbl>
    <w:p>
      <w:pPr>
        <w:pStyle w:val="Heading1"/>
      </w:pPr>
      <w:bookmarkStart w:id="42" w:name="references"/>
      <w:r>
        <w:t xml:space="preserve">References</w:t>
      </w:r>
      <w:bookmarkEnd w:id="42"/>
    </w:p>
    <w:bookmarkStart w:id="54" w:name="refs"/>
    <w:bookmarkStart w:id="43" w:name="ref-Box64"/>
    <w:p>
      <w:pPr>
        <w:pStyle w:val="Bibliography"/>
      </w:pPr>
      <w:r>
        <w:t xml:space="preserve">Box, G. E. P., and D. R. Cox. 1964. An analysis of transformations (with discussion). Journal of the Royal Statistical Society (B) 26:211–252.</w:t>
      </w:r>
    </w:p>
    <w:bookmarkEnd w:id="43"/>
    <w:bookmarkStart w:id="44" w:name="ref-Cloern16"/>
    <w:p>
      <w:pPr>
        <w:pStyle w:val="Bibliography"/>
      </w:pPr>
      <w:r>
        <w:t xml:space="preserve">Cloern, J. E., and T. S. Schraga. 2016. USGS measurements of water quality in San Francisco Bay (CA), 1969-2015: U.S. Geological Survey data release. https://doi.org/10.5066/F7TQ5ZPR.</w:t>
      </w:r>
    </w:p>
    <w:bookmarkEnd w:id="44"/>
    <w:bookmarkStart w:id="45" w:name="ref-Hastie90"/>
    <w:p>
      <w:pPr>
        <w:pStyle w:val="Bibliography"/>
      </w:pPr>
      <w:r>
        <w:t xml:space="preserve">Generalized additive models. 1990.. Page 335. Chapman; Hall, London, New York.</w:t>
      </w:r>
    </w:p>
    <w:bookmarkEnd w:id="45"/>
    <w:bookmarkStart w:id="46" w:name="ref-Hyndman20"/>
    <w:p>
      <w:pPr>
        <w:pStyle w:val="Bibliography"/>
      </w:pPr>
      <w:r>
        <w:t xml:space="preserve">Hyndman, R., G. Athanasopoulos, C. Bergmeir, G. Caceres, L. Chhay, M. O’Hara-Wild, F. Petropoulos, S. Razbash, E. Wang, and F. Yasmeen. 2020. forecast: Forecasting functions for time series and linear models.</w:t>
      </w:r>
    </w:p>
    <w:bookmarkEnd w:id="46"/>
    <w:bookmarkStart w:id="47" w:name="ref-Murphy19"/>
    <w:p>
      <w:pPr>
        <w:pStyle w:val="Bibliography"/>
      </w:pPr>
      <w:r>
        <w:t xml:space="preserve">Murphy, R. R., E. Perry, J. Harcum, and J. Keisman. 2019. A Generalized Additive Model Approach to evaluating water quality: Chesapeake Bay case study. Environmenal Modelling &amp; Software 118:1–13.</w:t>
      </w:r>
    </w:p>
    <w:bookmarkEnd w:id="47"/>
    <w:bookmarkStart w:id="48" w:name="ref-Schraga20"/>
    <w:p>
      <w:pPr>
        <w:pStyle w:val="Bibliography"/>
      </w:pPr>
      <w:r>
        <w:t xml:space="preserve">Schraga, T. S., E. S. Nejad, C. A. Martin, and J. E. Cloern. 2020. USGS measurements of water quality in San Francisco (CA), beginning in 2016 (ver. 3.0, March 2020): U.S. Geological Survey data release. https://doi.org/10.5066/F7D21WGF.</w:t>
      </w:r>
    </w:p>
    <w:bookmarkEnd w:id="48"/>
    <w:bookmarkStart w:id="49" w:name="ref-Sera19"/>
    <w:p>
      <w:pPr>
        <w:pStyle w:val="Bibliography"/>
      </w:pPr>
      <w:r>
        <w:t xml:space="preserve">Sera, F., B. Armstrong, M. Blangiardo, and A. Gasparrini. 2019. An extended mixed-effects framework for meta-analysis. Statistics in Medicine 38:5429–5444.</w:t>
      </w:r>
    </w:p>
    <w:bookmarkEnd w:id="49"/>
    <w:bookmarkStart w:id="50" w:name="ref-Venables02"/>
    <w:p>
      <w:pPr>
        <w:pStyle w:val="Bibliography"/>
      </w:pPr>
      <w:r>
        <w:t xml:space="preserve">Venables, W. N., and B. D. Ripley. 2002. Modern applied statistics with S. Fourth. Springer-Verlag, New York, New York.</w:t>
      </w:r>
    </w:p>
    <w:bookmarkEnd w:id="50"/>
    <w:bookmarkStart w:id="51" w:name="ref-Wood03"/>
    <w:p>
      <w:pPr>
        <w:pStyle w:val="Bibliography"/>
      </w:pPr>
      <w:r>
        <w:t xml:space="preserve">Wood, S. N. 2003. Thin-plate regression splines. Journal of the Royal Statistical Society (B) 65:95–114.</w:t>
      </w:r>
    </w:p>
    <w:bookmarkEnd w:id="51"/>
    <w:bookmarkStart w:id="52" w:name="ref-Wood17"/>
    <w:p>
      <w:pPr>
        <w:pStyle w:val="Bibliography"/>
      </w:pPr>
      <w:r>
        <w:t xml:space="preserve">Wood, S. N. 2017. Generalized additive models: An introduction with r. Page 476. 2nd editions. Chapman; Hall, CRC Press, London, United Kingdom.</w:t>
      </w:r>
    </w:p>
    <w:bookmarkEnd w:id="52"/>
    <w:bookmarkStart w:id="53" w:name="ref-Yang20"/>
    <w:p>
      <w:pPr>
        <w:pStyle w:val="Bibliography"/>
      </w:pPr>
      <w:r>
        <w:t xml:space="preserve">Yang, G., and D. L. Moyer. 2020. Estimation of nonlinear water-quality trends in high-frequency monitoring data. Science of The Total Enviornment 715:10.1016/j.scitotenv.2020.136686.</w:t>
      </w:r>
    </w:p>
    <w:bookmarkEnd w:id="53"/>
    <w:bookmarkEnd w:id="5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2020-05-29T13:55:32Z</dcterms:created>
  <dcterms:modified xsi:type="dcterms:W3CDTF">2020-05-29T13:55:32Z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ecology.csl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