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2020-06-01 16:46:33</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FirstParagraph"/>
      </w:pPr>
      <w:r>
        <w:t xml:space="preserve">Cloern et al. 2020</w:t>
      </w:r>
      <w:r>
        <w:t xml:space="preserve"> </w:t>
      </w:r>
      <w:hyperlink r:id="rId29">
        <w:r>
          <w:rPr>
            <w:rStyle w:val="Hyperlink"/>
          </w:rPr>
          <w:t xml:space="preserve">link</w:t>
        </w:r>
      </w:hyperlink>
    </w:p>
    <w:p>
      <w:pPr>
        <w:pStyle w:val="Heading1"/>
      </w:pPr>
      <w:bookmarkStart w:id="30" w:name="methods"/>
      <w:r>
        <w:t xml:space="preserve">Methods</w:t>
      </w:r>
      <w:bookmarkEnd w:id="30"/>
    </w:p>
    <w:p>
      <w:pPr>
        <w:pStyle w:val="Heading2"/>
      </w:pPr>
      <w:bookmarkStart w:id="31" w:name="study-area-and-data-sources"/>
      <w:r>
        <w:t xml:space="preserve">Study area and data sources</w:t>
      </w:r>
      <w:bookmarkEnd w:id="31"/>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Suisun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w:t>
      </w:r>
      <w:r>
        <w:t xml:space="preserve"> </w:t>
      </w:r>
      <w:r>
        <w:t xml:space="preserve">(Cloern and Schraga</w:t>
      </w:r>
      <w:r>
        <w:t xml:space="preserve"> </w:t>
      </w:r>
      <w:hyperlink w:anchor="ref-Cloern16">
        <w:r>
          <w:rPr>
            <w:rStyle w:val="Hyperlink"/>
          </w:rPr>
          <w:t xml:space="preserve">2016</w:t>
        </w:r>
      </w:hyperlink>
      <w:r>
        <w:t xml:space="preserve">, Schraga et al.</w:t>
      </w:r>
      <w:r>
        <w:t xml:space="preserve"> </w:t>
      </w:r>
      <w:hyperlink w:anchor="ref-Schraga20">
        <w:r>
          <w:rPr>
            <w:rStyle w:val="Hyperlink"/>
          </w:rPr>
          <w:t xml:space="preserve">2020</w:t>
        </w:r>
      </w:hyperlink>
      <w:r>
        <w:t xml:space="preserve">)</w:t>
      </w:r>
      <w:r>
        <w:t xml:space="preserve">.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24-32), and Lower South Bay (stations 34-36) (Table</w:t>
      </w:r>
      <w:r>
        <w:t xml:space="preserve"> </w:t>
      </w:r>
      <w:r>
        <w:t xml:space="preserve">1</w:t>
      </w:r>
      <w:r>
        <w:t xml:space="preserve">).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2" w:name="gam-application"/>
      <w:r>
        <w:t xml:space="preserve">GAM application</w:t>
      </w:r>
      <w:bookmarkEnd w:id="32"/>
    </w:p>
    <w:p>
      <w:pPr>
        <w:pStyle w:val="FirstParagraph"/>
      </w:pPr>
      <w:r>
        <w:t xml:space="preserve">Generalized Additive Models are an extension of linear models that can incorporate additive smoothed terms to model non-linear effects. The basic structural form is</w:t>
      </w:r>
      <w:r>
        <w:t xml:space="preserve"> </w:t>
      </w:r>
      <w:r>
        <w:t xml:space="preserve">(</w:t>
      </w:r>
      <w:r>
        <w:rPr>
          <w:i/>
        </w:rPr>
        <w:t xml:space="preserve">Generalized additive models</w:t>
      </w:r>
      <w:r>
        <w:t xml:space="preserve"> </w:t>
      </w:r>
      <w:hyperlink w:anchor="ref-Hastie90">
        <w:r>
          <w:rPr>
            <w:rStyle w:val="Hyperlink"/>
          </w:rPr>
          <w:t xml:space="preserve">1990</w:t>
        </w:r>
      </w:hyperlink>
      <w:r>
        <w:t xml:space="preserve">)</w:t>
      </w:r>
      <w:r>
        <w:t xml:space="preserve">:</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r>
            <m:t>  </m:t>
          </m:r>
          <m:r>
            <m:t>(</m:t>
          </m:r>
          <m:r>
            <m:t>1</m:t>
          </m:r>
          <m:r>
            <m:t>)</m:t>
          </m:r>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 All methods herein use functions provided by the</w:t>
      </w:r>
      <w:r>
        <w:t xml:space="preserve"> </w:t>
      </w:r>
      <w:r>
        <w:rPr>
          <w:i/>
        </w:rPr>
        <w:t xml:space="preserve">mgcv</w:t>
      </w:r>
      <w:r>
        <w:t xml:space="preserve"> </w:t>
      </w:r>
      <w:r>
        <w:t xml:space="preserve">R package to fit GAMs using multiple parameter smoothing estimation methods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(or</w:t>
      </w:r>
      <w:r>
        <w:t xml:space="preserve"> </w:t>
      </w:r>
      <w:r>
        <w:rPr>
          <w:i/>
        </w:rPr>
        <w:t xml:space="preserve">k</w:t>
      </w:r>
      <w:r>
        <w:t xml:space="preserve">-values)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estimating the smoother</w:t>
      </w:r>
      <w:r>
        <w:t xml:space="preserve"> </w:t>
      </w:r>
      <w:r>
        <w:t xml:space="preserve">(Wood</w:t>
      </w:r>
      <w:r>
        <w:t xml:space="preserve"> </w:t>
      </w:r>
      <w:hyperlink w:anchor="ref-Wood03">
        <w:r>
          <w:rPr>
            <w:rStyle w:val="Hyperlink"/>
          </w:rPr>
          <w:t xml:space="preserve">2003</w:t>
        </w:r>
      </w:hyperlink>
      <w:r>
        <w:t xml:space="preserve">)</w:t>
      </w:r>
      <w:r>
        <w:t xml:space="preserve">.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if the number of knots are sufficiently high, the cubic spline is a useful form for modelling periodic variation, such as seasonal changes on the annual scale or diurnal variation at shorter scales.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model season would cause a non-continous function across the time series with step increases or decreases for the seasonal estimates between the years. This discrepancy can likely lead to inaccurate or ambiguous trend estimates when evaluating seasonal differences over time.</w:t>
      </w:r>
    </w:p>
    <w:p>
      <w:pPr>
        <w:pStyle w:val="BodyText"/>
      </w:pPr>
      <w:r>
        <w:t xml:space="preserve">To evaluate GAMs with SFE chloropyll data, we followed an approach that built on past work by the Chesapeake Bay Program</w:t>
      </w:r>
      <w:r>
        <w:t xml:space="preserve"> </w:t>
      </w:r>
      <w:r>
        <w:t xml:space="preserve">(Murphy et al.</w:t>
      </w:r>
      <w:r>
        <w:t xml:space="preserve"> </w:t>
      </w:r>
      <w:hyperlink w:anchor="ref-Murphy19">
        <w:r>
          <w:rPr>
            <w:rStyle w:val="Hyperlink"/>
          </w:rPr>
          <w:t xml:space="preserve">2019</w:t>
        </w:r>
      </w:hyperlink>
      <w:r>
        <w:t xml:space="preserve">)</w:t>
      </w:r>
      <w:r>
        <w:t xml:space="preserve">, including incorporation and adaptation of their hierarchical model structure to evaluate long-term time series. These hierarchical models vary the functional form for time in relation to chlorophyll by adding smoothers and linear predictors with increasing flexibility in the GAM functions. This is a powerful approach for time series analysis because separate components can be explicitly modelled with different smoothing terms and the results can be idendependently evaluated and further tested from the model output. Varying degrees of model complexity also provides a balance between descriptive power and computational efficiency, where simpler models may be preferred in routine reporting or more complex models may be preferred for hypothesis testing. We present four GAM structures, following a similar format as</w:t>
      </w:r>
      <w:r>
        <w:t xml:space="preserve"> </w:t>
      </w:r>
      <w:r>
        <w:t xml:space="preserve">Murphy et al. (</w:t>
      </w:r>
      <w:hyperlink w:anchor="ref-Murphy19">
        <w:r>
          <w:rPr>
            <w:rStyle w:val="Hyperlink"/>
          </w:rPr>
          <w:t xml:space="preserve">2019</w:t>
        </w:r>
      </w:hyperlink>
      <w:r>
        <w:t xml:space="preserve">)</w:t>
      </w:r>
      <w:r>
        <w:t xml:space="preserve">. The notation for gam3, gam4, and gam5 are not used because these describe models in</w:t>
      </w:r>
      <w:r>
        <w:t xml:space="preserve"> </w:t>
      </w:r>
      <w:r>
        <w:t xml:space="preserve">Murphy et al. (</w:t>
      </w:r>
      <w:hyperlink w:anchor="ref-Murphy19">
        <w:r>
          <w:rPr>
            <w:rStyle w:val="Hyperlink"/>
          </w:rPr>
          <w:t xml:space="preserve">2019</w:t>
        </w:r>
      </w:hyperlink>
      <w:r>
        <w:t xml:space="preserve">)</w:t>
      </w:r>
      <w:r>
        <w:t xml:space="preserve"> </w:t>
      </w:r>
      <w:r>
        <w:t xml:space="preserve">that were developed for purposes specific to Chesapeake Bay.</w:t>
      </w:r>
    </w:p>
    <w:p>
      <w:pPr>
        <w:pStyle w:val="BodyText"/>
      </w:pPr>
      <m:oMathPara>
        <m:oMathParaPr>
          <m:jc m:val="center"/>
        </m:oMathParaPr>
        <m:oMath>
          <m:r>
            <m:rPr>
              <m:sty m:val="b"/>
            </m:rPr>
            <m:t>g</m:t>
          </m:r>
          <m:r>
            <m:rPr>
              <m:sty m:val="b"/>
            </m:rPr>
            <m:t>a</m:t>
          </m:r>
          <m:r>
            <m:rPr>
              <m:sty m:val="b"/>
            </m:rPr>
            <m:t>m</m:t>
          </m:r>
          <m:r>
            <m:rPr>
              <m:sty m:val="b"/>
            </m:rPr>
            <m:t>0</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r>
            <m:t>ϵ</m:t>
          </m:r>
          <m:r>
            <m:t>  </m:t>
          </m:r>
          <m:r>
            <m:t>(</m:t>
          </m:r>
          <m:r>
            <m:t>2</m:t>
          </m:r>
          <m:r>
            <m:t>)</m:t>
          </m:r>
        </m:oMath>
      </m:oMathPara>
    </w:p>
    <w:p>
      <w:pPr>
        <w:pStyle w:val="FirstParagraph"/>
      </w:pPr>
      <m:oMathPara>
        <m:oMathParaPr>
          <m:jc m:val="center"/>
        </m:oMathParaPr>
        <m:oMath>
          <m:r>
            <m:rPr>
              <m:sty m:val="b"/>
            </m:rPr>
            <m:t>g</m:t>
          </m:r>
          <m:r>
            <m:rPr>
              <m:sty m:val="b"/>
            </m:rPr>
            <m:t>a</m:t>
          </m:r>
          <m:r>
            <m:rPr>
              <m:sty m:val="b"/>
            </m:rPr>
            <m:t>m</m:t>
          </m:r>
          <m:r>
            <m:rPr>
              <m:sty m:val="b"/>
            </m:rPr>
            <m:t>1</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ϵ</m:t>
          </m:r>
          <m:r>
            <m:t>  </m:t>
          </m:r>
          <m:r>
            <m:t>(</m:t>
          </m:r>
          <m:r>
            <m:t>3</m:t>
          </m:r>
          <m:r>
            <m:t>)</m:t>
          </m:r>
        </m:oMath>
      </m:oMathPara>
    </w:p>
    <w:p>
      <w:pPr>
        <w:pStyle w:val="FirstParagraph"/>
      </w:pPr>
      <m:oMathPara>
        <m:oMathParaPr>
          <m:jc m:val="center"/>
        </m:oMathParaPr>
        <m:oMath>
          <m:r>
            <m:rPr>
              <m:sty m:val="b"/>
            </m:rPr>
            <m:t>g</m:t>
          </m:r>
          <m:r>
            <m:rPr>
              <m:sty m:val="b"/>
            </m:rPr>
            <m:t>a</m:t>
          </m:r>
          <m:r>
            <m:rPr>
              <m:sty m:val="b"/>
            </m:rPr>
            <m:t>m</m:t>
          </m:r>
          <m:r>
            <m:rPr>
              <m:sty m:val="b"/>
            </m:rPr>
            <m:t>2</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
            <m:e>
              <m:r>
                <m:t>s</m:t>
              </m:r>
            </m:e>
            <m:sub>
              <m:r>
                <m:t>2</m:t>
              </m:r>
            </m:sub>
          </m:sSub>
          <m:d>
            <m:dPr>
              <m:begChr m:val="("/>
              <m:endChr m:val=")"/>
              <m:grow/>
            </m:dPr>
            <m:e>
              <m:r>
                <m:t>y</m:t>
              </m:r>
              <m:r>
                <m:t>e</m:t>
              </m:r>
              <m:r>
                <m:t>a</m:t>
              </m:r>
              <m:r>
                <m:t>r</m:t>
              </m:r>
            </m:e>
          </m:d>
          <m:r>
            <m:t>+</m:t>
          </m:r>
          <m:r>
            <m:t>t</m:t>
          </m:r>
          <m:sSub>
            <m:e>
              <m:r>
                <m:t>i</m:t>
              </m:r>
            </m:e>
            <m:sub>
              <m:r>
                <m:t>1</m:t>
              </m:r>
            </m:sub>
          </m:sSub>
          <m:r>
            <m:t>(</m:t>
          </m:r>
          <m:r>
            <m:t>d</m:t>
          </m:r>
          <m:r>
            <m:t>o</m:t>
          </m:r>
          <m:r>
            <m:t>y</m:t>
          </m:r>
          <m:r>
            <m:t>,</m:t>
          </m:r>
          <m:r>
            <m:t>y</m:t>
          </m:r>
          <m:r>
            <m:t>e</m:t>
          </m:r>
          <m:r>
            <m:t>a</m:t>
          </m:r>
          <m:r>
            <m:t>r</m:t>
          </m:r>
          <m:r>
            <m:t>)</m:t>
          </m:r>
          <m:r>
            <m:t>+</m:t>
          </m:r>
          <m:r>
            <m:t>ϵ</m:t>
          </m:r>
          <m:r>
            <m:t>  </m:t>
          </m:r>
          <m:r>
            <m:t>(</m:t>
          </m:r>
          <m:r>
            <m:t>4</m:t>
          </m:r>
          <m:r>
            <m:t>)</m:t>
          </m:r>
        </m:oMath>
      </m:oMathPara>
    </w:p>
    <w:p>
      <w:pPr>
        <w:pStyle w:val="FirstParagraph"/>
      </w:pPr>
      <m:oMathPara>
        <m:oMathParaPr>
          <m:jc m:val="center"/>
        </m:oMathParaPr>
        <m:oMath>
          <m:r>
            <m:rPr>
              <m:sty m:val="b"/>
            </m:rPr>
            <m:t>g</m:t>
          </m:r>
          <m:r>
            <m:rPr>
              <m:sty m:val="b"/>
            </m:rPr>
            <m:t>a</m:t>
          </m:r>
          <m:r>
            <m:rPr>
              <m:sty m:val="b"/>
            </m:rPr>
            <m:t>m</m:t>
          </m:r>
          <m:r>
            <m:rPr>
              <m:sty m:val="b"/>
            </m:rPr>
            <m:t>6</m:t>
          </m:r>
          <m:r>
            <m:rPr>
              <m:sty m:val="b"/>
            </m:rPr>
            <m:t>:</m:t>
          </m:r>
          <m:r>
            <m:t> </m:t>
          </m:r>
          <m:r>
            <m:t>g</m:t>
          </m:r>
          <m:d>
            <m:dPr>
              <m:begChr m:val="("/>
              <m:endChr m:val=")"/>
              <m:grow/>
            </m:dPr>
            <m:e>
              <m:r>
                <m:t>c</m:t>
              </m:r>
              <m:r>
                <m:t>h</m:t>
              </m:r>
              <m:r>
                <m:t>l</m:t>
              </m:r>
            </m:e>
          </m:d>
          <m:r>
            <m:t>=</m:t>
          </m:r>
          <m:sSub>
            <m:e>
              <m:r>
                <m:t>s</m:t>
              </m:r>
            </m:e>
            <m:sub>
              <m:r>
                <m:t>0</m:t>
              </m:r>
            </m:sub>
          </m:sSub>
          <m:r>
            <m:t>+</m:t>
          </m:r>
          <m:sSub>
            <m:e>
              <m:r>
                <m:t>β</m:t>
              </m:r>
            </m:e>
            <m:sub>
              <m:r>
                <m:t>1</m:t>
              </m:r>
            </m:sub>
          </m:sSub>
          <m:r>
            <m:t>y</m:t>
          </m:r>
          <m:r>
            <m:t>e</m:t>
          </m:r>
          <m:r>
            <m:t>a</m:t>
          </m:r>
          <m:r>
            <m:t>r</m:t>
          </m:r>
          <m:r>
            <m:t>+</m:t>
          </m:r>
          <m:sSub>
            <m:e>
              <m:r>
                <m:t>s</m:t>
              </m:r>
            </m:e>
            <m:sub>
              <m:r>
                <m:t>1</m:t>
              </m:r>
            </m:sub>
          </m:sSub>
          <m:d>
            <m:dPr>
              <m:begChr m:val="("/>
              <m:endChr m:val=")"/>
              <m:grow/>
            </m:dPr>
            <m:e>
              <m:r>
                <m:t>d</m:t>
              </m:r>
              <m:r>
                <m:t>o</m:t>
              </m:r>
              <m:r>
                <m:t>y</m:t>
              </m:r>
            </m:e>
          </m:d>
          <m:r>
            <m:t>+</m:t>
          </m:r>
          <m:sSubSup>
            <m:e>
              <m:r>
                <m:t>s</m:t>
              </m:r>
            </m:e>
            <m:sub>
              <m:r>
                <m:t>2</m:t>
              </m:r>
            </m:sub>
            <m:sup>
              <m:r>
                <m:t>*</m:t>
              </m:r>
            </m:sup>
          </m:sSubSup>
          <m:d>
            <m:dPr>
              <m:begChr m:val="("/>
              <m:endChr m:val=")"/>
              <m:grow/>
            </m:dPr>
            <m:e>
              <m:r>
                <m:t>y</m:t>
              </m:r>
              <m:r>
                <m:t>e</m:t>
              </m:r>
              <m:r>
                <m:t>a</m:t>
              </m:r>
              <m:r>
                <m:t>r</m:t>
              </m:r>
            </m:e>
          </m:d>
          <m:r>
            <m:t>+</m:t>
          </m:r>
          <m:r>
            <m:t>ϵ</m:t>
          </m:r>
          <m:r>
            <m:t>  </m:t>
          </m:r>
          <m:r>
            <m:t>(</m:t>
          </m:r>
          <m:r>
            <m:t>5</m:t>
          </m:r>
          <m:r>
            <m:t>)</m:t>
          </m:r>
        </m:oMath>
      </m:oMathPara>
    </w:p>
    <w:p>
      <w:pPr>
        <w:pStyle w:val="FirstParagraph"/>
      </w:pPr>
      <w:r>
        <w:t xml:space="preserve">For each GAM, chlorophyll is modelled using a link function</w:t>
      </w:r>
      <w:r>
        <w:t xml:space="preserve"> </w:t>
      </w:r>
      <m:oMath>
        <m:r>
          <m:t>g</m:t>
        </m:r>
        <m:r>
          <m:t>(</m:t>
        </m:r>
        <m:r>
          <m:t>)</m:t>
        </m:r>
      </m:oMath>
      <w:r>
        <w:t xml:space="preserve"> </w:t>
      </w:r>
      <w:r>
        <w:t xml:space="preserve">that relates the response variable to the independent variables</w:t>
      </w:r>
      <w:r>
        <w:t xml:space="preserve"> </w:t>
      </w:r>
      <m:oMath>
        <m:r>
          <m:t>y</m:t>
        </m:r>
        <m:r>
          <m:t>e</m:t>
        </m:r>
        <m:r>
          <m:t>a</m:t>
        </m:r>
        <m:r>
          <m:t>r</m:t>
        </m:r>
      </m:oMath>
      <w:r>
        <w:t xml:space="preserve"> </w:t>
      </w:r>
      <w:r>
        <w:t xml:space="preserve">and day of year (</w:t>
      </w:r>
      <m:oMath>
        <m:r>
          <m:t>d</m:t>
        </m:r>
        <m:r>
          <m:t>o</m:t>
        </m:r>
        <m:r>
          <m:t>y</m:t>
        </m:r>
      </m:oMath>
      <w:r>
        <w:t xml:space="preserve">) (Table</w:t>
      </w:r>
      <w:r>
        <w:t xml:space="preserve"> </w:t>
      </w:r>
      <w:r>
        <w:t xml:space="preserve">2</w:t>
      </w:r>
      <w:r>
        <w:t xml:space="preserve">, Figure</w:t>
      </w:r>
      <w:r>
        <w:t xml:space="preserve"> </w:t>
      </w:r>
      <w:r>
        <w:t xml:space="preserve">1</w:t>
      </w:r>
      <w:r>
        <w:t xml:space="preserve">). The</w:t>
      </w:r>
      <w:r>
        <w:t xml:space="preserve"> </w:t>
      </w:r>
      <m:oMath>
        <m:r>
          <m:t>y</m:t>
        </m:r>
        <m:r>
          <m:t>e</m:t>
        </m:r>
        <m:r>
          <m:t>a</m:t>
        </m:r>
        <m:r>
          <m:t>r</m:t>
        </m:r>
      </m:oMath>
      <w:r>
        <w:t xml:space="preserve"> </w:t>
      </w:r>
      <w:r>
        <w:t xml:space="preserve">variable is a continuous measure for date in decimal time, where date is expressed as a continuous numeric value with year on the left of the decimal and date within the year to the right of the decimal (e.g., July 1st 2019 would be 2019.5). The</w:t>
      </w:r>
      <w:r>
        <w:t xml:space="preserve"> </w:t>
      </w:r>
      <m:oMath>
        <m:r>
          <m:t>d</m:t>
        </m:r>
        <m:r>
          <m:t>o</m:t>
        </m:r>
        <m:r>
          <m:t>y</m:t>
        </m:r>
      </m:oMath>
      <w:r>
        <w:t xml:space="preserve"> </w:t>
      </w:r>
      <w:r>
        <w:t xml:space="preserve">variable is an integer value for the Julian day in each year (from 1 to 366) that represents the seasonal component of the time series. The estimate</w:t>
      </w:r>
      <w:r>
        <w:t xml:space="preserve"> </w:t>
      </w:r>
      <m:oMath>
        <m:sSub>
          <m:e>
            <m:r>
              <m:t>s</m:t>
            </m:r>
          </m:e>
          <m:sub>
            <m:r>
              <m:t>0</m:t>
            </m:r>
          </m:sub>
        </m:sSub>
      </m:oMath>
      <w:r>
        <w:t xml:space="preserve"> </w:t>
      </w:r>
      <w:r>
        <w:t xml:space="preserve">is an intercept value and</w:t>
      </w:r>
      <w:r>
        <w:t xml:space="preserve"> </w:t>
      </w:r>
      <m:oMath>
        <m:sSub>
          <m:e>
            <m:r>
              <m:t>β</m:t>
            </m:r>
          </m:e>
          <m:sub>
            <m:r>
              <m:t>1</m:t>
            </m:r>
          </m:sub>
        </m:sSub>
      </m:oMath>
      <w:r>
        <w:t xml:space="preserve"> </w:t>
      </w:r>
      <w:r>
        <w:t xml:space="preserve">is a slope estimate for a linear year effect included in all models. The</w:t>
      </w:r>
      <w:r>
        <w:t xml:space="preserve"> </w:t>
      </w:r>
      <m:oMath>
        <m:sSub>
          <m:e>
            <m:r>
              <m:t>s</m:t>
            </m:r>
          </m:e>
          <m:sub>
            <m:r>
              <m:t>1</m:t>
            </m:r>
          </m:sub>
        </m:sSub>
        <m:r>
          <m:t>(</m:t>
        </m:r>
        <m:r>
          <m:t>)</m:t>
        </m:r>
      </m:oMath>
      <w:r>
        <w:t xml:space="preserve"> </w:t>
      </w:r>
      <w:r>
        <w:t xml:space="preserve">and</w:t>
      </w:r>
      <w:r>
        <w:t xml:space="preserve"> </w:t>
      </w:r>
      <m:oMath>
        <m:sSub>
          <m:e>
            <m:r>
              <m:t>s</m:t>
            </m:r>
          </m:e>
          <m:sub>
            <m:r>
              <m:t>2</m:t>
            </m:r>
          </m:sub>
        </m:sSub>
        <m:r>
          <m:t>(</m:t>
        </m:r>
        <m:r>
          <m:t>)</m:t>
        </m:r>
      </m:oMath>
      <w:r>
        <w:t xml:space="preserve"> </w:t>
      </w:r>
      <w:r>
        <w:t xml:space="preserve">functions are different smoothers for</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where the former uses a thin-plate spline and the latter uses a cyclic cubic spline to capture the periodic seasonal component. The</w:t>
      </w:r>
      <w:r>
        <w:t xml:space="preserve"> </w:t>
      </w:r>
      <m:oMath>
        <m:r>
          <m:t>t</m:t>
        </m:r>
        <m:sSub>
          <m:e>
            <m:r>
              <m:t>i</m:t>
            </m:r>
          </m:e>
          <m:sub>
            <m:r>
              <m:t>1</m:t>
            </m:r>
          </m:sub>
        </m:sSub>
        <m:r>
          <m:t>(</m:t>
        </m:r>
        <m:r>
          <m:t>)</m:t>
        </m:r>
      </m:oMath>
      <w:r>
        <w:t xml:space="preserve"> </w:t>
      </w:r>
      <w:r>
        <w:t xml:space="preserve">function is a tensor product interaction between</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that allows the seasonal component to change between years. Within the</w:t>
      </w:r>
      <w:r>
        <w:t xml:space="preserve"> </w:t>
      </w:r>
      <m:oMath>
        <m:r>
          <m:t>t</m:t>
        </m:r>
        <m:sSub>
          <m:e>
            <m:r>
              <m:t>i</m:t>
            </m:r>
          </m:e>
          <m:sub>
            <m:r>
              <m:t>1</m:t>
            </m:r>
          </m:sub>
        </m:sSub>
        <m:r>
          <m:t>(</m:t>
        </m:r>
        <m:r>
          <m:t>)</m:t>
        </m:r>
      </m:oMath>
      <w:r>
        <w:t xml:space="preserve"> </w:t>
      </w:r>
      <w:r>
        <w:t xml:space="preserve">function are the two separate smoothers for year as a thin-plate spline and</w:t>
      </w:r>
      <w:r>
        <w:t xml:space="preserve"> </w:t>
      </w:r>
      <m:oMath>
        <m:r>
          <m:t>d</m:t>
        </m:r>
        <m:r>
          <m:t>o</m:t>
        </m:r>
        <m:r>
          <m:t>y</m:t>
        </m:r>
      </m:oMath>
      <w:r>
        <w:t xml:space="preserve"> </w:t>
      </w:r>
      <w:r>
        <w:t xml:space="preserve">as a cyclic cubic spline. As with conventional linear models, the remaining variance in the response not captured by the functional form of the model is expressed as an error term</w:t>
      </w:r>
      <w:r>
        <w:t xml:space="preserve"> </w:t>
      </w:r>
      <m:oMath>
        <m:r>
          <m:t>ϵ</m:t>
        </m:r>
      </m:oMath>
      <w:r>
        <w:t xml:space="preserve"> </w:t>
      </w:r>
      <w:r>
        <w:t xml:space="preserve">that is normally-distributed having mean equal to zero and variance as</w:t>
      </w:r>
      <w:r>
        <w:t xml:space="preserve"> </w:t>
      </w:r>
      <m:oMath>
        <m:sSup>
          <m:e>
            <m:r>
              <m:t>σ</m:t>
            </m:r>
          </m:e>
          <m:sup>
            <m:r>
              <m:t>2</m:t>
            </m:r>
          </m:sup>
        </m:sSup>
      </m:oMath>
      <w:r>
        <w:t xml:space="preserve">. The residual variance is used to back-transform model estimates for trend testing, described below.</w:t>
      </w:r>
    </w:p>
    <w:p>
      <w:pPr>
        <w:pStyle w:val="BodyText"/>
      </w:pPr>
      <w:r>
        <w:t xml:space="preserve">The link functions</w:t>
      </w:r>
      <w:r>
        <w:t xml:space="preserve"> </w:t>
      </w:r>
      <m:oMath>
        <m:r>
          <m:t>g</m:t>
        </m:r>
        <m:r>
          <m:t>(</m:t>
        </m:r>
        <m:r>
          <m:t>)</m:t>
        </m:r>
      </m:oMath>
      <w:r>
        <w:t xml:space="preserve"> </w:t>
      </w:r>
      <w:r>
        <w:t xml:space="preserve">for each model were chosen as either logarithmic transformations (base 10) or best estimates of Box-Cox power transformations for chlorophyll. A comparison of GAM perforamcne between transformation methods has not yet been explored in the application of GAMs to long-term water quality monitoring data. The logarithmic transformation is commonly used for chlorophyll to approximate a log-normal distribution of the response variable. However, alternative transformations could provide improved model fits and reduced uncertainty estimates in the fitted parameters by better satisying assumptions for GAMs. The Box-Cox method was also used to transform chlorophyll as a comparison to the logarithmic transformation (Box and Cox 1964). The Box-Cox method requires an estimate of the parameter</w:t>
      </w:r>
      <w:r>
        <w:t xml:space="preserve"> </w:t>
      </w:r>
      <m:oMath>
        <m:r>
          <m:t>λ</m:t>
        </m:r>
      </m:oMath>
      <w:r>
        <w:t xml:space="preserve">, whereby the the optimal value is based on a minimization function of a log-likelihood profile vector. The profile vector for each chlorophyll time series was obtained using the</w:t>
      </w:r>
      <w:r>
        <w:t xml:space="preserve"> </w:t>
      </w:r>
      <w:r>
        <w:rPr>
          <w:i/>
        </w:rPr>
        <w:t xml:space="preserve">boxcox</w:t>
      </w:r>
      <w:r>
        <w:t xml:space="preserve"> </w:t>
      </w:r>
      <w:r>
        <w:t xml:space="preserve">funtion from the MASS package [</w:t>
      </w:r>
      <w:r>
        <w:t xml:space="preserve">Venables and Ripley (</w:t>
      </w:r>
      <w:hyperlink w:anchor="ref-Venables02">
        <w:r>
          <w:rPr>
            <w:rStyle w:val="Hyperlink"/>
          </w:rPr>
          <w:t xml:space="preserve">2002</w:t>
        </w:r>
      </w:hyperlink>
      <w:r>
        <w:t xml:space="preserve">)</w:t>
      </w:r>
      <w:r>
        <w:t xml:space="preserve"> </w:t>
      </w:r>
      <w:r>
        <w:t xml:space="preserve">to evaluate log-likelihood estimates of</w:t>
      </w:r>
      <w:r>
        <w:t xml:space="preserve"> </w:t>
      </w:r>
      <m:oMath>
        <m:r>
          <m:t>λ</m:t>
        </m:r>
      </m:oMath>
      <w:r>
        <w:t xml:space="preserve"> </w:t>
      </w:r>
      <w:r>
        <w:t xml:space="preserve">across the range -4 to 4. Once the optimal</w:t>
      </w:r>
      <w:r>
        <w:t xml:space="preserve"> </w:t>
      </w:r>
      <m:oMath>
        <m:r>
          <m:t>λ</m:t>
        </m:r>
      </m:oMath>
      <w:r>
        <w:t xml:space="preserve"> </w:t>
      </w:r>
      <w:r>
        <w:t xml:space="preserve">value was identified, chlorophyll was transformed using the following power transformation</w:t>
      </w:r>
      <w:r>
        <w:t xml:space="preserve"> </w:t>
      </w:r>
      <w:r>
        <w:t xml:space="preserve">(Box and Cox</w:t>
      </w:r>
      <w:r>
        <w:t xml:space="preserve"> </w:t>
      </w:r>
      <w:hyperlink w:anchor="ref-Box64">
        <w:r>
          <w:rPr>
            <w:rStyle w:val="Hyperlink"/>
          </w:rPr>
          <w:t xml:space="preserve">1964</w:t>
        </w:r>
      </w:hyperlink>
      <w:r>
        <w:t xml:space="preserve">)</w:t>
      </w:r>
      <w:r>
        <w:t xml:space="preserve">:</w:t>
      </w:r>
    </w:p>
    <w:p>
      <w:pPr>
        <w:pStyle w:val="BodyText"/>
      </w:pPr>
      <m:oMathPara>
        <m:oMathParaPr>
          <m:jc m:val="center"/>
        </m:oMathParaPr>
        <m:oMath>
          <m:r>
            <m:t>g</m:t>
          </m:r>
          <m:d>
            <m:dPr>
              <m:begChr m:val="("/>
              <m:endChr m:val=")"/>
              <m:grow/>
            </m:dPr>
            <m:e>
              <m:r>
                <m:t>c</m:t>
              </m:r>
              <m:r>
                <m:t>h</m:t>
              </m:r>
              <m:r>
                <m:t>l</m:t>
              </m:r>
              <m:r>
                <m:t>;</m:t>
              </m:r>
              <m:r>
                <m:t>λ</m:t>
              </m:r>
            </m:e>
          </m:d>
          <m:r>
            <m:t>=</m:t>
          </m:r>
          <m:d>
            <m:dPr>
              <m:begChr m:val="{"/>
              <m:endChr m:val=""/>
              <m:grow/>
            </m:dPr>
            <m:e>
              <m:m>
                <m:mPr>
                  <m:baseJc m:val="center"/>
                  <m:plcHide m:val="1"/>
                  <m:mcs>
                    <m:mc>
                      <m:mcPr>
                        <m:mcJc m:val="left"/>
                        <m:count m:val="1"/>
                      </m:mcPr>
                    </m:mc>
                    <m:mc>
                      <m:mcPr>
                        <m:mcJc m:val="left"/>
                        <m:count m:val="1"/>
                      </m:mcPr>
                    </m:mc>
                  </m:mcs>
                </m:mPr>
                <m:mr>
                  <m:e>
                    <m:f>
                      <m:fPr>
                        <m:type m:val="bar"/>
                      </m:fPr>
                      <m:num>
                        <m:r>
                          <m:t>c</m:t>
                        </m:r>
                        <m:r>
                          <m:t>h</m:t>
                        </m:r>
                        <m:sSup>
                          <m:e>
                            <m:r>
                              <m:t>l</m:t>
                            </m:r>
                          </m:e>
                          <m:sup>
                            <m:r>
                              <m:t>λ</m:t>
                            </m:r>
                          </m:sup>
                        </m:sSup>
                        <m:r>
                          <m:t>−</m:t>
                        </m:r>
                        <m:r>
                          <m:t>1</m:t>
                        </m:r>
                      </m:num>
                      <m:den>
                        <m:r>
                          <m:t>λ</m:t>
                        </m:r>
                      </m:den>
                    </m:f>
                  </m:e>
                  <m:e>
                    <m:r>
                      <m:t>λ</m:t>
                    </m:r>
                    <m:r>
                      <m:t>≠</m:t>
                    </m:r>
                    <m:r>
                      <m:t>0</m:t>
                    </m:r>
                  </m:e>
                </m:mr>
                <m:mr>
                  <m:e>
                    <m:r>
                      <m:rPr>
                        <m:nor/>
                        <m:sty m:val="p"/>
                      </m:rPr>
                      <m:t>log</m:t>
                    </m:r>
                    <m:d>
                      <m:dPr>
                        <m:begChr m:val="("/>
                        <m:endChr m:val=")"/>
                        <m:grow/>
                      </m:dPr>
                      <m:e>
                        <m:r>
                          <m:t>c</m:t>
                        </m:r>
                        <m:r>
                          <m:t>h</m:t>
                        </m:r>
                        <m:r>
                          <m:t>l</m:t>
                        </m:r>
                      </m:e>
                    </m:d>
                  </m:e>
                  <m:e>
                    <m:r>
                      <m:t>λ</m:t>
                    </m:r>
                    <m:r>
                      <m:t>=</m:t>
                    </m:r>
                    <m:r>
                      <m:t>0</m:t>
                    </m:r>
                  </m:e>
                </m:mr>
              </m:m>
            </m:e>
          </m:d>
          <m:r>
            <m:t>  </m:t>
          </m:r>
          <m:r>
            <m:t>(</m:t>
          </m:r>
          <m:r>
            <m:t>6</m:t>
          </m:r>
          <m:r>
            <m:t>)</m:t>
          </m:r>
        </m:oMath>
      </m:oMathPara>
    </w:p>
    <w:p>
      <w:pPr>
        <w:pStyle w:val="FirstParagraph"/>
      </w:pPr>
      <w:r>
        <w:t xml:space="preserve">where</w:t>
      </w:r>
      <w:r>
        <w:t xml:space="preserve"> </w:t>
      </w:r>
      <m:oMath>
        <m:r>
          <m:t>g</m:t>
        </m:r>
        <m:r>
          <m:t>(</m:t>
        </m:r>
        <m:r>
          <m:t>)</m:t>
        </m:r>
      </m:oMath>
      <w:r>
        <w:t xml:space="preserve"> </w:t>
      </w:r>
      <w:r>
        <w:t xml:space="preserve">is the transformation function for the appropriate GAM at the esitmated</w:t>
      </w:r>
      <w:r>
        <w:t xml:space="preserve"> </w:t>
      </w:r>
      <m:oMath>
        <m:r>
          <m:t>λ</m:t>
        </m:r>
      </m:oMath>
      <w:r>
        <w:t xml:space="preserve"> </w:t>
      </w:r>
      <w:r>
        <w:t xml:space="preserve">value. Note that in some cases the Box-Cox transformation is a logarithmic transformation if</w:t>
      </w:r>
      <w:r>
        <w:t xml:space="preserve"> </w:t>
      </w:r>
      <m:oMath>
        <m:r>
          <m:t>λ</m:t>
        </m:r>
      </m:oMath>
      <w:r>
        <w:t xml:space="preserve"> </w:t>
      </w:r>
      <w:r>
        <w:t xml:space="preserve">is estimated as zero. The</w:t>
      </w:r>
      <w:r>
        <w:t xml:space="preserve"> </w:t>
      </w:r>
      <w:r>
        <w:rPr>
          <w:i/>
        </w:rPr>
        <w:t xml:space="preserve">BoxCox</w:t>
      </w:r>
      <w:r>
        <w:t xml:space="preserve"> </w:t>
      </w:r>
      <w:r>
        <w:t xml:space="preserve">function from the forecast package</w:t>
      </w:r>
      <w:r>
        <w:t xml:space="preserve"> </w:t>
      </w:r>
      <w:r>
        <w:t xml:space="preserve">(Hyndman et al.</w:t>
      </w:r>
      <w:r>
        <w:t xml:space="preserve"> </w:t>
      </w:r>
      <w:hyperlink w:anchor="ref-Hyndman20">
        <w:r>
          <w:rPr>
            <w:rStyle w:val="Hyperlink"/>
          </w:rPr>
          <w:t xml:space="preserve">2020</w:t>
        </w:r>
      </w:hyperlink>
      <w:r>
        <w:t xml:space="preserve">)</w:t>
      </w:r>
      <w:r>
        <w:t xml:space="preserve"> </w:t>
      </w:r>
      <w:r>
        <w:t xml:space="preserve">in R was used to transform the chlrophyll time series with the optimal</w:t>
      </w:r>
      <w:r>
        <w:t xml:space="preserve"> </w:t>
      </w:r>
      <m:oMath>
        <m:r>
          <m:t>λ</m:t>
        </m:r>
      </m:oMath>
      <w:r>
        <w:t xml:space="preserve"> </w:t>
      </w:r>
      <w:r>
        <w:t xml:space="preserve">value. Equation (6) is only appropriate for positive values of a response variable, as for chlorophyll.</w:t>
      </w:r>
    </w:p>
    <w:p>
      <w:pPr>
        <w:pStyle w:val="BodyText"/>
      </w:pPr>
      <w:r>
        <w:t xml:space="preserve">A challenge for optimizing GAMs to time series data with significant intra- and interannual variation is choosing an appropriate functional form (i.e., gam0, gam1, gam2, or gam6) and determining how much variation could be explained by the smoothers in each function. The four models above provide tradeoffs in the functional forms that balance descriptive and computational efficiency (Table</w:t>
      </w:r>
      <w:r>
        <w:t xml:space="preserve"> </w:t>
      </w:r>
      <w:r>
        <w:t xml:space="preserve">2</w:t>
      </w:r>
      <w:r>
        <w:t xml:space="preserve">, Figure</w:t>
      </w:r>
      <w:r>
        <w:t xml:space="preserve"> </w:t>
      </w:r>
      <w:r>
        <w:t xml:space="preserve">1</w:t>
      </w:r>
      <w:r>
        <w:t xml:space="preserve">). However, the individual smoothing functions (i.e,</w:t>
      </w:r>
      <w:r>
        <w:t xml:space="preserve"> </w:t>
      </w:r>
      <m:oMath>
        <m:sSub>
          <m:e>
            <m:r>
              <m:t>s</m:t>
            </m:r>
          </m:e>
          <m:sub>
            <m:r>
              <m:t>1</m:t>
            </m:r>
          </m:sub>
        </m:sSub>
        <m:r>
          <m:t>(</m:t>
        </m:r>
        <m:r>
          <m:t>)</m:t>
        </m:r>
      </m:oMath>
      <w:r>
        <w:t xml:space="preserve">,</w:t>
      </w:r>
      <w:r>
        <w:t xml:space="preserve"> </w:t>
      </w:r>
      <m:oMath>
        <m:sSub>
          <m:e>
            <m:r>
              <m:t>s</m:t>
            </m:r>
          </m:e>
          <m:sub>
            <m:r>
              <m:t>2</m:t>
            </m:r>
          </m:sub>
        </m:sSub>
        <m:r>
          <m:t>(</m:t>
        </m:r>
        <m:r>
          <m:t>)</m:t>
        </m:r>
      </m:oMath>
      <w:r>
        <w:t xml:space="preserve">,</w:t>
      </w:r>
      <w:r>
        <w:t xml:space="preserve"> </w:t>
      </w:r>
      <m:oMath>
        <m:sSubSup>
          <m:e>
            <m:r>
              <m:t>s</m:t>
            </m:r>
          </m:e>
          <m:sub>
            <m:r>
              <m:t>2</m:t>
            </m:r>
          </m:sub>
          <m:sup>
            <m:r>
              <m:t>*</m:t>
            </m:r>
          </m:sup>
        </m:sSubSup>
        <m:r>
          <m:t>(</m:t>
        </m:r>
        <m:r>
          <m:t>)</m:t>
        </m:r>
      </m:oMath>
      <w:r>
        <w:t xml:space="preserve"> </w:t>
      </w:r>
      <w:r>
        <w:t xml:space="preserve">and</w:t>
      </w:r>
      <w:r>
        <w:t xml:space="preserve"> </w:t>
      </w:r>
      <m:oMath>
        <m:r>
          <m:t>t</m:t>
        </m:r>
        <m:sSub>
          <m:e>
            <m:r>
              <m:t>i</m:t>
            </m:r>
          </m:e>
          <m:sub>
            <m:r>
              <m:t>1</m:t>
            </m:r>
          </m:sub>
        </m:sSub>
        <m:r>
          <m:t>(</m:t>
        </m:r>
        <m:r>
          <m:t>)</m:t>
        </m:r>
      </m:oMath>
      <w:r>
        <w:t xml:space="preserve">) require an explicit declaration of how much variation could be explained for the separate</w:t>
      </w:r>
      <w:r>
        <w:t xml:space="preserve"> </w:t>
      </w:r>
      <m:oMath>
        <m:r>
          <m:t>y</m:t>
        </m:r>
        <m:r>
          <m:t>e</m:t>
        </m:r>
        <m:r>
          <m:t>a</m:t>
        </m:r>
        <m:r>
          <m:t>r</m:t>
        </m:r>
      </m:oMath>
      <w:r>
        <w:t xml:space="preserve"> </w:t>
      </w:r>
      <w:r>
        <w:t xml:space="preserve">and</w:t>
      </w:r>
      <w:r>
        <w:t xml:space="preserve"> </w:t>
      </w:r>
      <m:oMath>
        <m:r>
          <m:t>d</m:t>
        </m:r>
        <m:r>
          <m:t>o</m:t>
        </m:r>
        <m:r>
          <m:t>y</m:t>
        </m:r>
      </m:oMath>
      <w:r>
        <w:t xml:space="preserve"> </w:t>
      </w:r>
      <w:r>
        <w:t xml:space="preserve">components. This requires user input on the potential upper limit for the</w:t>
      </w:r>
      <w:r>
        <w:t xml:space="preserve"> </w:t>
      </w:r>
      <w:r>
        <w:rPr>
          <w:i/>
        </w:rPr>
        <w:t xml:space="preserve">k</w:t>
      </w:r>
      <w:r>
        <w:t xml:space="preserve">-values that could be used during model fitting. Initial testing by Murphy et al. (2019) showed that the default</w:t>
      </w:r>
      <w:r>
        <w:t xml:space="preserve"> </w:t>
      </w:r>
      <w:r>
        <w:rPr>
          <w:i/>
        </w:rPr>
        <w:t xml:space="preserve">k</w:t>
      </w:r>
      <w:r>
        <w:t xml:space="preserve"> </w:t>
      </w:r>
      <w:r>
        <w:t xml:space="preserve">values in the mgcv package were insufficient for describing the interannual variation in the response variable and specified the upper limit for the number of knots for the</w:t>
      </w:r>
      <w:r>
        <w:t xml:space="preserve"> </w:t>
      </w:r>
      <m:oMath>
        <m:sSub>
          <m:e>
            <m:r>
              <m:t>s</m:t>
            </m:r>
          </m:e>
          <m:sub>
            <m:r>
              <m:t>2</m:t>
            </m:r>
          </m:sub>
        </m:sSub>
        <m:r>
          <m:t>(</m:t>
        </m:r>
        <m:r>
          <m:t>y</m:t>
        </m:r>
        <m:r>
          <m:t>e</m:t>
        </m:r>
        <m:r>
          <m:t>a</m:t>
        </m:r>
        <m:r>
          <m:t>r</m:t>
        </m:r>
        <m:r>
          <m:t>)</m:t>
        </m:r>
      </m:oMath>
      <w:r>
        <w:t xml:space="preserve"> </w:t>
      </w:r>
      <w:r>
        <w:t xml:space="preserve">smoother as the maximum between 10 or</w:t>
      </w:r>
      <w:r>
        <w:t xml:space="preserve"> </w:t>
      </w:r>
      <m:oMath>
        <m:r>
          <m:t>2</m:t>
        </m:r>
        <m:r>
          <m:t>/</m:t>
        </m:r>
        <m:r>
          <m:t>3</m:t>
        </m:r>
        <m:r>
          <m:t>×</m:t>
        </m:r>
      </m:oMath>
      <w:r>
        <w:t xml:space="preserve"> </w:t>
      </w:r>
      <w:r>
        <w:t xml:space="preserve">the number of years in the time series. We follow the same approach herein for gam1 and gam2. Further, the default</w:t>
      </w:r>
      <w:r>
        <w:t xml:space="preserve"> </w:t>
      </w:r>
      <w:r>
        <w:rPr>
          <w:i/>
        </w:rPr>
        <w:t xml:space="preserve">k</w:t>
      </w:r>
      <w:r>
        <w:t xml:space="preserve">-values for</w:t>
      </w:r>
      <w:r>
        <w:t xml:space="preserve"> </w:t>
      </w:r>
      <m:oMath>
        <m:sSub>
          <m:e>
            <m:r>
              <m:t>s</m:t>
            </m:r>
          </m:e>
          <m:sub>
            <m:r>
              <m:t>2</m:t>
            </m:r>
          </m:sub>
        </m:sSub>
        <m:r>
          <m:t>(</m:t>
        </m:r>
        <m:r>
          <m:t>)</m:t>
        </m:r>
      </m:oMath>
      <w:r>
        <w:t xml:space="preserve"> </w:t>
      </w:r>
      <w:r>
        <w:t xml:space="preserve">and</w:t>
      </w:r>
      <w:r>
        <w:t xml:space="preserve"> </w:t>
      </w:r>
      <m:oMath>
        <m:r>
          <m:t>t</m:t>
        </m:r>
        <m:sSub>
          <m:e>
            <m:r>
              <m:t>i</m:t>
            </m:r>
          </m:e>
          <m:sub>
            <m:r>
              <m:t>1</m:t>
            </m:r>
          </m:sub>
        </m:sSub>
        <m:r>
          <m:t>(</m:t>
        </m:r>
        <m:r>
          <m:t>)</m:t>
        </m:r>
      </m:oMath>
      <w:r>
        <w:t xml:space="preserve"> </w:t>
      </w:r>
      <w:r>
        <w:t xml:space="preserve">were considered appropriate and not tested further. For the application to SFE chlorophyll data, gam6 was also added as an extension of gam1, where the total number of knots for the</w:t>
      </w:r>
      <w:r>
        <w:t xml:space="preserve"> </w:t>
      </w:r>
      <m:oMath>
        <m:r>
          <m:t>y</m:t>
        </m:r>
        <m:r>
          <m:t>e</m:t>
        </m:r>
        <m:r>
          <m:t>a</m:t>
        </m:r>
        <m:r>
          <m:t>r</m:t>
        </m:r>
      </m:oMath>
      <w:r>
        <w:t xml:space="preserve"> </w:t>
      </w:r>
      <w:r>
        <w:t xml:space="preserve">smoother,</w:t>
      </w:r>
      <w:r>
        <w:t xml:space="preserve"> </w:t>
      </w:r>
      <m:oMath>
        <m:sSubSup>
          <m:e>
            <m:r>
              <m:t>s</m:t>
            </m:r>
          </m:e>
          <m:sub>
            <m:r>
              <m:t>2</m:t>
            </m:r>
          </m:sub>
          <m:sup>
            <m:r>
              <m:t>*</m:t>
            </m:r>
          </m:sup>
        </m:sSubSup>
        <m:r>
          <m:t>(</m:t>
        </m:r>
        <m:r>
          <m:t>)</m:t>
        </m:r>
      </m:oMath>
      <w:r>
        <w:t xml:space="preserve">, was increased to 12 times the total number of years in the time series. This approach potentially allows the smoother for</w:t>
      </w:r>
      <w:r>
        <w:t xml:space="preserve"> </w:t>
      </w:r>
      <m:oMath>
        <m:r>
          <m:t>y</m:t>
        </m:r>
        <m:r>
          <m:t>e</m:t>
        </m:r>
        <m:r>
          <m:t>a</m:t>
        </m:r>
        <m:r>
          <m:t>r</m:t>
        </m:r>
      </m:oMath>
      <w:r>
        <w:t xml:space="preserve"> </w:t>
      </w:r>
      <w:r>
        <w:t xml:space="preserve">to be completely unconstrained in how much variance is fit within and between years.</w:t>
      </w:r>
    </w:p>
    <w:p>
      <w:pPr>
        <w:pStyle w:val="BodyText"/>
      </w:pPr>
      <w:r>
        <w:t xml:space="preserve">All models were compared using standard summary statistics describing overall model fit to the observed data. In addition to the GCV score, models were compared using the Akaike Information Criterion (AIC) and</w:t>
      </w:r>
      <w:r>
        <w:t xml:space="preserve"> </w:t>
      </w:r>
      <m:oMath>
        <m:sSup>
          <m:e>
            <m:r>
              <m:t>R</m:t>
            </m:r>
          </m:e>
          <m:sup>
            <m:r>
              <m:t>2</m:t>
            </m:r>
          </m:sup>
        </m:sSup>
      </m:oMath>
      <w:r>
        <w:t xml:space="preserve"> </w:t>
      </w:r>
      <w:r>
        <w:t xml:space="preserve">summmary statistics. Comparisons were made between the different GAMs in equations (2) to (5) and for the transformations used to define the</w:t>
      </w:r>
      <w:r>
        <w:t xml:space="preserve"> </w:t>
      </w:r>
      <m:oMath>
        <m:r>
          <m:t>g</m:t>
        </m:r>
        <m:r>
          <m:t>(</m:t>
        </m:r>
        <m:r>
          <m:t>)</m:t>
        </m:r>
      </m:oMath>
      <w:r>
        <w:t xml:space="preserve"> </w:t>
      </w:r>
      <w:r>
        <w:t xml:space="preserve">function for chlorophyll at each station. Model predictions were based on the standard model output from the</w:t>
      </w:r>
      <w:r>
        <w:t xml:space="preserve"> </w:t>
      </w:r>
      <w:r>
        <w:rPr>
          <w:i/>
        </w:rPr>
        <w:t xml:space="preserve">predict()</w:t>
      </w:r>
      <w:r>
        <w:t xml:space="preserve"> </w:t>
      </w:r>
      <w:r>
        <w:t xml:space="preserve">function from the mgcv package. A long-term trend independent of seasonal variation was also estimated for each model by subtracting the seasonal terms (i.e.,</w:t>
      </w:r>
      <w:r>
        <w:t xml:space="preserve"> </w:t>
      </w:r>
      <m:oMath>
        <m:sSub>
          <m:e>
            <m:r>
              <m:t>s</m:t>
            </m:r>
          </m:e>
          <m:sub>
            <m:r>
              <m:t>1</m:t>
            </m:r>
          </m:sub>
        </m:sSub>
        <m:r>
          <m:t>(</m:t>
        </m:r>
        <m:r>
          <m:t>d</m:t>
        </m:r>
        <m:r>
          <m:t>o</m:t>
        </m:r>
        <m:r>
          <m:t>y</m:t>
        </m:r>
        <m:r>
          <m:t>)</m:t>
        </m:r>
      </m:oMath>
      <w:r>
        <w:t xml:space="preserve"> </w:t>
      </w:r>
      <w:r>
        <w:t xml:space="preserve">and</w:t>
      </w:r>
      <w:r>
        <w:t xml:space="preserve"> </w:t>
      </w:r>
      <m:oMath>
        <m:r>
          <m:t>t</m:t>
        </m:r>
        <m:sSub>
          <m:e>
            <m:r>
              <m:t>i</m:t>
            </m:r>
          </m:e>
          <m:sub>
            <m:r>
              <m:t>1</m:t>
            </m:r>
          </m:sub>
        </m:sSub>
        <m:r>
          <m:t>(</m:t>
        </m:r>
        <m:r>
          <m:t>d</m:t>
        </m:r>
        <m:r>
          <m:t>o</m:t>
        </m:r>
        <m:r>
          <m:t>y</m:t>
        </m:r>
        <m:r>
          <m:t>,</m:t>
        </m:r>
        <m:r>
          <m:t>y</m:t>
        </m:r>
        <m:r>
          <m:t>e</m:t>
        </m:r>
        <m:r>
          <m:t>a</m:t>
        </m:r>
        <m:r>
          <m:t>r</m:t>
        </m:r>
        <m:r>
          <m:t>)</m:t>
        </m:r>
      </m:oMath>
      <w:r>
        <w:t xml:space="preserve">) from the predictions. Back-transformation of results were obtained by exponentiation if the log-transformed variable was used or using the</w:t>
      </w:r>
      <w:r>
        <w:t xml:space="preserve"> </w:t>
      </w:r>
      <w:r>
        <w:rPr>
          <w:i/>
        </w:rPr>
        <w:t xml:space="preserve">InvBoxCox()</w:t>
      </w:r>
      <w:r>
        <w:t xml:space="preserve"> </w:t>
      </w:r>
      <w:r>
        <w:t xml:space="preserve">function from the forecast package if the Box-Cox transformation was used. For hypothesis tests that required estimates of central tendency and confidence intervals for mean values, back-transformations were based on an exponentiation or inverse function of the transformed response variable as before, with the addition of a correction factor. This bias-correction factor was simply the variance of the model residuals divided by two for variables in log-space and correction with a forecast variance estimate as specified in the</w:t>
      </w:r>
      <w:r>
        <w:t xml:space="preserve"> </w:t>
      </w:r>
      <w:r>
        <w:rPr>
          <w:i/>
        </w:rPr>
        <w:t xml:space="preserve">InvBoxCox()</w:t>
      </w:r>
      <w:r>
        <w:t xml:space="preserve"> </w:t>
      </w:r>
      <w:r>
        <w:t xml:space="preserve">function from the forecast package.</w:t>
      </w:r>
    </w:p>
    <w:p>
      <w:pPr>
        <w:pStyle w:val="Heading2"/>
      </w:pPr>
      <w:bookmarkStart w:id="33" w:name="trend-tests-on-gam-results"/>
      <w:r>
        <w:t xml:space="preserve">Trend tests on GAM results</w:t>
      </w:r>
      <w:bookmarkEnd w:id="33"/>
    </w:p>
    <w:p>
      <w:pPr>
        <w:pStyle w:val="FirstParagraph"/>
      </w:pPr>
      <w:r>
        <w:t xml:space="preserve">Each of the GAM structures described in equations (2) to (5) provide different approaches to quantify long-term variation in annual and seasonal changes. Although useful as a general approach to view functional forms for different time series, additional information regarding whether an observed change is statistically significant can be useful to inform environmental management decisions. We present two methods for performing trend tests on model results that address different changes that may be of management interest. First, a method for evaluating the percent change in annual averages between two time periods is briefly summarized. This approach is similar to that presented in</w:t>
      </w:r>
      <w:r>
        <w:t xml:space="preserve"> </w:t>
      </w:r>
      <w:r>
        <w:t xml:space="preserve">Murphy et al. (</w:t>
      </w:r>
      <w:hyperlink w:anchor="ref-Murphy19">
        <w:r>
          <w:rPr>
            <w:rStyle w:val="Hyperlink"/>
          </w:rPr>
          <w:t xml:space="preserve">2019</w:t>
        </w:r>
      </w:hyperlink>
      <w:r>
        <w:t xml:space="preserve">)</w:t>
      </w:r>
      <w:r>
        <w:t xml:space="preserve">. Second, a method for evaluating means and confidence intervals from GAM results for seasonal periods is presented, including an estimate of direction and rate of seasonal change over time.</w:t>
      </w:r>
    </w:p>
    <w:p>
      <w:pPr>
        <w:pStyle w:val="BodyText"/>
      </w:pPr>
      <w:r>
        <w:t xml:space="preserve">The ability to compare time periods of interest has importance for evaluating whether a significant change has occurred in relation to perceived trends in observed data. For example, the noticeable change in SFE water quality in South Bay starting from the 1990s and persisting through 2005 was of considerable interest by environmental managers given the apparent departure from long-term conditions to a state that suggested a trend towards more eutrophic conditions. However, statistical methods to evaluate this change that were able to quantify the temporal variation and to provide a statistically robust estimate of the change were not available. The use of GAMs in parallel with hypothesis testing can be used for this purpose. Methods proposed in</w:t>
      </w:r>
      <w:r>
        <w:t xml:space="preserve"> </w:t>
      </w:r>
      <w:r>
        <w:t xml:space="preserve">Murphy et al. (</w:t>
      </w:r>
      <w:hyperlink w:anchor="ref-Murphy19">
        <w:r>
          <w:rPr>
            <w:rStyle w:val="Hyperlink"/>
          </w:rPr>
          <w:t xml:space="preserve">2019</w:t>
        </w:r>
      </w:hyperlink>
      <w:r>
        <w:t xml:space="preserve">)</w:t>
      </w:r>
      <w:r>
        <w:t xml:space="preserve"> </w:t>
      </w:r>
      <w:r>
        <w:t xml:space="preserve">and similarly applied in</w:t>
      </w:r>
      <w:r>
        <w:t xml:space="preserve"> </w:t>
      </w:r>
      <w:r>
        <w:t xml:space="preserve">Yang and Moyer (</w:t>
      </w:r>
      <w:hyperlink w:anchor="ref-Yang20">
        <w:r>
          <w:rPr>
            <w:rStyle w:val="Hyperlink"/>
          </w:rPr>
          <w:t xml:space="preserve">2020</w:t>
        </w:r>
      </w:hyperlink>
      <w:r>
        <w:t xml:space="preserve">)</w:t>
      </w:r>
      <w:r>
        <w:t xml:space="preserve"> </w:t>
      </w:r>
      <w:r>
        <w:t xml:space="preserve">were used and are briefly summarized herein.</w:t>
      </w:r>
    </w:p>
    <w:p>
      <w:pPr>
        <w:pStyle w:val="BodyText"/>
      </w:pPr>
      <w:r>
        <w:t xml:space="preserve">For two time periods of interest, a trend can be estimated as the difference in means from the GAM results between the periods, the percent change, and an appropriate p-value descibing the probability that the change is due to change alone.</w:t>
      </w:r>
      <w:r>
        <w:t xml:space="preserve"> </w:t>
      </w:r>
      <w:r>
        <w:t xml:space="preserve">Murphy et al. (</w:t>
      </w:r>
      <w:hyperlink w:anchor="ref-Murphy19">
        <w:r>
          <w:rPr>
            <w:rStyle w:val="Hyperlink"/>
          </w:rPr>
          <w:t xml:space="preserve">2019</w:t>
        </w:r>
      </w:hyperlink>
      <w:r>
        <w:t xml:space="preserve">)</w:t>
      </w:r>
      <w:r>
        <w:t xml:space="preserve"> </w:t>
      </w:r>
      <w:r>
        <w:t xml:space="preserve">defined the two time periods as</w:t>
      </w:r>
      <w:r>
        <w:t xml:space="preserve"> </w:t>
      </w:r>
      <w:r>
        <w:t xml:space="preserve">“</w:t>
      </w:r>
      <w:r>
        <w:t xml:space="preserve">base</w:t>
      </w:r>
      <w:r>
        <w:t xml:space="preserve">”</w:t>
      </w:r>
      <w:r>
        <w:t xml:space="preserve"> </w:t>
      </w:r>
      <w:r>
        <w:t xml:space="preserve">and</w:t>
      </w:r>
      <w:r>
        <w:t xml:space="preserve"> </w:t>
      </w:r>
      <w:r>
        <w:t xml:space="preserve">“</w:t>
      </w:r>
      <w:r>
        <w:t xml:space="preserve">test</w:t>
      </w:r>
      <w:r>
        <w:t xml:space="preserve">”</w:t>
      </w:r>
      <w:r>
        <w:t xml:space="preserve"> </w:t>
      </w:r>
      <w:r>
        <w:t xml:space="preserve">periods, where the former represents a baseline condition earlier in the time series as a basis of comparison to the more recent</w:t>
      </w:r>
      <w:r>
        <w:t xml:space="preserve"> </w:t>
      </w:r>
      <w:r>
        <w:t xml:space="preserve">“</w:t>
      </w:r>
      <w:r>
        <w:t xml:space="preserve">test</w:t>
      </w:r>
      <w:r>
        <w:t xml:space="preserve">”</w:t>
      </w:r>
      <w:r>
        <w:t xml:space="preserve"> </w:t>
      </w:r>
      <w:r>
        <w:t xml:space="preserve">period. It was further suggested the the base and test periods include a minimum of two years if evaluating years at the beginning and end of a time series to account for instability of GAM estimates at the edges of the independent variable space. The differences are estimated as:</w:t>
      </w:r>
    </w:p>
    <w:p>
      <w:pPr>
        <w:pStyle w:val="BodyText"/>
      </w:pPr>
      <m:oMathPara>
        <m:oMathParaPr>
          <m:jc m:val="center"/>
        </m:oMathParaPr>
        <m:oMath>
          <m:r>
            <m:rPr>
              <m:nor/>
              <m:sty m:val="p"/>
            </m:rPr>
            <m:t>Difference</m:t>
          </m:r>
          <m:r>
            <m:t>=</m:t>
          </m:r>
          <m:sSub>
            <m:e>
              <m:r>
                <m:t>Z</m:t>
              </m:r>
            </m:e>
            <m:sub>
              <m:r>
                <m:t>d</m:t>
              </m:r>
            </m:sub>
          </m:sSub>
          <m:acc>
            <m:accPr>
              <m:chr m:val="̂"/>
            </m:accPr>
            <m:e>
              <m:r>
                <m:t>β</m:t>
              </m:r>
            </m:e>
          </m:acc>
          <m:r>
            <m:t>  </m:t>
          </m:r>
          <m:r>
            <m:t>(</m:t>
          </m:r>
          <m:r>
            <m:t>7</m:t>
          </m:r>
          <m:r>
            <m:t>)</m:t>
          </m:r>
        </m:oMath>
      </m:oMathPara>
    </w:p>
    <w:p>
      <w:pPr>
        <w:pStyle w:val="FirstParagraph"/>
      </w:pPr>
      <w:r>
        <w:t xml:space="preserve">where</w:t>
      </w:r>
      <w:r>
        <w:t xml:space="preserve"> </w:t>
      </w:r>
      <m:oMath>
        <m:sSub>
          <m:e>
            <m:r>
              <m:t>Z</m:t>
            </m:r>
          </m:e>
          <m:sub>
            <m:r>
              <m:t>d</m:t>
            </m:r>
          </m:sub>
        </m:sSub>
      </m:oMath>
      <w:r>
        <w:t xml:space="preserve"> </w:t>
      </w:r>
      <w:r>
        <w:t xml:space="preserve">is a point estimate of the differences of the predictions between the base and test years and</w:t>
      </w:r>
      <w:r>
        <w:t xml:space="preserve"> </w:t>
      </w:r>
      <m:oMath>
        <m:acc>
          <m:accPr>
            <m:chr m:val="̂"/>
          </m:accPr>
          <m:e>
            <m:r>
              <m:t>β</m:t>
            </m:r>
          </m:e>
        </m:acc>
      </m:oMath>
      <w:r>
        <w:t xml:space="preserve"> </w:t>
      </w:r>
      <w:r>
        <w:t xml:space="preserve">is the estimated parameter vector from the fitted GAM. The standard error of this difference is then:</w:t>
      </w:r>
    </w:p>
    <w:p>
      <w:pPr>
        <w:pStyle w:val="BodyText"/>
      </w:pPr>
      <m:oMathPara>
        <m:oMathParaPr>
          <m:jc m:val="center"/>
        </m:oMathParaPr>
        <m:oMath>
          <m:sSub>
            <m:e>
              <m:r>
                <m:rPr>
                  <m:nor/>
                  <m:sty m:val="p"/>
                </m:rPr>
                <m:t>se</m:t>
              </m:r>
            </m:e>
            <m:sub>
              <m:r>
                <m:rPr>
                  <m:nor/>
                  <m:sty m:val="p"/>
                </m:rPr>
                <m:t>diff</m:t>
              </m:r>
            </m:sub>
          </m:sSub>
          <m:r>
            <m:t>=</m:t>
          </m:r>
          <m:rad>
            <m:radPr>
              <m:degHide m:val="1"/>
            </m:radPr>
            <m:deg/>
            <m:e>
              <m:sSub>
                <m:e>
                  <m:r>
                    <m:t>Z</m:t>
                  </m:r>
                </m:e>
                <m:sub>
                  <m:r>
                    <m:t>d</m:t>
                  </m:r>
                </m:sub>
              </m:sSub>
              <m:sSub>
                <m:e>
                  <m:acc>
                    <m:accPr>
                      <m:chr m:val="̂"/>
                    </m:accPr>
                    <m:e>
                      <m:r>
                        <m:t>Σ</m:t>
                      </m:r>
                    </m:e>
                  </m:acc>
                </m:e>
                <m:sub>
                  <m:r>
                    <m:t>β</m:t>
                  </m:r>
                </m:sub>
              </m:sSub>
              <m:sSubSup>
                <m:e>
                  <m:r>
                    <m:t>Z</m:t>
                  </m:r>
                </m:e>
                <m:sub>
                  <m:r>
                    <m:t>d</m:t>
                  </m:r>
                </m:sub>
                <m:sup>
                  <m:r>
                    <m:t>T</m:t>
                  </m:r>
                </m:sup>
              </m:sSubSup>
            </m:e>
          </m:rad>
          <m:r>
            <m:t>  </m:t>
          </m:r>
          <m:r>
            <m:t>(</m:t>
          </m:r>
          <m:r>
            <m:t>8</m:t>
          </m:r>
          <m:r>
            <m:t>)</m:t>
          </m:r>
        </m:oMath>
      </m:oMathPara>
    </w:p>
    <w:p>
      <w:pPr>
        <w:pStyle w:val="FirstParagraph"/>
      </w:pPr>
      <w:r>
        <w:t xml:space="preserve">defined as the square root of the product of</w:t>
      </w:r>
      <w:r>
        <w:t xml:space="preserve"> </w:t>
      </w:r>
      <m:oMath>
        <m:sSub>
          <m:e>
            <m:r>
              <m:t>Z</m:t>
            </m:r>
          </m:e>
          <m:sub>
            <m:r>
              <m:t>d</m:t>
            </m:r>
          </m:sub>
        </m:sSub>
      </m:oMath>
      <w:r>
        <w:t xml:space="preserve">, the estimated variance-covariance matrix of parameter vector for the fitted GAM</w:t>
      </w:r>
      <w:r>
        <w:t xml:space="preserve"> </w:t>
      </w:r>
      <m:oMath>
        <m:sSub>
          <m:e>
            <m:acc>
              <m:accPr>
                <m:chr m:val="̂"/>
              </m:accPr>
              <m:e>
                <m:r>
                  <m:t>Σ</m:t>
                </m:r>
              </m:e>
            </m:acc>
          </m:e>
          <m:sub>
            <m:r>
              <m:t>β</m:t>
            </m:r>
          </m:sub>
        </m:sSub>
      </m:oMath>
      <w:r>
        <w:t xml:space="preserve">, and the transposition of</w:t>
      </w:r>
      <w:r>
        <w:t xml:space="preserve"> </w:t>
      </w:r>
      <m:oMath>
        <m:sSub>
          <m:e>
            <m:r>
              <m:t>Z</m:t>
            </m:r>
          </m:e>
          <m:sub>
            <m:r>
              <m:t>d</m:t>
            </m:r>
          </m:sub>
        </m:sSub>
      </m:oMath>
      <w:r>
        <w:t xml:space="preserve">. The trend is considered significant if the appropriate confidence interval at a specified</w:t>
      </w:r>
      <w:r>
        <w:t xml:space="preserve"> </w:t>
      </w:r>
      <m:oMath>
        <m:r>
          <m:t>α</m:t>
        </m:r>
      </m:oMath>
      <w:r>
        <w:t xml:space="preserve"> </w:t>
      </w:r>
      <w:r>
        <w:t xml:space="preserve">does not include zero.</w:t>
      </w:r>
    </w:p>
    <w:p>
      <w:pPr>
        <w:pStyle w:val="BodyText"/>
      </w:pPr>
      <w:r>
        <w:t xml:space="preserve">The second hypothesis test evaluates changes in seasonal estimates between years using results from a fitted GAM. This test provides both an estimate of a seasonal mean, its associated confidence interval, and if the rate of change in the seasonal means has varied over a specific period of interest. For example, changes that occur during late fall or early spring can be evaluated between years to determine if the seasonal averages differ and if the direction and magnitude of change is significant. This has implications for understanding potential changes in seasonal bloom phenology resulting from shifting system responses to nutrient inputs or changes in the latter.</w:t>
      </w:r>
    </w:p>
    <w:p>
      <w:pPr>
        <w:pStyle w:val="BodyText"/>
      </w:pPr>
      <w:r>
        <w:t xml:space="preserve">Seasonal averages and confidence intervals were estimated from fitted GAMs by first creating a matrix of the predictors (i.e.,</w:t>
      </w:r>
      <w:r>
        <w:t xml:space="preserve"> </w:t>
      </w:r>
      <w:r>
        <w:rPr>
          <w:rStyle w:val="VerbatimChar"/>
        </w:rPr>
        <w:t xml:space="preserve">year</w:t>
      </w:r>
      <w:r>
        <w:t xml:space="preserve">,</w:t>
      </w:r>
      <w:r>
        <w:t xml:space="preserve"> </w:t>
      </w:r>
      <w:r>
        <w:rPr>
          <w:rStyle w:val="VerbatimChar"/>
        </w:rPr>
        <w:t xml:space="preserve">doy</w:t>
      </w:r>
      <w:r>
        <w:t xml:space="preserve">) covering the seasonal periods across the time series. For example, seasonal changes from late summer could be obtained from a prediction matrix covering all dates from Aug 1st to Sep. 30th for the period from 2000 to 2010. The prediction matrix is then used to obtain fitted values from a GAM that describe the estimated values of chlorophyll that occurred during the periods of interest. Rather than the estimated values for the predictions, a linear predictor matrix is returned that provides a parameter vecotr at the supplied covariate values. This predictor matrix is then used to estimate the mean seasonal value within a year and associated variance using the sum of predictions from the matrix. As a result, each year has a mean value of chlorophyll with an associated confidence interval that describes the modelled expectation for the seasonal period.</w:t>
      </w:r>
    </w:p>
    <w:p>
      <w:pPr>
        <w:pStyle w:val="BodyText"/>
      </w:pPr>
      <w:r>
        <w:t xml:space="preserve">Although the seasonal averages obtained from GAMs describe the expected values for each year, describing the direction and magnitude of the seasonal change across years may also be of interest. Conventionally, trend analysis of changes in a response variable could be achieved with ordinary least squares regression, where the response variable is the expected value of chlorophyll and the predictor is year as a numeric value. Regression analysis could be used to evaluate changes in the seasonal averages described above, although the fit from the regression would under-estimate the uncertainty in the model parameters by not accounting for the variance in the seasonal averages. To better describe the trends in the seasonal averages, we use mixed effects regression meta-analysis to evaluate seasonal changes and their uncertainty over a finite set of years. This analysis is an extension of conventional regression by accounting for different soures of uncertainty attributed to both variation of the true seasonal mean around the trend and variation of the estimated seasonal mean around the true seasonal mean:</w:t>
      </w:r>
    </w:p>
    <w:p>
      <w:pPr>
        <w:pStyle w:val="BodyText"/>
      </w:pPr>
      <m:oMathPara>
        <m:oMathParaPr>
          <m:jc m:val="center"/>
        </m:oMathParaPr>
        <m:oMath>
          <m:r>
            <m:t>c</m:t>
          </m:r>
          <m:r>
            <m:t>h</m:t>
          </m:r>
          <m:sSub>
            <m:e>
              <m:r>
                <m:t>l</m:t>
              </m:r>
            </m:e>
            <m:sub>
              <m:r>
                <m:t>i</m:t>
              </m:r>
            </m:sub>
          </m:sSub>
          <m:r>
            <m:t>=</m:t>
          </m:r>
          <m:sSub>
            <m:e>
              <m:r>
                <m:t>β</m:t>
              </m:r>
            </m:e>
            <m:sub>
              <m:r>
                <m:t>0</m:t>
              </m:r>
            </m:sub>
          </m:sSub>
          <m:r>
            <m:t>+</m:t>
          </m:r>
          <m:sSub>
            <m:e>
              <m:r>
                <m:t>β</m:t>
              </m:r>
            </m:e>
            <m:sub>
              <m:r>
                <m:t>1</m:t>
              </m:r>
            </m:sub>
          </m:sSub>
          <m:r>
            <m:t>y</m:t>
          </m:r>
          <m:r>
            <m:t>e</m:t>
          </m:r>
          <m:r>
            <m:t>a</m:t>
          </m:r>
          <m:sSub>
            <m:e>
              <m:r>
                <m:t>r</m:t>
              </m:r>
            </m:e>
            <m:sub>
              <m:r>
                <m:t>i</m:t>
              </m:r>
            </m:sub>
          </m:sSub>
          <m:r>
            <m:t>+</m:t>
          </m:r>
          <m:sSub>
            <m:e>
              <m:r>
                <m:t>b</m:t>
              </m:r>
            </m:e>
            <m:sub>
              <m:r>
                <m:t>i</m:t>
              </m:r>
            </m:sub>
          </m:sSub>
          <m:r>
            <m:t>+</m:t>
          </m:r>
          <m:sSub>
            <m:e>
              <m:r>
                <m:t>ϵ</m:t>
              </m:r>
            </m:e>
            <m:sub>
              <m:r>
                <m:t>i</m:t>
              </m:r>
            </m:sub>
          </m:sSub>
          <m:r>
            <m:t>  </m:t>
          </m:r>
          <m:r>
            <m:t>(</m:t>
          </m:r>
          <m:r>
            <m:t>9</m:t>
          </m:r>
          <m:r>
            <m:t>)</m:t>
          </m:r>
        </m:oMath>
      </m:oMathPara>
    </w:p>
    <w:p>
      <w:pPr>
        <w:pStyle w:val="FirstParagraph"/>
      </w:pPr>
      <w:r>
        <w:t xml:space="preserve">where the estimated value of chlorophyll at year</w:t>
      </w:r>
      <w:r>
        <w:t xml:space="preserve"> </w:t>
      </w:r>
      <m:oMath>
        <m:r>
          <m:t>i</m:t>
        </m:r>
      </m:oMath>
      <w:r>
        <w:t xml:space="preserve"> </w:t>
      </w:r>
      <w:r>
        <w:t xml:space="preserve">for the predetermined season is a function of the predicted seasonal mean</w:t>
      </w:r>
      <w:r>
        <w:t xml:space="preserve"> </w:t>
      </w:r>
      <m:oMath>
        <m:sSub>
          <m:e>
            <m:r>
              <m:t>β</m:t>
            </m:r>
          </m:e>
          <m:sub>
            <m:r>
              <m:t>0</m:t>
            </m:r>
          </m:sub>
        </m:sSub>
        <m:r>
          <m:t>+</m:t>
        </m:r>
        <m:sSub>
          <m:e>
            <m:r>
              <m:t>β</m:t>
            </m:r>
          </m:e>
          <m:sub>
            <m:r>
              <m:t>1</m:t>
            </m:r>
          </m:sub>
        </m:sSub>
        <m:r>
          <m:t>y</m:t>
        </m:r>
        <m:r>
          <m:t>e</m:t>
        </m:r>
        <m:r>
          <m:t>a</m:t>
        </m:r>
        <m:sSub>
          <m:e>
            <m:r>
              <m:t>r</m:t>
            </m:r>
          </m:e>
          <m:sub>
            <m:r>
              <m:t>i</m:t>
            </m:r>
          </m:sub>
        </m:sSub>
      </m:oMath>
      <w:r>
        <w:t xml:space="preserve"> </w:t>
      </w:r>
      <w:r>
        <w:t xml:space="preserve">plus deviation of the seasonal mean from the trend (</w:t>
      </w:r>
      <m:oMath>
        <m:sSub>
          <m:e>
            <m:r>
              <m:t>b</m:t>
            </m:r>
          </m:e>
          <m:sub>
            <m:r>
              <m:t>i</m:t>
            </m:r>
          </m:sub>
        </m:sSub>
      </m:oMath>
      <w:r>
        <w:t xml:space="preserve">) and devation of the seasonal mean from the true mean (</w:t>
      </w:r>
      <m:oMath>
        <m:sSub>
          <m:e>
            <m:r>
              <m:t>S</m:t>
            </m:r>
          </m:e>
          <m:sub>
            <m:r>
              <m:t>i</m:t>
            </m:r>
          </m:sub>
        </m:sSub>
      </m:oMath>
      <w:r>
        <w:t xml:space="preserve">). Both the error terms are assumed to be normally distributed with mean zero and variance for</w:t>
      </w:r>
      <w:r>
        <w:t xml:space="preserve"> </w:t>
      </w:r>
      <m:oMath>
        <m:sSub>
          <m:e>
            <m:r>
              <m:t>b</m:t>
            </m:r>
          </m:e>
          <m:sub>
            <m:r>
              <m:t>i</m:t>
            </m:r>
          </m:sub>
        </m:sSub>
      </m:oMath>
      <w:r>
        <w:t xml:space="preserve"> </w:t>
      </w:r>
      <w:r>
        <w:t xml:space="preserve">equal to an unknown term and variance for</w:t>
      </w:r>
      <w:r>
        <w:t xml:space="preserve"> </w:t>
      </w:r>
      <m:oMath>
        <m:sSub>
          <m:e>
            <m:r>
              <m:t>ϵ</m:t>
            </m:r>
          </m:e>
          <m:sub>
            <m:r>
              <m:t>i</m:t>
            </m:r>
          </m:sub>
        </m:sSub>
      </m:oMath>
      <w:r>
        <w:t xml:space="preserve"> </w:t>
      </w:r>
      <w:r>
        <w:t xml:space="preserve">equal to the squared standard error from the seasonal chloropyll averages. The R package</w:t>
      </w:r>
      <w:r>
        <w:t xml:space="preserve"> </w:t>
      </w:r>
      <w:r>
        <w:rPr>
          <w:i/>
        </w:rPr>
        <w:t xml:space="preserve">mixmeta</w:t>
      </w:r>
      <w:r>
        <w:t xml:space="preserve"> </w:t>
      </w:r>
      <w:r>
        <w:t xml:space="preserve">was used to estimate trends in the seasonal averages over time</w:t>
      </w:r>
      <w:r>
        <w:t xml:space="preserve"> </w:t>
      </w:r>
      <w:r>
        <w:t xml:space="preserve">(Sera et al.</w:t>
      </w:r>
      <w:r>
        <w:t xml:space="preserve"> </w:t>
      </w:r>
      <w:hyperlink w:anchor="ref-Sera19">
        <w:r>
          <w:rPr>
            <w:rStyle w:val="Hyperlink"/>
          </w:rPr>
          <w:t xml:space="preserve">2019</w:t>
        </w:r>
      </w:hyperlink>
      <w:r>
        <w:t xml:space="preserve">)</w:t>
      </w:r>
      <w:r>
        <w:t xml:space="preserve">. Results appear similar to those from regression analysis (e.g., slope and intercept estimates), although parameter uncertainty is more accurately estimated with mixed meta-analysis.</w:t>
      </w:r>
    </w:p>
    <w:p>
      <w:pPr>
        <w:pStyle w:val="Heading2"/>
      </w:pPr>
      <w:bookmarkStart w:id="34" w:name="model-application-and-interpretation"/>
      <w:r>
        <w:t xml:space="preserve">Model application and interpretation</w:t>
      </w:r>
      <w:bookmarkEnd w:id="34"/>
    </w:p>
    <w:p>
      <w:pPr>
        <w:pStyle w:val="FirstParagraph"/>
      </w:pPr>
      <w:r>
        <w:t xml:space="preserve">Each of the four GAM structures were used to fit models to the chlorophyll time series at each of the nine stations from central to lower South Bay. For each model and station, the fit was assessed using the standard summary statistics described above (i.e., GCV, AIC, and</w:t>
      </w:r>
      <w:r>
        <w:t xml:space="preserve"> </w:t>
      </w:r>
      <m:oMath>
        <m:sSup>
          <m:e>
            <m:r>
              <m:t>R</m:t>
            </m:r>
          </m:e>
          <m:sup>
            <m:r>
              <m:t>2</m:t>
            </m:r>
          </m:sup>
        </m:sSup>
      </m:oMath>
      <w:r>
        <w:t xml:space="preserve">) and relative significance of the individual smoothers terms. Models were also evaluated using different transformations to determine which had improved fit for specific time series. Secondary analyses evaluating trends with fitted GAM predictions were also compared between stations and model types, particularly to determine if and when significant results varied with alternative methods. Temporal and spatial patterns within and between stations were also idenfied to better quanity changes in chlorophyll production throughout the period of record using GAMs to demonstrate improved descriptions relative to interpretations from the observed data.</w:t>
      </w:r>
    </w:p>
    <w:p>
      <w:pPr>
        <w:pStyle w:val="Heading1"/>
      </w:pPr>
      <w:bookmarkStart w:id="35" w:name="results"/>
      <w:r>
        <w:t xml:space="preserve">Results</w:t>
      </w:r>
      <w:bookmarkEnd w:id="35"/>
    </w:p>
    <w:p>
      <w:pPr>
        <w:pStyle w:val="FirstParagraph"/>
      </w:pPr>
      <w:r>
        <w:t xml:space="preserve">Table</w:t>
      </w:r>
      <w:r>
        <w:t xml:space="preserve"> </w:t>
      </w:r>
      <w:r>
        <w:t xml:space="preserve">3</w:t>
      </w:r>
    </w:p>
    <w:p>
      <w:pPr>
        <w:pStyle w:val="Heading1"/>
      </w:pPr>
      <w:bookmarkStart w:id="36" w:name="discussion"/>
      <w:r>
        <w:t xml:space="preserve">Discussion</w:t>
      </w:r>
      <w:bookmarkEnd w:id="36"/>
    </w:p>
    <w:p>
      <w:pPr>
        <w:pStyle w:val="Heading1"/>
      </w:pPr>
      <w:bookmarkStart w:id="37" w:name="conclusions"/>
      <w:r>
        <w:t xml:space="preserve">Conclusions</w:t>
      </w:r>
      <w:bookmarkEnd w:id="37"/>
    </w:p>
    <w:p>
      <w:pPr>
        <w:pStyle w:val="Heading1"/>
      </w:pPr>
      <w:bookmarkStart w:id="38" w:name="acknowledgments"/>
      <w:r>
        <w:t xml:space="preserve">Acknowledgments</w:t>
      </w:r>
      <w:bookmarkEnd w:id="38"/>
    </w:p>
    <w:p>
      <w:pPr>
        <w:pStyle w:val="Heading1"/>
      </w:pPr>
      <w:bookmarkStart w:id="39" w:name="figures"/>
      <w:r>
        <w:t xml:space="preserve">Figures</w:t>
      </w:r>
      <w:bookmarkEnd w:id="39"/>
    </w:p>
    <w:p>
      <w:pPr>
        <w:pStyle w:val="CaptionedFigure"/>
      </w:pPr>
      <w:r>
        <w:drawing>
          <wp:inline>
            <wp:extent cx="5504749" cy="4128561"/>
            <wp:effectExtent b="0" l="0" r="0" t="0"/>
            <wp:docPr descr="Figure 1: General output for each of the four GAM structures in equations (2) to (5). Day of year (Julian) is on the x-axis and each curve represents a different fitted year for chlorophyll concentration." title="" id="1" name="Picture"/>
            <a:graphic>
              <a:graphicData uri="http://schemas.openxmlformats.org/drawingml/2006/picture">
                <pic:pic>
                  <pic:nvPicPr>
                    <pic:cNvPr descr="figs/modsumfig.png" id="0" name="Picture"/>
                    <pic:cNvPicPr>
                      <a:picLocks noChangeArrowheads="1" noChangeAspect="1"/>
                    </pic:cNvPicPr>
                  </pic:nvPicPr>
                  <pic:blipFill>
                    <a:blip r:embed="rId40"/>
                    <a:stretch>
                      <a:fillRect/>
                    </a:stretch>
                  </pic:blipFill>
                  <pic:spPr bwMode="auto">
                    <a:xfrm>
                      <a:off x="0" y="0"/>
                      <a:ext cx="5504749" cy="4128561"/>
                    </a:xfrm>
                    <a:prstGeom prst="rect">
                      <a:avLst/>
                    </a:prstGeom>
                    <a:noFill/>
                    <a:ln w="9525">
                      <a:noFill/>
                      <a:headEnd/>
                      <a:tailEnd/>
                    </a:ln>
                  </pic:spPr>
                </pic:pic>
              </a:graphicData>
            </a:graphic>
          </wp:inline>
        </w:drawing>
      </w:r>
    </w:p>
    <w:p>
      <w:pPr>
        <w:pStyle w:val="ImageCaption"/>
      </w:pPr>
      <w:r>
        <w:t xml:space="preserve">Figure 1: General output for each of the four GAM structures in equations (2) to (5). Day of year (Julian) is on the x-axis and each curve represents a different fitted year for chlorophyll concentration.</w:t>
      </w:r>
    </w:p>
    <w:p>
      <w:pPr>
        <w:pStyle w:val="Heading1"/>
      </w:pPr>
      <w:bookmarkStart w:id="41" w:name="tables"/>
      <w:r>
        <w:t xml:space="preserve">Tables</w:t>
      </w:r>
      <w:bookmarkEnd w:id="41"/>
    </w:p>
    <w:p>
      <w:pPr>
        <w:pStyle w:val="Compact"/>
        <w:pStyle w:val=""/>
      </w:pPr>
      <w:r>
        <w:t xml:space="preserve">Table 1: Station locations, sample sizes, and median values for salnity, dissolved inorganic nitrogen (DIN, sum of ammonia, nitrate, and nitrite), and chlorophyll. Rows are arranged from north to south.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52"/>
        <w:tblLook w:firstRow="1" w:lastRow="0" w:firstColumn="0" w:lastColumn="0" w:noHBand="0" w:noVBand="1"/>
      </w:tblPr>
      <w:tblGrid>
        <w:gridCol w:w="1080"/>
        <w:gridCol w:w="1296"/>
        <w:gridCol w:w="1296"/>
        <w:gridCol w:w="1080"/>
        <w:gridCol w:w="1080"/>
        <w:gridCol w:w="1080"/>
        <w:gridCol w:w="1080"/>
        <w:gridCol w:w="1080"/>
        <w:gridCol w:w="1080"/>
      </w:tblGrid>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Salinity (psu)</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DIN (mg/L)</w:t>
            </w:r>
          </w:p>
        </w:tc>
        <w:tc>
          <w:tcPr>
            <w:gridSpan w:val="2"/>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000000"/>
              </w:rPr>
              <w:t xml:space="preserve">Chl-a (ug/L)</w:t>
            </w:r>
          </w:p>
        </w:tc>
      </w:tr>
      <w:tr>
        <w:trPr>
          <w:cantSplit/>
          <w:trHeight w:val="360" w:hRule="auto"/>
          <w:tblHeader/>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Latitude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Longitude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Med.</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37.836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-122.418</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29.9</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276</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23.3</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37.752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-122.334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37.517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37.468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w:t>
            </w:r>
          </w:p>
        </w:tc>
      </w:tr>
    </w:tbl>
    <w:p>
      <w:pPr>
        <w:pStyle w:val="TableCaption"/>
      </w:pPr>
      <w:r>
        <w:t xml:space="preserve">Table 2: Summary and details for each of the GAM structures in equations (2) to (5).</w:t>
      </w:r>
    </w:p>
    <w:tbl>
      <w:tblPr>
        <w:tblStyle w:val="Table"/>
        <w:tblW w:type="pct" w:w="0.0"/>
        <w:tblLook w:firstRow="1"/>
        <w:tblCaption w:val="Table 2: Summary and details for each of the GAM structures in equations (2) to (5)."/>
      </w:tblPr>
      <w:tblGrid/>
      <w:tr>
        <w:trPr>
          <w:cnfStyle w:firstRow="1"/>
        </w:trPr>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Summary</w:t>
            </w:r>
          </w:p>
        </w:tc>
        <w:tc>
          <w:tcPr>
            <w:tcBorders>
              <w:bottom w:val="single"/>
            </w:tcBorders>
            <w:vAlign w:val="bottom"/>
          </w:tcPr>
          <w:p>
            <w:pPr>
              <w:pStyle w:val="Compact"/>
              <w:jc w:val="left"/>
            </w:pPr>
            <w:r>
              <w:t xml:space="preserve">Details</w:t>
            </w:r>
          </w:p>
        </w:tc>
      </w:tr>
      <w:tr>
        <w:tc>
          <w:p>
            <w:pPr>
              <w:pStyle w:val="Compact"/>
              <w:jc w:val="left"/>
            </w:pPr>
            <w:r>
              <w:rPr>
                <w:rStyle w:val="VerbatimChar"/>
              </w:rPr>
              <w:t xml:space="preserve">gam0</w:t>
            </w:r>
          </w:p>
        </w:tc>
        <w:tc>
          <w:p>
            <w:pPr>
              <w:pStyle w:val="Compact"/>
              <w:jc w:val="left"/>
            </w:pPr>
            <w:r>
              <w:t xml:space="preserve">Linear trend with seasonality</w:t>
            </w:r>
          </w:p>
        </w:tc>
        <w:tc>
          <w:p>
            <w:pPr>
              <w:pStyle w:val="Compact"/>
              <w:jc w:val="left"/>
            </w:pPr>
            <w:r>
              <w:t xml:space="preserve">A linear trend in time over the course of the time series (cyear); and Within-year seasonal fluctuations that follow the same pattern every year - e.g. large spring bloom and small fall bloom (</w:t>
            </w:r>
            <w:r>
              <w:rPr>
                <w:rStyle w:val="VerbatimChar"/>
              </w:rPr>
              <w:t xml:space="preserve">s(doy, bs = "cc")</w:t>
            </w:r>
            <w:r>
              <w:t xml:space="preserve">)</w:t>
            </w:r>
          </w:p>
        </w:tc>
      </w:tr>
      <w:tr>
        <w:tc>
          <w:p>
            <w:pPr>
              <w:pStyle w:val="Compact"/>
              <w:jc w:val="left"/>
            </w:pPr>
            <w:r>
              <w:rPr>
                <w:rStyle w:val="VerbatimChar"/>
              </w:rPr>
              <w:t xml:space="preserve">gam1</w:t>
            </w:r>
          </w:p>
        </w:tc>
        <w:tc>
          <w:p>
            <w:pPr>
              <w:pStyle w:val="Compact"/>
              <w:jc w:val="left"/>
            </w:pPr>
            <w:r>
              <w:t xml:space="preserve">Nonlinear trends seasonality (constrained knots)</w:t>
            </w:r>
          </w:p>
        </w:tc>
        <w:tc>
          <w:p>
            <w:pPr>
              <w:pStyle w:val="Compact"/>
              <w:jc w:val="left"/>
            </w:pPr>
            <w:r>
              <w:t xml:space="preserve">Treats cyear and doy same as gam0; and A smooth non-linear trend through time, such that the seasonal peaks are similar across years, but interannual change is evident</w:t>
            </w:r>
          </w:p>
        </w:tc>
      </w:tr>
      <w:tr>
        <w:tc>
          <w:p>
            <w:pPr>
              <w:pStyle w:val="Compact"/>
              <w:jc w:val="left"/>
            </w:pPr>
            <w:r>
              <w:rPr>
                <w:rStyle w:val="VerbatimChar"/>
              </w:rPr>
              <w:t xml:space="preserve">gam2</w:t>
            </w:r>
          </w:p>
        </w:tc>
        <w:tc>
          <w:p>
            <w:pPr>
              <w:pStyle w:val="Compact"/>
              <w:jc w:val="left"/>
            </w:pPr>
            <w:r>
              <w:t xml:space="preserve">Nonlinear trends wiht seasonality, plus interaction</w:t>
            </w:r>
          </w:p>
        </w:tc>
        <w:tc>
          <w:p>
            <w:pPr>
              <w:pStyle w:val="Compact"/>
              <w:jc w:val="left"/>
            </w:pPr>
            <w:r>
              <w:t xml:space="preserve">Treats cyear and doy same as gam1; and Within-year seasonal fluctuations that vary across years but in a constrained pattern compared to gam6 (</w:t>
            </w:r>
            <w:r>
              <w:rPr>
                <w:rStyle w:val="VerbatimChar"/>
              </w:rPr>
              <w:t xml:space="preserve">ti(year, doy, bs = c("tp", "cc"))</w:t>
            </w:r>
            <w:r>
              <w:t xml:space="preserve">)</w:t>
            </w:r>
          </w:p>
        </w:tc>
      </w:tr>
      <w:tr>
        <w:tc>
          <w:p>
            <w:pPr>
              <w:pStyle w:val="Compact"/>
              <w:jc w:val="left"/>
            </w:pPr>
            <w:r>
              <w:rPr>
                <w:rStyle w:val="VerbatimChar"/>
              </w:rPr>
              <w:t xml:space="preserve">gam6</w:t>
            </w:r>
          </w:p>
        </w:tc>
        <w:tc>
          <w:p>
            <w:pPr>
              <w:pStyle w:val="Compact"/>
              <w:jc w:val="left"/>
            </w:pPr>
            <w:r>
              <w:t xml:space="preserve">Nonelinear trends with seasonality (unconstrained knots)</w:t>
            </w:r>
          </w:p>
        </w:tc>
        <w:tc>
          <w:p>
            <w:pPr>
              <w:pStyle w:val="Compact"/>
              <w:jc w:val="left"/>
            </w:pPr>
            <w:r>
              <w:t xml:space="preserve">Variant of gam1 with much higher values of k, allowing the splines to follow greater fluctuations both within and across years.</w:t>
            </w:r>
          </w:p>
        </w:tc>
      </w:tr>
    </w:tbl>
    <w:p>
      <w:pPr>
        <w:pStyle w:val="Compact"/>
        <w:pStyle w:val=""/>
      </w:pPr>
      <w:r>
        <w:t xml:space="preserve">Table 3: Model performance statistics for each station and GAM structure (Table</w:t>
      </w:r>
      <w:r>
        <w:t xml:space="preserve"> </w:t>
      </w:r>
      <w:r>
        <w:t xml:space="preserve">2</w:t>
      </w:r>
      <w:r>
        <w:t xml:space="preserve">). Four GAMs were fit to each station and performance is summarized as</w:t>
      </w:r>
      <w:r>
        <w:t xml:space="preserve"> </w:t>
      </w:r>
      <m:oMath>
        <m:r>
          <m:t>Δ</m:t>
        </m:r>
      </m:oMath>
      <w:r>
        <w:t xml:space="preserve"> </w:t>
      </w:r>
      <w:r>
        <w:t xml:space="preserve">AIC (from</w:t>
      </w:r>
      <w:r>
        <w:t xml:space="preserve"> </w:t>
      </w:r>
      <w:r>
        <w:rPr>
          <w:rStyle w:val="VerbatimChar"/>
        </w:rPr>
        <w:t xml:space="preserve">gam0</w:t>
      </w:r>
      <w:r>
        <w:t xml:space="preserve">), GCV, and R-squared values. Models with the lowest AIC, GCV and highest R-squared values for each station are emphasized. Probability values (</w:t>
      </w:r>
      <w:r>
        <w:t xml:space="preserve">“</w:t>
      </w:r>
      <w:r>
        <w:t xml:space="preserve">P-value</w:t>
      </w:r>
      <w:r>
        <w:t xml:space="preserve">”</w:t>
      </w:r>
      <w:r>
        <w:t xml:space="preserve">) show the results of Analysis of Variance comparisons between all models at a station. The p-value for a row refers to the comparison of the model in the current row to the one preceeding. Values indicate ns for not significantly different at</w:t>
      </w:r>
      <w:r>
        <w:t xml:space="preserve"> </w:t>
      </w:r>
      <m:oMath>
        <m:r>
          <m:t>α</m:t>
        </m:r>
        <m:r>
          <m:t>=</m:t>
        </m:r>
        <m:r>
          <m:t>0.05</m:t>
        </m:r>
      </m:oMath>
      <w:r>
        <w:t xml:space="preserve">, *</w:t>
      </w:r>
      <w:r>
        <w:t xml:space="preserve"> </w:t>
      </w:r>
      <m:oMath>
        <m:r>
          <m:t>p</m:t>
        </m:r>
        <m:r>
          <m:t>&lt;</m:t>
        </m:r>
        <m:r>
          <m:t>0.05</m:t>
        </m:r>
      </m:oMath>
      <w:r>
        <w:t xml:space="preserve">, and **</w:t>
      </w:r>
      <w:r>
        <w:t xml:space="preserve"> </w:t>
      </w:r>
      <m:oMath>
        <m:r>
          <m:t>p</m:t>
        </m:r>
        <m:r>
          <m:t>&lt;</m:t>
        </m:r>
        <m:r>
          <m:t>0.005</m:t>
        </m:r>
      </m:oMath>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293"/>
        <w:tblLook w:firstRow="1" w:lastRow="0" w:firstColumn="0" w:lastColumn="0" w:noHBand="0" w:noVBand="1"/>
      </w:tblPr>
      <w:tblGrid>
        <w:gridCol w:w="1158"/>
        <w:gridCol w:w="1011"/>
        <w:gridCol w:w="1438"/>
        <w:gridCol w:w="931"/>
        <w:gridCol w:w="1531"/>
        <w:gridCol w:w="1224"/>
      </w:tblGrid>
      <w:tr>
        <w:trPr>
          <w:cantSplit/>
          <w:trHeight w:val="470" w:hRule="auto"/>
          <w:tblHeader/>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Delta AIC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GCV</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R-squared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P-value</w:t>
            </w:r>
          </w:p>
        </w:tc>
      </w:tr>
      <w:tr>
        <w:trPr>
          <w:cantSplit/>
          <w:trHeight w:val="474"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w:t>
            </w:r>
          </w:p>
        </w:tc>
        <w:tc>
          <w:tcPr>
            <w:tcBorders>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ns</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-100.1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0.55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-339.3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-421.6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-235.1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r>
      <w:tr>
        <w:trPr>
          <w:cantSplit/>
          <w:trHeight w:val="47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onsolas" w:hAnsi="Consolas" w:eastAsia="Consolas" w:cs="Consolas"/>
                <w:sz w:val="24"/>
                <w:szCs w:val="24"/>
                <w:color w:val="111111"/>
              </w:rPr>
              <w:t xml:space="preserve">gam6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-289.6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4"/>
                <w:szCs w:val="24"/>
                <w:color w:val="111111"/>
              </w:rPr>
              <w:t xml:space="preserve">0.73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t>
            </w:r>
          </w:p>
        </w:tc>
      </w:tr>
    </w:tbl>
    <w:p>
      <w:pPr>
        <w:pStyle w:val="Heading1"/>
      </w:pPr>
      <w:bookmarkStart w:id="42" w:name="references"/>
      <w:r>
        <w:t xml:space="preserve">References</w:t>
      </w:r>
      <w:bookmarkEnd w:id="42"/>
    </w:p>
    <w:bookmarkStart w:id="54" w:name="refs"/>
    <w:bookmarkStart w:id="43" w:name="ref-Box64"/>
    <w:p>
      <w:pPr>
        <w:pStyle w:val="Bibliography"/>
      </w:pPr>
      <w:r>
        <w:t xml:space="preserve">Box, G. E. P., and D. R. Cox. 1964. An analysis of transformations (with discussion). Journal of the Royal Statistical Society (B) 26:211–252.</w:t>
      </w:r>
    </w:p>
    <w:bookmarkEnd w:id="43"/>
    <w:bookmarkStart w:id="44" w:name="ref-Cloern16"/>
    <w:p>
      <w:pPr>
        <w:pStyle w:val="Bibliography"/>
      </w:pPr>
      <w:r>
        <w:t xml:space="preserve">Cloern, J. E., and T. S. Schraga. 2016. USGS measurements of water quality in San Francisco Bay (CA), 1969-2015: U.S. Geological Survey data release. https://doi.org/10.5066/F7TQ5ZPR.</w:t>
      </w:r>
    </w:p>
    <w:bookmarkEnd w:id="44"/>
    <w:bookmarkStart w:id="45" w:name="ref-Hastie90"/>
    <w:p>
      <w:pPr>
        <w:pStyle w:val="Bibliography"/>
      </w:pPr>
      <w:r>
        <w:t xml:space="preserve">Generalized additive models. 1990.. Page 335. Chapman; Hall, London, New York.</w:t>
      </w:r>
    </w:p>
    <w:bookmarkEnd w:id="45"/>
    <w:bookmarkStart w:id="46" w:name="ref-Hyndman20"/>
    <w:p>
      <w:pPr>
        <w:pStyle w:val="Bibliography"/>
      </w:pPr>
      <w:r>
        <w:t xml:space="preserve">Hyndman, R., G. Athanasopoulos, C. Bergmeir, G. Caceres, L. Chhay, M. O’Hara-Wild, F. Petropoulos, S. Razbash, E. Wang, and F. Yasmeen. 2020. forecast: Forecasting functions for time series and linear models.</w:t>
      </w:r>
    </w:p>
    <w:bookmarkEnd w:id="46"/>
    <w:bookmarkStart w:id="47" w:name="ref-Murphy19"/>
    <w:p>
      <w:pPr>
        <w:pStyle w:val="Bibliography"/>
      </w:pPr>
      <w:r>
        <w:t xml:space="preserve">Murphy, R. R., E. Perry, J. Harcum, and J. Keisman. 2019. A Generalized Additive Model Approach to evaluating water quality: Chesapeake Bay case study. Environmenal Modelling &amp; Software 118:1–13.</w:t>
      </w:r>
    </w:p>
    <w:bookmarkEnd w:id="47"/>
    <w:bookmarkStart w:id="48" w:name="ref-Schraga20"/>
    <w:p>
      <w:pPr>
        <w:pStyle w:val="Bibliography"/>
      </w:pPr>
      <w:r>
        <w:t xml:space="preserve">Schraga, T. S., E. S. Nejad, C. A. Martin, and J. E. Cloern. 2020. USGS measurements of water quality in San Francisco (CA), beginning in 2016 (ver. 3.0, March 2020): U.S. Geological Survey data release. https://doi.org/10.5066/F7D21WGF.</w:t>
      </w:r>
    </w:p>
    <w:bookmarkEnd w:id="48"/>
    <w:bookmarkStart w:id="49" w:name="ref-Sera19"/>
    <w:p>
      <w:pPr>
        <w:pStyle w:val="Bibliography"/>
      </w:pPr>
      <w:r>
        <w:t xml:space="preserve">Sera, F., B. Armstrong, M. Blangiardo, and A. Gasparrini. 2019. An extended mixed-effects framework for meta-analysis. Statistics in Medicine 38:5429–5444.</w:t>
      </w:r>
    </w:p>
    <w:bookmarkEnd w:id="49"/>
    <w:bookmarkStart w:id="50" w:name="ref-Venables02"/>
    <w:p>
      <w:pPr>
        <w:pStyle w:val="Bibliography"/>
      </w:pPr>
      <w:r>
        <w:t xml:space="preserve">Venables, W. N., and B. D. Ripley. 2002. Modern applied statistics with S. Fourth. Springer-Verlag, New York, New York.</w:t>
      </w:r>
    </w:p>
    <w:bookmarkEnd w:id="50"/>
    <w:bookmarkStart w:id="51" w:name="ref-Wood03"/>
    <w:p>
      <w:pPr>
        <w:pStyle w:val="Bibliography"/>
      </w:pPr>
      <w:r>
        <w:t xml:space="preserve">Wood, S. N. 2003. Thin-plate regression splines. Journal of the Royal Statistical Society (B) 65:95–114.</w:t>
      </w:r>
    </w:p>
    <w:bookmarkEnd w:id="51"/>
    <w:bookmarkStart w:id="52" w:name="ref-Wood17"/>
    <w:p>
      <w:pPr>
        <w:pStyle w:val="Bibliography"/>
      </w:pPr>
      <w:r>
        <w:t xml:space="preserve">Wood, S. N. 2017. Generalized additive models: An introduction with r. Page 476. 2nd editions. Chapman; Hall, CRC Press, London, United Kingdom.</w:t>
      </w:r>
    </w:p>
    <w:bookmarkEnd w:id="52"/>
    <w:bookmarkStart w:id="53" w:name="ref-Yang20"/>
    <w:p>
      <w:pPr>
        <w:pStyle w:val="Bibliography"/>
      </w:pPr>
      <w:r>
        <w:t xml:space="preserve">Yang, G., and D. L. Moyer. 2020. Estimation of nonlinear water-quality trends in high-frequency monitoring data. Science of The Total Enviornment 715:10.1016/j.scitotenv.2020.136686.</w:t>
      </w:r>
    </w:p>
    <w:bookmarkEnd w:id="53"/>
    <w:bookmarkEnd w:id="54"/>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0" Target="media/rId40.png" /><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article/10.1007/s12237-020-00737-w" TargetMode="Externa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2020-06-01T20:46:47Z</dcterms:created>
  <dcterms:modified xsi:type="dcterms:W3CDTF">2020-06-01T20:46:47Z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ecology.csl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