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2020-05-29 11:13:18</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(Table</w:t>
      </w:r>
      <w:r>
        <w:t xml:space="preserve"> </w:t>
      </w:r>
      <w:r>
        <w:t xml:space="preserve">1</w:t>
      </w:r>
      <w:r>
        <w:t xml:space="preserve">).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(Table</w:t>
      </w:r>
      <w:r>
        <w:t xml:space="preserve"> </w:t>
      </w:r>
      <w:r>
        <w:t xml:space="preserve">2</w:t>
      </w:r>
      <w:r>
        <w:t xml:space="preserve">, Figure</w:t>
      </w:r>
      <w:r>
        <w:t xml:space="preserve"> </w:t>
      </w:r>
      <w:r>
        <w:t xml:space="preserve">1</w:t>
      </w:r>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(Table</w:t>
      </w:r>
      <w:r>
        <w:t xml:space="preserve"> </w:t>
      </w:r>
      <w:r>
        <w:t xml:space="preserve">2</w:t>
      </w:r>
      <w:r>
        <w:t xml:space="preserve">, Figure</w:t>
      </w:r>
      <w:r>
        <w:t xml:space="preserve"> </w:t>
      </w:r>
      <w:r>
        <w:t xml:space="preserve">1</w:t>
      </w:r>
      <w:r>
        <w:t xml:space="preserve">).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Yang and Moyer (</w:t>
      </w:r>
      <w:hyperlink w:anchor="ref-Yang20">
        <w:r>
          <w:rPr>
            <w:rStyle w:val="Hyperlink"/>
          </w:rPr>
          <w:t xml:space="preserve">2020</w:t>
        </w:r>
      </w:hyperlink>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FirstParagraph"/>
      </w:pPr>
      <w:r>
        <w:t xml:space="preserve">Table</w:t>
      </w:r>
      <w:r>
        <w:t xml:space="preserve"> </w:t>
      </w:r>
      <w:r>
        <w:t xml:space="preserve">3</w:t>
      </w:r>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CaptionedFigure"/>
      </w:pPr>
      <w:r>
        <w:drawing>
          <wp:inline>
            <wp:extent cx="5504749" cy="4128561"/>
            <wp:effectExtent b="0" l="0" r="0" t="0"/>
            <wp:docPr descr="Figure 1: General output for each of the four GAM structures in equations (2) to (5). Day of year (Julian) is on the x-axis and each curve represents a different fitted year for chlorophyll concentration." title="" id="1" name="Picture"/>
            <a:graphic>
              <a:graphicData uri="http://schemas.openxmlformats.org/drawingml/2006/picture">
                <pic:pic>
                  <pic:nvPicPr>
                    <pic:cNvPr descr="figs/modsumfig.png" id="0" name="Picture"/>
                    <pic:cNvPicPr>
                      <a:picLocks noChangeArrowheads="1" noChangeAspect="1"/>
                    </pic:cNvPicPr>
                  </pic:nvPicPr>
                  <pic:blipFill>
                    <a:blip r:embed="rId40"/>
                    <a:stretch>
                      <a:fillRect/>
                    </a:stretch>
                  </pic:blipFill>
                  <pic:spPr bwMode="auto">
                    <a:xfrm>
                      <a:off x="0" y="0"/>
                      <a:ext cx="5504749" cy="4128561"/>
                    </a:xfrm>
                    <a:prstGeom prst="rect">
                      <a:avLst/>
                    </a:prstGeom>
                    <a:noFill/>
                    <a:ln w="9525">
                      <a:noFill/>
                      <a:headEnd/>
                      <a:tailEnd/>
                    </a:ln>
                  </pic:spPr>
                </pic:pic>
              </a:graphicData>
            </a:graphic>
          </wp:inline>
        </w:drawing>
      </w:r>
    </w:p>
    <w:p>
      <w:pPr>
        <w:pStyle w:val="ImageCaption"/>
      </w:pPr>
      <w:r>
        <w:t xml:space="preserve">Figure 1: General output for each of the four GAM structures in equations (2) to (5). Day of year (Julian) is on the x-axis and each curve represents a different fitted year for chlorophyll concentration.</w:t>
      </w:r>
    </w:p>
    <w:p>
      <w:pPr>
        <w:pStyle w:val="Heading1"/>
      </w:pPr>
      <w:bookmarkStart w:id="41" w:name="tables"/>
      <w:r>
        <w:t xml:space="preserve">Tables</w:t>
      </w:r>
      <w:bookmarkEnd w:id="41"/>
    </w:p>
    <w:p>
      <w:pPr>
        <w:pStyle w:val="Compact"/>
        <w:pStyle w:val=""/>
      </w:pPr>
      <w:r>
        <w:t xml:space="preserve">Table 1: Station locations, sample sizes, and median values for salnity, dissolved inorganic nitrogen (DIN, sum of ammonia, nitrate, and nitrite), and chlorophyll. Rows are arranged from north to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52"/>
        <w:tblLook w:firstRow="1" w:lastRow="0" w:firstColumn="0" w:lastColumn="0" w:noHBand="0" w:noVBand="1"/>
      </w:tblPr>
      <w:tblGrid>
        <w:gridCol w:w="1080"/>
        <w:gridCol w:w="1296"/>
        <w:gridCol w:w="1296"/>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Salinity (psu)</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DIN (mg/L)</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Chl-a (ug/L)</w:t>
            </w:r>
          </w:p>
        </w:tc>
      </w:tr>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Latitude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Longitude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37.836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-122.418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w:t>
            </w:r>
          </w:p>
        </w:tc>
      </w:tr>
    </w:tbl>
    <w:p>
      <w:pPr>
        <w:pStyle w:val="TableCaption"/>
      </w:pPr>
      <w:r>
        <w:t xml:space="preserve">Table 2: Summary and details for each of the GAM structures in equations (2) to (5).</w:t>
      </w:r>
    </w:p>
    <w:tbl>
      <w:tblPr>
        <w:tblStyle w:val="Table"/>
        <w:tblW w:type="pct" w:w="0.0"/>
        <w:tblLook w:firstRow="1"/>
        <w:tblCaption w:val="Table 2: Summary and details for each of the GAM structures in equations (2) to (5)."/>
      </w:tblPr>
      <w:tblGrid/>
      <w:tr>
        <w:trPr>
          <w:cnfStyle w:firstRow="1"/>
        </w:trPr>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Details</w:t>
            </w:r>
          </w:p>
        </w:tc>
      </w:tr>
      <w:tr>
        <w:tc>
          <w:p>
            <w:pPr>
              <w:pStyle w:val="Compact"/>
              <w:jc w:val="left"/>
            </w:pPr>
            <w:r>
              <w:rPr>
                <w:rStyle w:val="VerbatimChar"/>
              </w:rPr>
              <w:t xml:space="preserve">gam0</w:t>
            </w:r>
          </w:p>
        </w:tc>
        <w:tc>
          <w:p>
            <w:pPr>
              <w:pStyle w:val="Compact"/>
              <w:jc w:val="left"/>
            </w:pPr>
            <w:r>
              <w:t xml:space="preserve">Linear trend with seasonality</w:t>
            </w:r>
          </w:p>
        </w:tc>
        <w:tc>
          <w:p>
            <w:pPr>
              <w:pStyle w:val="Compact"/>
              <w:jc w:val="left"/>
            </w:pPr>
            <w:r>
              <w:t xml:space="preserve">A linear trend in time over the course of the time series (cyear); and Within-year seasonal fluctuations that follow the same pattern every year - e.g. large spring bloom and small fall bloom (</w:t>
            </w:r>
            <w:r>
              <w:rPr>
                <w:rStyle w:val="VerbatimChar"/>
              </w:rPr>
              <w:t xml:space="preserve">s(doy, bs = "cc")</w:t>
            </w:r>
            <w:r>
              <w:t xml:space="preserve">)</w:t>
            </w:r>
          </w:p>
        </w:tc>
      </w:tr>
      <w:tr>
        <w:tc>
          <w:p>
            <w:pPr>
              <w:pStyle w:val="Compact"/>
              <w:jc w:val="left"/>
            </w:pPr>
            <w:r>
              <w:rPr>
                <w:rStyle w:val="VerbatimChar"/>
              </w:rPr>
              <w:t xml:space="preserve">gam1</w:t>
            </w:r>
          </w:p>
        </w:tc>
        <w:tc>
          <w:p>
            <w:pPr>
              <w:pStyle w:val="Compact"/>
              <w:jc w:val="left"/>
            </w:pPr>
            <w:r>
              <w:t xml:space="preserve">Nonlinear trends seasonality (constrained knots)</w:t>
            </w:r>
          </w:p>
        </w:tc>
        <w:tc>
          <w:p>
            <w:pPr>
              <w:pStyle w:val="Compact"/>
              <w:jc w:val="left"/>
            </w:pPr>
            <w:r>
              <w:t xml:space="preserve">Treats cyear and doy same as gam0; and A smooth non-linear trend through time, such that the seasonal peaks are similar across years, but interannual change is evident</w:t>
            </w:r>
          </w:p>
        </w:tc>
      </w:tr>
      <w:tr>
        <w:tc>
          <w:p>
            <w:pPr>
              <w:pStyle w:val="Compact"/>
              <w:jc w:val="left"/>
            </w:pPr>
            <w:r>
              <w:rPr>
                <w:rStyle w:val="VerbatimChar"/>
              </w:rPr>
              <w:t xml:space="preserve">gam2</w:t>
            </w:r>
          </w:p>
        </w:tc>
        <w:tc>
          <w:p>
            <w:pPr>
              <w:pStyle w:val="Compact"/>
              <w:jc w:val="left"/>
            </w:pPr>
            <w:r>
              <w:t xml:space="preserve">Nonlinear trends wiht seasonality, plus interaction</w:t>
            </w:r>
          </w:p>
        </w:tc>
        <w:tc>
          <w:p>
            <w:pPr>
              <w:pStyle w:val="Compact"/>
              <w:jc w:val="left"/>
            </w:pPr>
            <w:r>
              <w:t xml:space="preserve">Treats cyear and doy same as gam1; and Within-year seasonal fluctuations that vary across years but in a constrained pattern compared to gam6 (</w:t>
            </w:r>
            <w:r>
              <w:rPr>
                <w:rStyle w:val="VerbatimChar"/>
              </w:rPr>
              <w:t xml:space="preserve">ti(year, doy, bs = c("tp", "cc"))</w:t>
            </w:r>
            <w:r>
              <w:t xml:space="preserve">)</w:t>
            </w:r>
          </w:p>
        </w:tc>
      </w:tr>
      <w:tr>
        <w:tc>
          <w:p>
            <w:pPr>
              <w:pStyle w:val="Compact"/>
              <w:jc w:val="left"/>
            </w:pPr>
            <w:r>
              <w:rPr>
                <w:rStyle w:val="VerbatimChar"/>
              </w:rPr>
              <w:t xml:space="preserve">gam6</w:t>
            </w:r>
          </w:p>
        </w:tc>
        <w:tc>
          <w:p>
            <w:pPr>
              <w:pStyle w:val="Compact"/>
              <w:jc w:val="left"/>
            </w:pPr>
            <w:r>
              <w:t xml:space="preserve">Nonelinear trends with seasonality (unconstrained knots)</w:t>
            </w:r>
          </w:p>
        </w:tc>
        <w:tc>
          <w:p>
            <w:pPr>
              <w:pStyle w:val="Compact"/>
              <w:jc w:val="left"/>
            </w:pPr>
            <w:r>
              <w:t xml:space="preserve">Variant of gam1 with much higher values of k, allowing the splines to follow greater fluctuations both within and across years.</w:t>
            </w:r>
          </w:p>
        </w:tc>
      </w:tr>
    </w:tbl>
    <w:p>
      <w:pPr>
        <w:pStyle w:val="Compact"/>
        <w:pStyle w:val=""/>
      </w:pPr>
      <w:r>
        <w:t xml:space="preserve">Table 3: Model performance statistics for each station and GAM structure (Table</w:t>
      </w:r>
      <w:r>
        <w:t xml:space="preserve"> </w:t>
      </w:r>
      <w:r>
        <w:t xml:space="preserve">2</w:t>
      </w:r>
      <w:r>
        <w:t xml:space="preserve">). Four GAMs were fit to each station and performance is summarized as</w:t>
      </w:r>
      <w:r>
        <w:t xml:space="preserve"> </w:t>
      </w:r>
      <m:oMath>
        <m:r>
          <m:t>Δ</m:t>
        </m:r>
      </m:oMath>
      <w:r>
        <w:t xml:space="preserve"> </w:t>
      </w:r>
      <w:r>
        <w:t xml:space="preserve">AIC (from</w:t>
      </w:r>
      <w:r>
        <w:t xml:space="preserve"> </w:t>
      </w:r>
      <w:r>
        <w:rPr>
          <w:rStyle w:val="VerbatimChar"/>
        </w:rPr>
        <w:t xml:space="preserve">gam0</w:t>
      </w:r>
      <w:r>
        <w:t xml:space="preserve">), GCV, and R-squared values. Models with the lowest AIC, GCV and highest R-squared values for each station are emphasized.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69"/>
        <w:tblLook w:firstRow="1" w:lastRow="0" w:firstColumn="0" w:lastColumn="0" w:noHBand="0" w:noVBand="1"/>
      </w:tblPr>
      <w:tblGrid>
        <w:gridCol w:w="1158"/>
        <w:gridCol w:w="1011"/>
        <w:gridCol w:w="1438"/>
        <w:gridCol w:w="931"/>
        <w:gridCol w:w="1531"/>
      </w:tblGrid>
      <w:tr>
        <w:trPr>
          <w:cantSplit/>
          <w:trHeight w:val="47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Delta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R-squared</w:t>
            </w:r>
          </w:p>
        </w:tc>
      </w:tr>
      <w:tr>
        <w:trPr>
          <w:cantSplit/>
          <w:trHeight w:val="474"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0.69</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0.71</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0.43</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-421.6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0.41</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0.66</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-289.6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0.73</w:t>
            </w:r>
          </w:p>
        </w:tc>
      </w:tr>
    </w:tbl>
    <w:p>
      <w:pPr>
        <w:pStyle w:val="Heading1"/>
      </w:pPr>
      <w:bookmarkStart w:id="42" w:name="references"/>
      <w:r>
        <w:t xml:space="preserve">References</w:t>
      </w:r>
      <w:bookmarkEnd w:id="42"/>
    </w:p>
    <w:bookmarkStart w:id="54" w:name="refs"/>
    <w:bookmarkStart w:id="43" w:name="ref-Box64"/>
    <w:p>
      <w:pPr>
        <w:pStyle w:val="Bibliography"/>
      </w:pPr>
      <w:r>
        <w:t xml:space="preserve">Box, G. E. P., and D. R. Cox. 1964. An analysis of transformations (with discussion). Journal of the Royal Statistical Society (B) 26:211–252.</w:t>
      </w:r>
    </w:p>
    <w:bookmarkEnd w:id="43"/>
    <w:bookmarkStart w:id="44" w:name="ref-Cloern16"/>
    <w:p>
      <w:pPr>
        <w:pStyle w:val="Bibliography"/>
      </w:pPr>
      <w:r>
        <w:t xml:space="preserve">Cloern, J. E., and T. S. Schraga. 2016. USGS measurements of water quality in San Francisco Bay (CA), 1969-2015: U.S. Geological Survey data release. https://doi.org/10.5066/F7TQ5ZPR.</w:t>
      </w:r>
    </w:p>
    <w:bookmarkEnd w:id="44"/>
    <w:bookmarkStart w:id="45" w:name="ref-Hastie90"/>
    <w:p>
      <w:pPr>
        <w:pStyle w:val="Bibliography"/>
      </w:pPr>
      <w:r>
        <w:t xml:space="preserve">Generalized additive models. 1990.. Page 335. Chapman; Hall, London, New York.</w:t>
      </w:r>
    </w:p>
    <w:bookmarkEnd w:id="45"/>
    <w:bookmarkStart w:id="46"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6"/>
    <w:bookmarkStart w:id="47"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7"/>
    <w:bookmarkStart w:id="48"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8"/>
    <w:bookmarkStart w:id="49" w:name="ref-Sera19"/>
    <w:p>
      <w:pPr>
        <w:pStyle w:val="Bibliography"/>
      </w:pPr>
      <w:r>
        <w:t xml:space="preserve">Sera, F., B. Armstrong, M. Blangiardo, and A. Gasparrini. 2019. An extended mixed-effects framework for meta-analysis. Statistics in Medicine 38:5429–5444.</w:t>
      </w:r>
    </w:p>
    <w:bookmarkEnd w:id="49"/>
    <w:bookmarkStart w:id="50" w:name="ref-Venables02"/>
    <w:p>
      <w:pPr>
        <w:pStyle w:val="Bibliography"/>
      </w:pPr>
      <w:r>
        <w:t xml:space="preserve">Venables, W. N., and B. D. Ripley. 2002. Modern applied statistics with S. Fourth. Springer-Verlag, New York, New York.</w:t>
      </w:r>
    </w:p>
    <w:bookmarkEnd w:id="50"/>
    <w:bookmarkStart w:id="51" w:name="ref-Wood03"/>
    <w:p>
      <w:pPr>
        <w:pStyle w:val="Bibliography"/>
      </w:pPr>
      <w:r>
        <w:t xml:space="preserve">Wood, S. N. 2003. Thin-plate regression splines. Journal of the Royal Statistical Society (B) 65:95–114.</w:t>
      </w:r>
    </w:p>
    <w:bookmarkEnd w:id="51"/>
    <w:bookmarkStart w:id="52" w:name="ref-Wood17"/>
    <w:p>
      <w:pPr>
        <w:pStyle w:val="Bibliography"/>
      </w:pPr>
      <w:r>
        <w:t xml:space="preserve">Wood, S. N. 2017. Generalized additive models: An introduction with r. Page 476. 2nd editions. Chapman; Hall, CRC Press, London, United Kingdom.</w:t>
      </w:r>
    </w:p>
    <w:bookmarkEnd w:id="52"/>
    <w:bookmarkStart w:id="53" w:name="ref-Yang20"/>
    <w:p>
      <w:pPr>
        <w:pStyle w:val="Bibliography"/>
      </w:pPr>
      <w:r>
        <w:t xml:space="preserve">Yang, G., and D. L. Moyer. 2020. Estimation of nonlinear water-quality trends in high-frequency monitoring data. Science of The Total Enviornment 715:10.1016/j.scitotenv.2020.136686.</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2020-05-29T15:13:37Z</dcterms:created>
  <dcterms:modified xsi:type="dcterms:W3CDTF">2020-05-29T15:13:37Z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ecology.csl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