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our manuscript for readers of Science of the Total Environment.</w:t>
      </w:r>
    </w:p>
    <w:p>
      <w:pPr>
        <w:pStyle w:val="BodyText"/>
      </w:pPr>
      <w:r>
        <w:t xml:space="preserve">In addition to making revisions that address points raised by the reviewers, we have also taken the opportunity to make minor improvements that we identified.</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 Also please note that the attached pdf that was included with the reviewer’s response did not include any markup comments. This is contrary to what the reviewer indicated.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collected daily, so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more appropriate.</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w:t>
      </w:r>
    </w:p>
    <w:p>
      <w:pPr>
        <w:numPr>
          <w:ilvl w:val="0"/>
          <w:numId w:val="1000"/>
        </w:numPr>
      </w:pPr>
      <w:r>
        <w:t xml:space="preserve">In the manuscript, line xyx:</w:t>
      </w:r>
      <w:r>
        <w:t xml:space="preserve"> </w:t>
      </w:r>
      <w:r>
        <w:t xml:space="preserve">“</w:t>
      </w:r>
      <w:r>
        <w:t xml:space="preserve">Approximate monthly or biweekly sampling with coverage of at least a decade is common for many long-term monitoring programs and is the intended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are not appropriate for these methods, due to computational limitations and a goal of the analysis to estimate long-term, continuous trends from irregular or discontinuous sampling.</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 false positive or negative result is obtained without applying our proposed methods. As such, we argue that using our approach is still the wiser option in all cases. Otherwise, a user cannot be certain the correct conclusions are obtained using simpler methods. We have added the following to the discussion:</w:t>
      </w:r>
    </w:p>
    <w:p>
      <w:pPr>
        <w:numPr>
          <w:ilvl w:val="0"/>
          <w:numId w:val="1000"/>
        </w:numPr>
      </w:pPr>
      <w:r>
        <w:t xml:space="preserve">Line xyz:</w:t>
      </w:r>
      <w:r>
        <w:t xml:space="preserve"> </w:t>
      </w:r>
      <w:r>
        <w:t xml:space="preserve">“</w:t>
      </w:r>
      <w:r>
        <w:t xml:space="preserve">Moreover, use of methods that fully account for uncertainty in sampling design is recommended over more conventional analyses given the certainty of conclusions in the former. Our examples demonstrated the increased potential for incorrect conclusions at specific monitoring locations and at much larger spatial scales across all stations if simpler trend analyses are used. Even though simpler methods may produce the same result, particularly with frequent sampling and similar effort between years, decision-makers require certainty of conclusions when incorrect results can have major consequences for environmental management.</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 xyz:</w:t>
      </w:r>
      <w:r>
        <w:t xml:space="preserve"> </w:t>
      </w:r>
      <w:r>
        <w:t xml:space="preserve">“</w:t>
      </w:r>
      <w:r>
        <w:t xml:space="preserve">Herein, meta-analysis refers to the use of seasonal features and their uncertainty estimates for trend analysis, as compared to meta-analysis for the aggregation of results from multiple studies for analysis of effect sizes or other synthesis results (i.e., Lortie et al. 2014).</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2021-07-06T15:00:25Z</dcterms:created>
  <dcterms:modified xsi:type="dcterms:W3CDTF">2021-07-06T15:00:25Z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