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1B22C" w14:textId="77777777" w:rsidR="0067418F" w:rsidRDefault="005C3365">
      <w:pPr>
        <w:pStyle w:val="Title"/>
      </w:pPr>
      <w:r>
        <w:t>Supplement to Multi-scale trend analysis of water quality using error propagation of generalized additive models</w:t>
      </w:r>
    </w:p>
    <w:p w14:paraId="120D0E90" w14:textId="77777777" w:rsidR="0067418F" w:rsidRDefault="005C3365">
      <w:pPr>
        <w:pStyle w:val="Author"/>
      </w:pPr>
      <w:r>
        <w:t>Marcus W. Beck (</w:t>
      </w:r>
      <w:hyperlink r:id="rId7">
        <w:r>
          <w:rPr>
            <w:rStyle w:val="Hyperlink"/>
          </w:rPr>
          <w:t>mbeck@tbep.org</w:t>
        </w:r>
      </w:hyperlink>
      <w:r>
        <w:t xml:space="preserve">), Perry de </w:t>
      </w:r>
      <w:proofErr w:type="spellStart"/>
      <w:r>
        <w:t>Valpine</w:t>
      </w:r>
      <w:proofErr w:type="spellEnd"/>
      <w:r>
        <w:t xml:space="preserve"> (</w:t>
      </w:r>
      <w:hyperlink r:id="rId8">
        <w:r>
          <w:rPr>
            <w:rStyle w:val="Hyperlink"/>
          </w:rPr>
          <w:t>pdevalpine@berkeley.edu</w:t>
        </w:r>
      </w:hyperlink>
      <w:r>
        <w:t>), Rebecca Murphy (</w:t>
      </w:r>
      <w:hyperlink r:id="rId9">
        <w:r>
          <w:rPr>
            <w:rStyle w:val="Hyperlink"/>
          </w:rPr>
          <w:t>rmurphy@chesapeakebay.net</w:t>
        </w:r>
      </w:hyperlink>
      <w:r>
        <w:t>), Ian Wren (</w:t>
      </w:r>
      <w:hyperlink r:id="rId10">
        <w:r>
          <w:rPr>
            <w:rStyle w:val="Hyperlink"/>
          </w:rPr>
          <w:t>ianw@sfei.org</w:t>
        </w:r>
      </w:hyperlink>
      <w:r>
        <w:t xml:space="preserve">), Ariella </w:t>
      </w:r>
      <w:proofErr w:type="spellStart"/>
      <w:r>
        <w:t>Chelsky</w:t>
      </w:r>
      <w:proofErr w:type="spellEnd"/>
      <w:r>
        <w:t xml:space="preserve"> (</w:t>
      </w:r>
      <w:hyperlink r:id="rId11">
        <w:r>
          <w:rPr>
            <w:rStyle w:val="Hyperlink"/>
          </w:rPr>
          <w:t>ariellac@sfei.org</w:t>
        </w:r>
      </w:hyperlink>
      <w:r>
        <w:t>), Melissa Foley (</w:t>
      </w:r>
      <w:hyperlink r:id="rId12">
        <w:r>
          <w:rPr>
            <w:rStyle w:val="Hyperlink"/>
          </w:rPr>
          <w:t>melissaf@sfei.org</w:t>
        </w:r>
      </w:hyperlink>
      <w:r>
        <w:t xml:space="preserve">), David B. </w:t>
      </w:r>
      <w:proofErr w:type="spellStart"/>
      <w:r>
        <w:t>Senn</w:t>
      </w:r>
      <w:proofErr w:type="spellEnd"/>
      <w:r>
        <w:t xml:space="preserve"> (</w:t>
      </w:r>
      <w:hyperlink r:id="rId13">
        <w:r>
          <w:rPr>
            <w:rStyle w:val="Hyperlink"/>
          </w:rPr>
          <w:t>davids@sfei.org</w:t>
        </w:r>
      </w:hyperlink>
      <w:r>
        <w:t>)</w:t>
      </w:r>
    </w:p>
    <w:p w14:paraId="5267F5E5" w14:textId="77777777" w:rsidR="0067418F" w:rsidRDefault="005C3365">
      <w:pPr>
        <w:pStyle w:val="Heading1"/>
      </w:pPr>
      <w:bookmarkStart w:id="0" w:name="online-dashboard"/>
      <w:r>
        <w:t>Online dashboard</w:t>
      </w:r>
    </w:p>
    <w:p w14:paraId="79512AD4" w14:textId="77777777" w:rsidR="0067418F" w:rsidRDefault="005C3365">
      <w:pPr>
        <w:pStyle w:val="FirstParagraph"/>
      </w:pPr>
      <w:r>
        <w:t xml:space="preserve">An interactive, online dashboard for viewing results in this manuscript is available at </w:t>
      </w:r>
      <w:hyperlink r:id="rId14">
        <w:r>
          <w:rPr>
            <w:rStyle w:val="Hyperlink"/>
          </w:rPr>
          <w:t>https://nutrient-data.sfei.org/apps/SFbaytrends/</w:t>
        </w:r>
      </w:hyperlink>
      <w:r>
        <w:t>.</w:t>
      </w:r>
    </w:p>
    <w:p w14:paraId="39E502A6" w14:textId="77777777" w:rsidR="0067418F" w:rsidRDefault="005C3365">
      <w:pPr>
        <w:pStyle w:val="Heading1"/>
      </w:pPr>
      <w:bookmarkStart w:id="1" w:name="comments-on-the-select-argument-in-mgcv"/>
      <w:bookmarkEnd w:id="0"/>
      <w:r>
        <w:t xml:space="preserve">Comments on the </w:t>
      </w:r>
      <w:r>
        <w:rPr>
          <w:rStyle w:val="VerbatimChar"/>
        </w:rPr>
        <w:t>select</w:t>
      </w:r>
      <w:r>
        <w:t xml:space="preserve"> argument in `</w:t>
      </w:r>
      <w:proofErr w:type="spellStart"/>
      <w:r>
        <w:t>mgcv</w:t>
      </w:r>
      <w:proofErr w:type="spellEnd"/>
    </w:p>
    <w:p w14:paraId="21A3690E" w14:textId="77777777" w:rsidR="0067418F" w:rsidRDefault="005C3365">
      <w:pPr>
        <w:pStyle w:val="FirstParagraph"/>
      </w:pPr>
      <w:r>
        <w:t xml:space="preserve">When </w:t>
      </w:r>
      <w:r>
        <w:rPr>
          <w:rStyle w:val="VerbatimChar"/>
        </w:rPr>
        <w:t>select = TRUE</w:t>
      </w:r>
      <w:r>
        <w:t xml:space="preserve"> is included, the comparison between models S and SY changes. This option tells </w:t>
      </w:r>
      <w:proofErr w:type="spellStart"/>
      <w:r>
        <w:rPr>
          <w:rStyle w:val="VerbatimChar"/>
        </w:rPr>
        <w:t>mgcv</w:t>
      </w:r>
      <w:proofErr w:type="spellEnd"/>
      <w:r>
        <w:t xml:space="preserve"> to penalize the coefficient of the linear terms in the spline. This would be appropriate if </w:t>
      </w:r>
      <w:proofErr w:type="spellStart"/>
      <w:r>
        <w:rPr>
          <w:rStyle w:val="VerbatimChar"/>
        </w:rPr>
        <w:t>cont_year</w:t>
      </w:r>
      <w:proofErr w:type="spellEnd"/>
      <w:r>
        <w:t xml:space="preserve"> was an explanatory variable subject to variable selection, but it is irrelevant if including both a linear and spline term for </w:t>
      </w:r>
      <w:proofErr w:type="spellStart"/>
      <w:r>
        <w:rPr>
          <w:rStyle w:val="VerbatimChar"/>
        </w:rPr>
        <w:t>cont_year</w:t>
      </w:r>
      <w:proofErr w:type="spellEnd"/>
      <w:r>
        <w:t xml:space="preserve">. If </w:t>
      </w:r>
      <w:r>
        <w:rPr>
          <w:rStyle w:val="VerbatimChar"/>
        </w:rPr>
        <w:t>select = TRUE</w:t>
      </w:r>
      <w:r>
        <w:t xml:space="preserve"> is used, models S and SY would still be effectively equivalent, but AIC selection would suggest that one model is superior. This result would be an artifact of the choice in model SY to include a linear trend in </w:t>
      </w:r>
      <w:proofErr w:type="spellStart"/>
      <w:r>
        <w:rPr>
          <w:rStyle w:val="VerbatimChar"/>
        </w:rPr>
        <w:t>cont_year</w:t>
      </w:r>
      <w:proofErr w:type="spellEnd"/>
      <w:r>
        <w:t xml:space="preserve"> both as a separate term and as part of the spline, with the latter subject to penalization.</w:t>
      </w:r>
    </w:p>
    <w:p w14:paraId="15021442" w14:textId="77777777" w:rsidR="0067418F" w:rsidRDefault="005C3365">
      <w:pPr>
        <w:pStyle w:val="Heading1"/>
      </w:pPr>
      <w:bookmarkStart w:id="2" w:name="back-transformation-of-model-results"/>
      <w:bookmarkEnd w:id="1"/>
      <w:r>
        <w:t>Back-transformation of model results</w:t>
      </w:r>
    </w:p>
    <w:p w14:paraId="0BCFD71C" w14:textId="77777777" w:rsidR="0067418F" w:rsidRDefault="005C3365">
      <w:pPr>
        <w:pStyle w:val="FirstParagraph"/>
      </w:pPr>
      <w:r>
        <w:t>Model results were back-transformed from log</w:t>
      </w:r>
      <m:oMath>
        <m:sSub>
          <m:sSubPr>
            <m:ctrlPr>
              <w:rPr>
                <w:rFonts w:ascii="Cambria Math" w:hAnsi="Cambria Math"/>
              </w:rPr>
            </m:ctrlPr>
          </m:sSubPr>
          <m:e>
            <m:r>
              <w:rPr>
                <w:rFonts w:ascii="Cambria Math" w:hAnsi="Cambria Math"/>
              </w:rPr>
              <m:t>​</m:t>
            </m:r>
          </m:e>
          <m:sub>
            <m:r>
              <w:rPr>
                <w:rFonts w:ascii="Cambria Math" w:hAnsi="Cambria Math"/>
              </w:rPr>
              <m:t>10</m:t>
            </m:r>
          </m:sub>
        </m:sSub>
      </m:oMath>
      <w:r>
        <w:t>-space to aid in the interpretation of trends (</w:t>
      </w:r>
      <w:proofErr w:type="spellStart"/>
      <w:r w:rsidR="007272B6">
        <w:fldChar w:fldCharType="begin"/>
      </w:r>
      <w:r w:rsidR="007272B6">
        <w:instrText xml:space="preserve"> HYPERLINK \l "ref-Bradu70" \h </w:instrText>
      </w:r>
      <w:r w:rsidR="007272B6">
        <w:fldChar w:fldCharType="separate"/>
      </w:r>
      <w:r>
        <w:rPr>
          <w:rStyle w:val="Hyperlink"/>
        </w:rPr>
        <w:t>Bradu</w:t>
      </w:r>
      <w:proofErr w:type="spellEnd"/>
      <w:r>
        <w:rPr>
          <w:rStyle w:val="Hyperlink"/>
        </w:rPr>
        <w:t xml:space="preserve"> and </w:t>
      </w:r>
      <w:proofErr w:type="spellStart"/>
      <w:r>
        <w:rPr>
          <w:rStyle w:val="Hyperlink"/>
        </w:rPr>
        <w:t>Mundlak</w:t>
      </w:r>
      <w:proofErr w:type="spellEnd"/>
      <w:r>
        <w:rPr>
          <w:rStyle w:val="Hyperlink"/>
        </w:rPr>
        <w:t>, 1970</w:t>
      </w:r>
      <w:r w:rsidR="007272B6">
        <w:rPr>
          <w:rStyle w:val="Hyperlink"/>
        </w:rPr>
        <w:fldChar w:fldCharType="end"/>
      </w:r>
      <w:r>
        <w:t xml:space="preserve">; </w:t>
      </w:r>
      <w:hyperlink w:anchor="ref-Duan83">
        <w:r>
          <w:rPr>
            <w:rStyle w:val="Hyperlink"/>
          </w:rPr>
          <w:t>Duan, 1983</w:t>
        </w:r>
      </w:hyperlink>
      <w:r>
        <w:t>). Back-transformation was accomplished using equation (1) for estimates of mean values and endpoints of confidence intervals from GAM results, such that:</w:t>
      </w:r>
    </w:p>
    <w:p w14:paraId="3F7C0A50" w14:textId="77777777" w:rsidR="0067418F" w:rsidRDefault="005C3365">
      <w:pPr>
        <w:pStyle w:val="BodyText"/>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μ</m:t>
              </m:r>
              <m:r>
                <m:rPr>
                  <m:sty m:val="p"/>
                </m:rPr>
                <w:rPr>
                  <w:rFonts w:ascii="Cambria Math" w:hAnsi="Cambria Math"/>
                </w:rPr>
                <m:t>+</m:t>
              </m:r>
              <m:f>
                <m:fPr>
                  <m:ctrlPr>
                    <w:rPr>
                      <w:rFonts w:ascii="Cambria Math" w:hAnsi="Cambria Math"/>
                    </w:rPr>
                  </m:ctrlPr>
                </m:fPr>
                <m:num>
                  <m:r>
                    <m:rPr>
                      <m:nor/>
                    </m:rPr>
                    <m:t>log</m:t>
                  </m:r>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14A4814C" w14:textId="77777777" w:rsidR="0067418F" w:rsidRDefault="005C3365">
      <w:pPr>
        <w:pStyle w:val="FirstParagraph"/>
      </w:pPr>
      <w:r>
        <w:t xml:space="preserve">where the back-transformed, expected value of the response variable </w:t>
      </w:r>
      <m:oMath>
        <m:r>
          <w:rPr>
            <w:rFonts w:ascii="Cambria Math" w:hAnsi="Cambria Math"/>
          </w:rPr>
          <m:t>y</m:t>
        </m:r>
      </m:oMath>
      <w:r>
        <w:t xml:space="preserve"> (chl-a) is a function of the predicted value </w:t>
      </w:r>
      <m:oMath>
        <m:r>
          <w:rPr>
            <w:rFonts w:ascii="Cambria Math" w:hAnsi="Cambria Math"/>
          </w:rPr>
          <m:t>μ</m:t>
        </m:r>
      </m:oMath>
      <w:r>
        <w:t xml:space="preserve"> (mean or confidence interval endpoint) in log</w:t>
      </w:r>
      <m:oMath>
        <m:sSub>
          <m:sSubPr>
            <m:ctrlPr>
              <w:rPr>
                <w:rFonts w:ascii="Cambria Math" w:hAnsi="Cambria Math"/>
              </w:rPr>
            </m:ctrlPr>
          </m:sSubPr>
          <m:e>
            <m:r>
              <w:rPr>
                <w:rFonts w:ascii="Cambria Math" w:hAnsi="Cambria Math"/>
              </w:rPr>
              <m:t>​</m:t>
            </m:r>
          </m:e>
          <m:sub>
            <m:r>
              <w:rPr>
                <w:rFonts w:ascii="Cambria Math" w:hAnsi="Cambria Math"/>
              </w:rPr>
              <m:t>10</m:t>
            </m:r>
          </m:sub>
        </m:sSub>
      </m:oMath>
      <w:r>
        <w:t xml:space="preserve">-space and a dispersion estimate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from the model. The dispersion is the residual variance estimated from the GAM fit.</w:t>
      </w:r>
    </w:p>
    <w:p w14:paraId="0600F91C" w14:textId="77777777" w:rsidR="0067418F" w:rsidRDefault="005C3365">
      <w:pPr>
        <w:pStyle w:val="Heading1"/>
      </w:pPr>
      <w:bookmarkStart w:id="3" w:name="figures"/>
      <w:bookmarkEnd w:id="2"/>
      <w:r>
        <w:lastRenderedPageBreak/>
        <w:t>Figures</w:t>
      </w:r>
    </w:p>
    <w:p w14:paraId="6E6158FF" w14:textId="77777777" w:rsidR="0067418F" w:rsidRDefault="005C3365">
      <w:r>
        <w:rPr>
          <w:noProof/>
        </w:rPr>
        <w:drawing>
          <wp:inline distT="0" distB="0" distL="0" distR="0" wp14:anchorId="20166DE9" wp14:editId="17834D27">
            <wp:extent cx="5943600" cy="2311399"/>
            <wp:effectExtent l="0" t="0" r="0" b="0"/>
            <wp:docPr id="1" name="Picture" descr="Figure 1: GAM predictions for station 18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18.png"/>
                    <pic:cNvPicPr>
                      <a:picLocks noChangeAspect="1" noChangeArrowheads="1"/>
                    </pic:cNvPicPr>
                  </pic:nvPicPr>
                  <pic:blipFill>
                    <a:blip r:embed="rId15"/>
                    <a:stretch>
                      <a:fillRect/>
                    </a:stretch>
                  </pic:blipFill>
                  <pic:spPr bwMode="auto">
                    <a:xfrm>
                      <a:off x="0" y="0"/>
                      <a:ext cx="5943600" cy="2311399"/>
                    </a:xfrm>
                    <a:prstGeom prst="rect">
                      <a:avLst/>
                    </a:prstGeom>
                    <a:noFill/>
                    <a:ln w="9525">
                      <a:noFill/>
                      <a:headEnd/>
                      <a:tailEnd/>
                    </a:ln>
                  </pic:spPr>
                </pic:pic>
              </a:graphicData>
            </a:graphic>
          </wp:inline>
        </w:drawing>
      </w:r>
    </w:p>
    <w:p w14:paraId="27A026D3" w14:textId="77777777" w:rsidR="0067418F" w:rsidRDefault="005C3365">
      <w:pPr>
        <w:pStyle w:val="ImageCaption"/>
      </w:pPr>
      <w:r>
        <w:t>Figure 1: GAM predictions for station 18 for model S. The results show predictions across the time series and predictions by day of year. Observed data in are shown with the gray points.</w:t>
      </w:r>
    </w:p>
    <w:p w14:paraId="45FE2D9D" w14:textId="77777777" w:rsidR="0067418F" w:rsidRDefault="005C3365">
      <w:r>
        <w:rPr>
          <w:noProof/>
        </w:rPr>
        <w:drawing>
          <wp:inline distT="0" distB="0" distL="0" distR="0" wp14:anchorId="23338BEA" wp14:editId="0B8B5312">
            <wp:extent cx="5943600" cy="2311399"/>
            <wp:effectExtent l="0" t="0" r="0" b="0"/>
            <wp:docPr id="2" name="Picture" descr="Figure 2: GAM predictions for station 21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1.png"/>
                    <pic:cNvPicPr>
                      <a:picLocks noChangeAspect="1" noChangeArrowheads="1"/>
                    </pic:cNvPicPr>
                  </pic:nvPicPr>
                  <pic:blipFill>
                    <a:blip r:embed="rId16"/>
                    <a:stretch>
                      <a:fillRect/>
                    </a:stretch>
                  </pic:blipFill>
                  <pic:spPr bwMode="auto">
                    <a:xfrm>
                      <a:off x="0" y="0"/>
                      <a:ext cx="5943600" cy="2311399"/>
                    </a:xfrm>
                    <a:prstGeom prst="rect">
                      <a:avLst/>
                    </a:prstGeom>
                    <a:noFill/>
                    <a:ln w="9525">
                      <a:noFill/>
                      <a:headEnd/>
                      <a:tailEnd/>
                    </a:ln>
                  </pic:spPr>
                </pic:pic>
              </a:graphicData>
            </a:graphic>
          </wp:inline>
        </w:drawing>
      </w:r>
    </w:p>
    <w:p w14:paraId="4328CC62" w14:textId="77777777" w:rsidR="0067418F" w:rsidRDefault="005C3365">
      <w:pPr>
        <w:pStyle w:val="ImageCaption"/>
      </w:pPr>
      <w:r>
        <w:t>Figure 2: GAM predictions for station 21 for model S. The results show predictions across the time series and predictions by day of year. Observed data in are shown with the gray points.</w:t>
      </w:r>
    </w:p>
    <w:p w14:paraId="0F35981B" w14:textId="77777777" w:rsidR="0067418F" w:rsidRDefault="005C3365">
      <w:r>
        <w:rPr>
          <w:noProof/>
        </w:rPr>
        <w:lastRenderedPageBreak/>
        <w:drawing>
          <wp:inline distT="0" distB="0" distL="0" distR="0" wp14:anchorId="7AFEA2D1" wp14:editId="15B91E7E">
            <wp:extent cx="5943600" cy="2311399"/>
            <wp:effectExtent l="0" t="0" r="0" b="0"/>
            <wp:docPr id="3" name="Picture" descr="Figure 3: GAM predictions for station 22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2.png"/>
                    <pic:cNvPicPr>
                      <a:picLocks noChangeAspect="1" noChangeArrowheads="1"/>
                    </pic:cNvPicPr>
                  </pic:nvPicPr>
                  <pic:blipFill>
                    <a:blip r:embed="rId17"/>
                    <a:stretch>
                      <a:fillRect/>
                    </a:stretch>
                  </pic:blipFill>
                  <pic:spPr bwMode="auto">
                    <a:xfrm>
                      <a:off x="0" y="0"/>
                      <a:ext cx="5943600" cy="2311399"/>
                    </a:xfrm>
                    <a:prstGeom prst="rect">
                      <a:avLst/>
                    </a:prstGeom>
                    <a:noFill/>
                    <a:ln w="9525">
                      <a:noFill/>
                      <a:headEnd/>
                      <a:tailEnd/>
                    </a:ln>
                  </pic:spPr>
                </pic:pic>
              </a:graphicData>
            </a:graphic>
          </wp:inline>
        </w:drawing>
      </w:r>
    </w:p>
    <w:p w14:paraId="161908BF" w14:textId="77777777" w:rsidR="0067418F" w:rsidRDefault="005C3365">
      <w:pPr>
        <w:pStyle w:val="ImageCaption"/>
      </w:pPr>
      <w:r>
        <w:t>Figure 3: GAM predictions for station 22 for model S. The results show predictions across the time series and predictions by day of year. Observed data in are shown with the gray points.</w:t>
      </w:r>
    </w:p>
    <w:p w14:paraId="59713F0F" w14:textId="77777777" w:rsidR="0067418F" w:rsidRDefault="005C3365">
      <w:r>
        <w:rPr>
          <w:noProof/>
        </w:rPr>
        <w:drawing>
          <wp:inline distT="0" distB="0" distL="0" distR="0" wp14:anchorId="79D39745" wp14:editId="455F278E">
            <wp:extent cx="5943600" cy="2311399"/>
            <wp:effectExtent l="0" t="0" r="0" b="0"/>
            <wp:docPr id="4" name="Picture" descr="Figure 4: GAM predictions for station 24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4.png"/>
                    <pic:cNvPicPr>
                      <a:picLocks noChangeAspect="1" noChangeArrowheads="1"/>
                    </pic:cNvPicPr>
                  </pic:nvPicPr>
                  <pic:blipFill>
                    <a:blip r:embed="rId18"/>
                    <a:stretch>
                      <a:fillRect/>
                    </a:stretch>
                  </pic:blipFill>
                  <pic:spPr bwMode="auto">
                    <a:xfrm>
                      <a:off x="0" y="0"/>
                      <a:ext cx="5943600" cy="2311399"/>
                    </a:xfrm>
                    <a:prstGeom prst="rect">
                      <a:avLst/>
                    </a:prstGeom>
                    <a:noFill/>
                    <a:ln w="9525">
                      <a:noFill/>
                      <a:headEnd/>
                      <a:tailEnd/>
                    </a:ln>
                  </pic:spPr>
                </pic:pic>
              </a:graphicData>
            </a:graphic>
          </wp:inline>
        </w:drawing>
      </w:r>
    </w:p>
    <w:p w14:paraId="688CFAB6" w14:textId="77777777" w:rsidR="0067418F" w:rsidRDefault="005C3365">
      <w:pPr>
        <w:pStyle w:val="ImageCaption"/>
      </w:pPr>
      <w:r>
        <w:t>Figure 4: GAM predictions for station 24 for model S. The results show predictions across the time series and predictions by day of year. Observed data in are shown with the gray points.</w:t>
      </w:r>
    </w:p>
    <w:p w14:paraId="037B1746" w14:textId="77777777" w:rsidR="0067418F" w:rsidRDefault="005C3365">
      <w:r>
        <w:rPr>
          <w:noProof/>
        </w:rPr>
        <w:drawing>
          <wp:inline distT="0" distB="0" distL="0" distR="0" wp14:anchorId="6E7D453B" wp14:editId="56D5CFAF">
            <wp:extent cx="5943600" cy="2311399"/>
            <wp:effectExtent l="0" t="0" r="0" b="0"/>
            <wp:docPr id="5" name="Picture" descr="Figure 5: GAM predictions for station 27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7.png"/>
                    <pic:cNvPicPr>
                      <a:picLocks noChangeAspect="1" noChangeArrowheads="1"/>
                    </pic:cNvPicPr>
                  </pic:nvPicPr>
                  <pic:blipFill>
                    <a:blip r:embed="rId19"/>
                    <a:stretch>
                      <a:fillRect/>
                    </a:stretch>
                  </pic:blipFill>
                  <pic:spPr bwMode="auto">
                    <a:xfrm>
                      <a:off x="0" y="0"/>
                      <a:ext cx="5943600" cy="2311399"/>
                    </a:xfrm>
                    <a:prstGeom prst="rect">
                      <a:avLst/>
                    </a:prstGeom>
                    <a:noFill/>
                    <a:ln w="9525">
                      <a:noFill/>
                      <a:headEnd/>
                      <a:tailEnd/>
                    </a:ln>
                  </pic:spPr>
                </pic:pic>
              </a:graphicData>
            </a:graphic>
          </wp:inline>
        </w:drawing>
      </w:r>
    </w:p>
    <w:p w14:paraId="24389546" w14:textId="77777777" w:rsidR="0067418F" w:rsidRDefault="005C3365">
      <w:pPr>
        <w:pStyle w:val="ImageCaption"/>
      </w:pPr>
      <w:r>
        <w:lastRenderedPageBreak/>
        <w:t>Figure 5: GAM predictions for station 27 for model S. The results show predictions across the time series and predictions by day of year. Observed data in are shown with the gray points.</w:t>
      </w:r>
    </w:p>
    <w:p w14:paraId="29C364CA" w14:textId="77777777" w:rsidR="0067418F" w:rsidRDefault="005C3365">
      <w:r>
        <w:rPr>
          <w:noProof/>
        </w:rPr>
        <w:drawing>
          <wp:inline distT="0" distB="0" distL="0" distR="0" wp14:anchorId="638D521A" wp14:editId="3F938E01">
            <wp:extent cx="5943600" cy="2311399"/>
            <wp:effectExtent l="0" t="0" r="0" b="0"/>
            <wp:docPr id="6" name="Picture" descr="Figure 6: GAM predictions for station 30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0.png"/>
                    <pic:cNvPicPr>
                      <a:picLocks noChangeAspect="1" noChangeArrowheads="1"/>
                    </pic:cNvPicPr>
                  </pic:nvPicPr>
                  <pic:blipFill>
                    <a:blip r:embed="rId20"/>
                    <a:stretch>
                      <a:fillRect/>
                    </a:stretch>
                  </pic:blipFill>
                  <pic:spPr bwMode="auto">
                    <a:xfrm>
                      <a:off x="0" y="0"/>
                      <a:ext cx="5943600" cy="2311399"/>
                    </a:xfrm>
                    <a:prstGeom prst="rect">
                      <a:avLst/>
                    </a:prstGeom>
                    <a:noFill/>
                    <a:ln w="9525">
                      <a:noFill/>
                      <a:headEnd/>
                      <a:tailEnd/>
                    </a:ln>
                  </pic:spPr>
                </pic:pic>
              </a:graphicData>
            </a:graphic>
          </wp:inline>
        </w:drawing>
      </w:r>
    </w:p>
    <w:p w14:paraId="47FE625D" w14:textId="77777777" w:rsidR="0067418F" w:rsidRDefault="005C3365">
      <w:pPr>
        <w:pStyle w:val="ImageCaption"/>
      </w:pPr>
      <w:r>
        <w:t>Figure 6: GAM predictions for station 30 for model S. The results show predictions across the time series and predictions by day of year. Observed data in are shown with the gray points.</w:t>
      </w:r>
    </w:p>
    <w:p w14:paraId="0510607B" w14:textId="77777777" w:rsidR="0067418F" w:rsidRDefault="005C3365">
      <w:r>
        <w:rPr>
          <w:noProof/>
        </w:rPr>
        <w:drawing>
          <wp:inline distT="0" distB="0" distL="0" distR="0" wp14:anchorId="1ABB9F0C" wp14:editId="2AD14B4E">
            <wp:extent cx="5943600" cy="2311399"/>
            <wp:effectExtent l="0" t="0" r="0" b="0"/>
            <wp:docPr id="7" name="Picture" descr="Figure 7: GAM predictions for station 32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2.png"/>
                    <pic:cNvPicPr>
                      <a:picLocks noChangeAspect="1" noChangeArrowheads="1"/>
                    </pic:cNvPicPr>
                  </pic:nvPicPr>
                  <pic:blipFill>
                    <a:blip r:embed="rId21"/>
                    <a:stretch>
                      <a:fillRect/>
                    </a:stretch>
                  </pic:blipFill>
                  <pic:spPr bwMode="auto">
                    <a:xfrm>
                      <a:off x="0" y="0"/>
                      <a:ext cx="5943600" cy="2311399"/>
                    </a:xfrm>
                    <a:prstGeom prst="rect">
                      <a:avLst/>
                    </a:prstGeom>
                    <a:noFill/>
                    <a:ln w="9525">
                      <a:noFill/>
                      <a:headEnd/>
                      <a:tailEnd/>
                    </a:ln>
                  </pic:spPr>
                </pic:pic>
              </a:graphicData>
            </a:graphic>
          </wp:inline>
        </w:drawing>
      </w:r>
    </w:p>
    <w:p w14:paraId="6052083A" w14:textId="77777777" w:rsidR="0067418F" w:rsidRDefault="005C3365">
      <w:pPr>
        <w:pStyle w:val="ImageCaption"/>
      </w:pPr>
      <w:r>
        <w:t>Figure 7: GAM predictions for station 32 for model S. The results show predictions across the time series and predictions by day of year. Observed data in are shown with the gray points.</w:t>
      </w:r>
    </w:p>
    <w:p w14:paraId="46128617" w14:textId="77777777" w:rsidR="0067418F" w:rsidRDefault="005C3365">
      <w:r>
        <w:rPr>
          <w:noProof/>
        </w:rPr>
        <w:lastRenderedPageBreak/>
        <w:drawing>
          <wp:inline distT="0" distB="0" distL="0" distR="0" wp14:anchorId="3A42AECD" wp14:editId="2B38C28B">
            <wp:extent cx="5943600" cy="2311399"/>
            <wp:effectExtent l="0" t="0" r="0" b="0"/>
            <wp:docPr id="8" name="Picture" descr="Figure 8: GAM predictions for station 34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4.png"/>
                    <pic:cNvPicPr>
                      <a:picLocks noChangeAspect="1" noChangeArrowheads="1"/>
                    </pic:cNvPicPr>
                  </pic:nvPicPr>
                  <pic:blipFill>
                    <a:blip r:embed="rId22"/>
                    <a:stretch>
                      <a:fillRect/>
                    </a:stretch>
                  </pic:blipFill>
                  <pic:spPr bwMode="auto">
                    <a:xfrm>
                      <a:off x="0" y="0"/>
                      <a:ext cx="5943600" cy="2311399"/>
                    </a:xfrm>
                    <a:prstGeom prst="rect">
                      <a:avLst/>
                    </a:prstGeom>
                    <a:noFill/>
                    <a:ln w="9525">
                      <a:noFill/>
                      <a:headEnd/>
                      <a:tailEnd/>
                    </a:ln>
                  </pic:spPr>
                </pic:pic>
              </a:graphicData>
            </a:graphic>
          </wp:inline>
        </w:drawing>
      </w:r>
    </w:p>
    <w:p w14:paraId="4FAF0535" w14:textId="77777777" w:rsidR="0067418F" w:rsidRDefault="005C3365">
      <w:pPr>
        <w:pStyle w:val="ImageCaption"/>
      </w:pPr>
      <w:r>
        <w:t>Figure 8: GAM predictions for station 34 for model S. The results show predictions across the time series and predictions by day of year. Observed data in are shown with the gray points.</w:t>
      </w:r>
    </w:p>
    <w:p w14:paraId="0867AED4" w14:textId="77777777" w:rsidR="0067418F" w:rsidRDefault="005C3365">
      <w:r>
        <w:rPr>
          <w:noProof/>
        </w:rPr>
        <w:drawing>
          <wp:inline distT="0" distB="0" distL="0" distR="0" wp14:anchorId="3B8C20B1" wp14:editId="09CF0A1C">
            <wp:extent cx="5943600" cy="2311399"/>
            <wp:effectExtent l="0" t="0" r="0" b="0"/>
            <wp:docPr id="9" name="Picture" descr="Figure 9: GAM predictions for station 36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6.png"/>
                    <pic:cNvPicPr>
                      <a:picLocks noChangeAspect="1" noChangeArrowheads="1"/>
                    </pic:cNvPicPr>
                  </pic:nvPicPr>
                  <pic:blipFill>
                    <a:blip r:embed="rId23"/>
                    <a:stretch>
                      <a:fillRect/>
                    </a:stretch>
                  </pic:blipFill>
                  <pic:spPr bwMode="auto">
                    <a:xfrm>
                      <a:off x="0" y="0"/>
                      <a:ext cx="5943600" cy="2311399"/>
                    </a:xfrm>
                    <a:prstGeom prst="rect">
                      <a:avLst/>
                    </a:prstGeom>
                    <a:noFill/>
                    <a:ln w="9525">
                      <a:noFill/>
                      <a:headEnd/>
                      <a:tailEnd/>
                    </a:ln>
                  </pic:spPr>
                </pic:pic>
              </a:graphicData>
            </a:graphic>
          </wp:inline>
        </w:drawing>
      </w:r>
    </w:p>
    <w:p w14:paraId="0CAAB610" w14:textId="77777777" w:rsidR="0067418F" w:rsidRDefault="005C3365">
      <w:pPr>
        <w:pStyle w:val="ImageCaption"/>
      </w:pPr>
      <w:r>
        <w:t>Figure 9: GAM predictions for station 36 for model S. The results show predictions across the time series and predictions by day of year. Observed data in are shown with the gray points.</w:t>
      </w:r>
    </w:p>
    <w:p w14:paraId="0C173C63" w14:textId="77777777" w:rsidR="0067418F" w:rsidRDefault="005C3365">
      <w:pPr>
        <w:pStyle w:val="Heading1"/>
      </w:pPr>
      <w:bookmarkStart w:id="4" w:name="references"/>
      <w:bookmarkEnd w:id="3"/>
      <w:r>
        <w:t>References</w:t>
      </w:r>
    </w:p>
    <w:p w14:paraId="72745AC2" w14:textId="77777777" w:rsidR="0067418F" w:rsidRDefault="005C3365">
      <w:pPr>
        <w:pStyle w:val="Bibliography"/>
      </w:pPr>
      <w:bookmarkStart w:id="5" w:name="ref-Bradu70"/>
      <w:bookmarkStart w:id="6" w:name="refs"/>
      <w:proofErr w:type="spellStart"/>
      <w:r>
        <w:t>Bradu</w:t>
      </w:r>
      <w:proofErr w:type="spellEnd"/>
      <w:r>
        <w:t xml:space="preserve">, D., </w:t>
      </w:r>
      <w:proofErr w:type="spellStart"/>
      <w:r>
        <w:t>Mundlak</w:t>
      </w:r>
      <w:proofErr w:type="spellEnd"/>
      <w:r>
        <w:t xml:space="preserve">, Y., 1970. Estimation in lognormal linear models. Journal of the American Statistical Association 65, 198–211. </w:t>
      </w:r>
      <w:hyperlink r:id="rId24">
        <w:r>
          <w:rPr>
            <w:rStyle w:val="Hyperlink"/>
          </w:rPr>
          <w:t>https://doi.org/10.2307/2283587</w:t>
        </w:r>
      </w:hyperlink>
    </w:p>
    <w:p w14:paraId="74CAB88A" w14:textId="77777777" w:rsidR="0067418F" w:rsidRDefault="005C3365">
      <w:pPr>
        <w:pStyle w:val="Bibliography"/>
      </w:pPr>
      <w:bookmarkStart w:id="7" w:name="ref-Duan83"/>
      <w:bookmarkEnd w:id="5"/>
      <w:r>
        <w:t xml:space="preserve">Duan, N., 1983. Smearing estimate: A nonparametric retransformation method. Journal of the American Statistical Association 78, 605–610. </w:t>
      </w:r>
      <w:hyperlink r:id="rId25">
        <w:r>
          <w:rPr>
            <w:rStyle w:val="Hyperlink"/>
          </w:rPr>
          <w:t>https://doi.org/10.1080/01621459.1983.10478017</w:t>
        </w:r>
      </w:hyperlink>
      <w:bookmarkEnd w:id="4"/>
      <w:bookmarkEnd w:id="6"/>
      <w:bookmarkEnd w:id="7"/>
    </w:p>
    <w:sectPr w:rsidR="0067418F" w:rsidSect="00504C3B">
      <w:footerReference w:type="default" r:id="rId2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BC5A9" w14:textId="77777777" w:rsidR="007272B6" w:rsidRDefault="007272B6">
      <w:pPr>
        <w:spacing w:after="0"/>
      </w:pPr>
      <w:r>
        <w:separator/>
      </w:r>
    </w:p>
  </w:endnote>
  <w:endnote w:type="continuationSeparator" w:id="0">
    <w:p w14:paraId="743DEB31" w14:textId="77777777" w:rsidR="007272B6" w:rsidRDefault="007272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962650"/>
      <w:docPartObj>
        <w:docPartGallery w:val="Page Numbers (Bottom of Page)"/>
        <w:docPartUnique/>
      </w:docPartObj>
    </w:sdtPr>
    <w:sdtEndPr>
      <w:rPr>
        <w:noProof/>
      </w:rPr>
    </w:sdtEndPr>
    <w:sdtContent>
      <w:p w14:paraId="6A700421" w14:textId="77777777" w:rsidR="003C73CD" w:rsidRDefault="005C33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B575A" w14:textId="77777777" w:rsidR="003C73CD" w:rsidRDefault="00727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0D6D7" w14:textId="77777777" w:rsidR="007272B6" w:rsidRDefault="007272B6">
      <w:r>
        <w:separator/>
      </w:r>
    </w:p>
  </w:footnote>
  <w:footnote w:type="continuationSeparator" w:id="0">
    <w:p w14:paraId="2D53056A" w14:textId="77777777" w:rsidR="007272B6" w:rsidRDefault="007272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C3DA0F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4338F"/>
    <w:rsid w:val="004E29B3"/>
    <w:rsid w:val="00504C3B"/>
    <w:rsid w:val="00590D07"/>
    <w:rsid w:val="005C3365"/>
    <w:rsid w:val="0067418F"/>
    <w:rsid w:val="007272B6"/>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9E0A4"/>
  <w15:docId w15:val="{1EB852FD-3948-4470-9502-C930522B7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devalpine@berkeley.edu" TargetMode="External"/><Relationship Id="rId13" Type="http://schemas.openxmlformats.org/officeDocument/2006/relationships/hyperlink" Target="mailto:davids@sfei.org"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mbeck@tbep.org" TargetMode="External"/><Relationship Id="rId12" Type="http://schemas.openxmlformats.org/officeDocument/2006/relationships/hyperlink" Target="mailto:melissaf@sfei.org" TargetMode="External"/><Relationship Id="rId17" Type="http://schemas.openxmlformats.org/officeDocument/2006/relationships/image" Target="media/image3.png"/><Relationship Id="rId25" Type="http://schemas.openxmlformats.org/officeDocument/2006/relationships/hyperlink" Target="https://doi.org/10.1080/01621459.1983.10478017"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riellac@sfei.org" TargetMode="External"/><Relationship Id="rId24" Type="http://schemas.openxmlformats.org/officeDocument/2006/relationships/hyperlink" Target="https://doi.org/10.2307/2283587"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ianw@sfei.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rmurphy@chesapeakebay.net" TargetMode="External"/><Relationship Id="rId14" Type="http://schemas.openxmlformats.org/officeDocument/2006/relationships/hyperlink" Target="https://nutrient-data.sfei.org/apps/SFbaytrends/"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5</Pages>
  <Words>674</Words>
  <Characters>3847</Characters>
  <Application>Microsoft Office Word</Application>
  <DocSecurity>0</DocSecurity>
  <Lines>32</Lines>
  <Paragraphs>9</Paragraphs>
  <ScaleCrop>false</ScaleCrop>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cp:lastModifiedBy>Marcus Beck</cp:lastModifiedBy>
  <cp:revision>3</cp:revision>
  <dcterms:created xsi:type="dcterms:W3CDTF">2021-05-07T19:50:00Z</dcterms:created>
  <dcterms:modified xsi:type="dcterms:W3CDTF">2021-07-12T17:02:00Z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science-of-the-total-environment.csl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