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build 2021-04-09 12:56:22</w:t>
      </w:r>
    </w:p>
    <w:p>
      <w:pPr>
        <w:pStyle w:val="Heading1"/>
      </w:pPr>
      <w:bookmarkStart w:id="27" w:name="comments-on-the-select-argument-in-mgcv"/>
      <w:r>
        <w:t xml:space="preserve">Comments on the</w:t>
      </w:r>
      <w:r>
        <w:t xml:space="preserve"> </w:t>
      </w:r>
      <w:r>
        <w:rPr>
          <w:rStyle w:val="VerbatimChar"/>
        </w:rPr>
        <w:t xml:space="preserve">select</w:t>
      </w:r>
      <w:r>
        <w:t xml:space="preserve"> </w:t>
      </w:r>
      <w:r>
        <w:t xml:space="preserve">argument in `mgcv</w:t>
      </w:r>
      <w:bookmarkEnd w:id="27"/>
    </w:p>
    <w:p>
      <w:pPr>
        <w:pStyle w:val="FirstParagraph"/>
      </w:pPr>
      <w:r>
        <w:t xml:space="preserve">When</w:t>
      </w:r>
      <w:r>
        <w:t xml:space="preserve"> </w:t>
      </w:r>
      <w:r>
        <w:rPr>
          <w:rStyle w:val="VerbatimChar"/>
        </w:rPr>
        <w:t xml:space="preserve">select = TRUE</w:t>
      </w:r>
      <w:r>
        <w:t xml:space="preserve"> </w:t>
      </w:r>
      <w:r>
        <w:t xml:space="preserve">is included, the comparison between models S and SY changes. This option tells</w:t>
      </w:r>
      <w:r>
        <w:t xml:space="preserve"> </w:t>
      </w:r>
      <w:r>
        <w:rPr>
          <w:rStyle w:val="VerbatimChar"/>
        </w:rPr>
        <w:t xml:space="preserve">mgcv</w:t>
      </w:r>
      <w:r>
        <w:t xml:space="preserve"> </w:t>
      </w:r>
      <w:r>
        <w:t xml:space="preserve">to penalize the coefficient of the linear terms in the spline. This would be appropriate if</w:t>
      </w:r>
      <w:r>
        <w:t xml:space="preserve"> </w:t>
      </w:r>
      <w:r>
        <w:rPr>
          <w:rStyle w:val="VerbatimChar"/>
        </w:rPr>
        <w:t xml:space="preserve">cont_year</w:t>
      </w:r>
      <w:r>
        <w:t xml:space="preserve"> </w:t>
      </w:r>
      <w:r>
        <w:t xml:space="preserve">was an explanatory variable subject to variable selection, but it is irrelevant if including both a linear and spline term for</w:t>
      </w:r>
      <w:r>
        <w:t xml:space="preserve"> </w:t>
      </w:r>
      <w:r>
        <w:rPr>
          <w:rStyle w:val="VerbatimChar"/>
        </w:rPr>
        <w:t xml:space="preserve">cont_year</w:t>
      </w:r>
      <w:r>
        <w:t xml:space="preserve">. If</w:t>
      </w:r>
      <w:r>
        <w:t xml:space="preserve"> </w:t>
      </w:r>
      <w:r>
        <w:rPr>
          <w:rStyle w:val="VerbatimChar"/>
        </w:rPr>
        <w:t xml:space="preserve">select = TRUE</w:t>
      </w:r>
      <w:r>
        <w:t xml:space="preserve"> </w:t>
      </w:r>
      <w:r>
        <w:t xml:space="preserve">is used, models S and SY would still be effectively equivalent, but AIC selection would suggest that one model is superior. This result would be an artifact of the choice in model SY to include a linear trend in</w:t>
      </w:r>
      <w:r>
        <w:t xml:space="preserve"> </w:t>
      </w:r>
      <w:r>
        <w:rPr>
          <w:rStyle w:val="VerbatimChar"/>
        </w:rPr>
        <w:t xml:space="preserve">cont_year</w:t>
      </w:r>
      <w:r>
        <w:t xml:space="preserve"> </w:t>
      </w:r>
      <w:r>
        <w:t xml:space="preserve">both as a separate term and as part of the spline, with the latter subject to penalization.</w:t>
      </w:r>
    </w:p>
    <w:p>
      <w:pPr>
        <w:pStyle w:val="Heading1"/>
      </w:pPr>
      <w:bookmarkStart w:id="28" w:name="back-transformation-of-model-results"/>
      <w:r>
        <w:t xml:space="preserve">Back-transformation of model results</w:t>
      </w:r>
      <w:bookmarkEnd w:id="28"/>
    </w:p>
    <w:p>
      <w:pPr>
        <w:pStyle w:val="FirstParagraph"/>
      </w:pPr>
      <w:r>
        <w:t xml:space="preserve">Model results were back-transformed from log</w:t>
      </w:r>
      <m:oMath>
        <m:sSub>
          <m:e>
            <m:r>
              <m:t>​</m:t>
            </m:r>
          </m:e>
          <m:sub>
            <m:r>
              <m:t>10</m:t>
            </m:r>
          </m:sub>
        </m:sSub>
      </m:oMath>
      <w:r>
        <w:t xml:space="preserve">-space to aid in the interpretation of trends</w:t>
      </w:r>
      <w:r>
        <w:t xml:space="preserve"> </w:t>
      </w:r>
      <w:r>
        <w:t xml:space="preserve">(Bradu and Mundlak</w:t>
      </w:r>
      <w:r>
        <w:t xml:space="preserve"> </w:t>
      </w:r>
      <w:hyperlink w:anchor="ref-Bradu70">
        <w:r>
          <w:rPr>
            <w:rStyle w:val="Hyperlink"/>
          </w:rPr>
          <w:t xml:space="preserve">1970</w:t>
        </w:r>
      </w:hyperlink>
      <w:r>
        <w:t xml:space="preserve">, Duan</w:t>
      </w:r>
      <w:r>
        <w:t xml:space="preserve"> </w:t>
      </w:r>
      <w:hyperlink w:anchor="ref-Duan83">
        <w:r>
          <w:rPr>
            <w:rStyle w:val="Hyperlink"/>
          </w:rPr>
          <w:t xml:space="preserve">1983</w:t>
        </w:r>
      </w:hyperlink>
      <w:r>
        <w:t xml:space="preserve">)</w:t>
      </w:r>
      <w:r>
        <w:t xml:space="preserve">. Back-transformation was accomplished using equation (1) for estimates of mean values and endpoints of confidence intervals from GAM results, such that:</w:t>
      </w:r>
    </w:p>
    <w:p>
      <w:pPr>
        <w:pStyle w:val="BodyText"/>
      </w:pPr>
      <m:oMathPara>
        <m:oMathParaPr>
          <m:jc m:val="center"/>
        </m:oMathParaPr>
        <m:oMath>
          <m:r>
            <m:t>E</m:t>
          </m:r>
          <m:r>
            <m:t>[</m:t>
          </m:r>
          <m:r>
            <m:t>y</m:t>
          </m:r>
          <m:r>
            <m:t>]</m:t>
          </m:r>
          <m:r>
            <m:t>=</m:t>
          </m:r>
          <m:sSup>
            <m:e>
              <m:r>
                <m:t>10</m:t>
              </m:r>
            </m:e>
            <m:sup>
              <m:r>
                <m:t>μ</m:t>
              </m:r>
              <m:r>
                <m:t>+</m:t>
              </m:r>
              <m:f>
                <m:fPr>
                  <m:type m:val="bar"/>
                </m:fPr>
                <m:num>
                  <m:r>
                    <m:rPr>
                      <m:nor/>
                      <m:sty m:val="p"/>
                    </m:rPr>
                    <m:t>log</m:t>
                  </m:r>
                  <m:r>
                    <m:t>(</m:t>
                  </m:r>
                  <m:r>
                    <m:t>10</m:t>
                  </m:r>
                  <m:r>
                    <m:t>)</m:t>
                  </m:r>
                  <m:sSup>
                    <m:e>
                      <m:r>
                        <m:t>σ</m:t>
                      </m:r>
                    </m:e>
                    <m:sup>
                      <m:r>
                        <m:t>2</m:t>
                      </m:r>
                    </m:sup>
                  </m:sSup>
                </m:num>
                <m:den>
                  <m:r>
                    <m:t>2</m:t>
                  </m:r>
                </m:den>
              </m:f>
            </m:sup>
          </m:sSup>
          <m:r>
            <m:t>  </m:t>
          </m:r>
          <m:r>
            <m:t>(</m:t>
          </m:r>
          <m:r>
            <m:t>1</m:t>
          </m:r>
          <m:r>
            <m:t>)</m:t>
          </m:r>
        </m:oMath>
      </m:oMathPara>
    </w:p>
    <w:p>
      <w:pPr>
        <w:pStyle w:val="FirstParagraph"/>
      </w:pPr>
      <w:r>
        <w:t xml:space="preserve">where the back-transformed, expected value of the response variable</w:t>
      </w:r>
      <w:r>
        <w:t xml:space="preserve"> </w:t>
      </w:r>
      <m:oMath>
        <m:r>
          <m:t>y</m:t>
        </m:r>
      </m:oMath>
      <w:r>
        <w:t xml:space="preserve"> </w:t>
      </w:r>
      <w:r>
        <w:t xml:space="preserve">(chl-a) is a function of the predicted value</w:t>
      </w:r>
      <w:r>
        <w:t xml:space="preserve"> </w:t>
      </w:r>
      <m:oMath>
        <m:r>
          <m:t>μ</m:t>
        </m:r>
      </m:oMath>
      <w:r>
        <w:t xml:space="preserve"> </w:t>
      </w:r>
      <w:r>
        <w:t xml:space="preserve">(mean or confidence interval endpoint) in log</w:t>
      </w:r>
      <m:oMath>
        <m:sSub>
          <m:e>
            <m:r>
              <m:t>​</m:t>
            </m:r>
          </m:e>
          <m:sub>
            <m:r>
              <m:t>10</m:t>
            </m:r>
          </m:sub>
        </m:sSub>
      </m:oMath>
      <w:r>
        <w:t xml:space="preserve">-space and a dispersion estimate</w:t>
      </w:r>
      <w:r>
        <w:t xml:space="preserve"> </w:t>
      </w:r>
      <m:oMath>
        <m:sSup>
          <m:e>
            <m:r>
              <m:t>σ</m:t>
            </m:r>
          </m:e>
          <m:sup>
            <m:r>
              <m:t>2</m:t>
            </m:r>
          </m:sup>
        </m:sSup>
      </m:oMath>
      <w:r>
        <w:t xml:space="preserve"> </w:t>
      </w:r>
      <w:r>
        <w:t xml:space="preserve">from the model. The dispersion is the residual variance estimated from the GAM fit.</w:t>
      </w:r>
    </w:p>
    <w:p>
      <w:pPr>
        <w:pStyle w:val="Heading1"/>
      </w:pPr>
      <w:bookmarkStart w:id="29" w:name="figures"/>
      <w:r>
        <w:t xml:space="preserve">Figures</w:t>
      </w:r>
      <w:bookmarkEnd w:id="29"/>
    </w:p>
    <w:p>
      <w:pPr>
        <w:pStyle w:val="CaptionedFigure"/>
      </w:pPr>
      <w:r>
        <w:drawing>
          <wp:inline>
            <wp:extent cx="5943600" cy="2311399"/>
            <wp:effectExtent b="0" l="0" r="0" t="0"/>
            <wp:docPr descr="Figure 1: GAM predictions for station 18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18.png" id="0" name="Picture"/>
                    <pic:cNvPicPr>
                      <a:picLocks noChangeArrowheads="1" noChangeAspect="1"/>
                    </pic:cNvPicPr>
                  </pic:nvPicPr>
                  <pic:blipFill>
                    <a:blip r:embed="rId30"/>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1: GAM predictions for station 18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2: GAM predictions for station 21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1.png" id="0" name="Picture"/>
                    <pic:cNvPicPr>
                      <a:picLocks noChangeArrowheads="1" noChangeAspect="1"/>
                    </pic:cNvPicPr>
                  </pic:nvPicPr>
                  <pic:blipFill>
                    <a:blip r:embed="rId31"/>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2: GAM predictions for station 21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3: GAM predictions for station 2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2.png" id="0" name="Picture"/>
                    <pic:cNvPicPr>
                      <a:picLocks noChangeArrowheads="1" noChangeAspect="1"/>
                    </pic:cNvPicPr>
                  </pic:nvPicPr>
                  <pic:blipFill>
                    <a:blip r:embed="rId32"/>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3: GAM predictions for station 22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4: GAM predictions for station 2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4.png" id="0" name="Picture"/>
                    <pic:cNvPicPr>
                      <a:picLocks noChangeArrowheads="1" noChangeAspect="1"/>
                    </pic:cNvPicPr>
                  </pic:nvPicPr>
                  <pic:blipFill>
                    <a:blip r:embed="rId33"/>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4: GAM predictions for station 24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5: GAM predictions for station 27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7.png" id="0" name="Picture"/>
                    <pic:cNvPicPr>
                      <a:picLocks noChangeArrowheads="1" noChangeAspect="1"/>
                    </pic:cNvPicPr>
                  </pic:nvPicPr>
                  <pic:blipFill>
                    <a:blip r:embed="rId34"/>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5: GAM predictions for station 27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6: GAM predictions for station 30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0.png" id="0" name="Picture"/>
                    <pic:cNvPicPr>
                      <a:picLocks noChangeArrowheads="1" noChangeAspect="1"/>
                    </pic:cNvPicPr>
                  </pic:nvPicPr>
                  <pic:blipFill>
                    <a:blip r:embed="rId35"/>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6: GAM predictions for station 30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7: GAM predictions for station 3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2.png" id="0" name="Picture"/>
                    <pic:cNvPicPr>
                      <a:picLocks noChangeArrowheads="1" noChangeAspect="1"/>
                    </pic:cNvPicPr>
                  </pic:nvPicPr>
                  <pic:blipFill>
                    <a:blip r:embed="rId36"/>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7: GAM predictions for station 32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8: GAM predictions for station 3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4.png" id="0" name="Picture"/>
                    <pic:cNvPicPr>
                      <a:picLocks noChangeArrowheads="1" noChangeAspect="1"/>
                    </pic:cNvPicPr>
                  </pic:nvPicPr>
                  <pic:blipFill>
                    <a:blip r:embed="rId37"/>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8: GAM predictions for station 34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9: GAM predictions for station 36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6.png" id="0" name="Picture"/>
                    <pic:cNvPicPr>
                      <a:picLocks noChangeArrowheads="1" noChangeAspect="1"/>
                    </pic:cNvPicPr>
                  </pic:nvPicPr>
                  <pic:blipFill>
                    <a:blip r:embed="rId38"/>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9: GAM predictions for station 36 for model S. The results show predictions across the time series and predictions by day of year. Observed data in are shown with the gray points.</w:t>
      </w:r>
    </w:p>
    <w:bookmarkStart w:id="41" w:name="refs"/>
    <w:bookmarkStart w:id="39" w:name="ref-Bradu70"/>
    <w:p>
      <w:pPr>
        <w:pStyle w:val="Bibliography"/>
      </w:pPr>
      <w:r>
        <w:t xml:space="preserve">Bradu, D., and Y. Mundlak. 1970. Estimation in lognormal linear models. Journal of the American Statistical Association 65:198–211.</w:t>
      </w:r>
    </w:p>
    <w:bookmarkEnd w:id="39"/>
    <w:bookmarkStart w:id="40" w:name="ref-Duan83"/>
    <w:p>
      <w:pPr>
        <w:pStyle w:val="Bibliography"/>
      </w:pPr>
      <w:r>
        <w:t xml:space="preserve">Duan, N. 1983. Smearing estimate: A nonparametric retransformation method. Journal of the American Statistical Association 78:605–610.</w:t>
      </w:r>
    </w:p>
    <w:bookmarkEnd w:id="40"/>
    <w:bookmarkEnd w:id="4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2021-04-09T16:56:38Z</dcterms:created>
  <dcterms:modified xsi:type="dcterms:W3CDTF">2021-04-09T16:56:38Z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ecological-applications.csl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