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80"/>
        <w:rPr/>
      </w:pPr>
      <w:r>
        <w:rPr/>
      </w:r>
    </w:p>
    <w:p>
      <w:pPr>
        <w:pStyle w:val="Normal"/>
        <w:spacing w:before="0" w:after="40"/>
        <w:jc w:val="center"/>
        <w:rPr/>
      </w:pPr>
      <w:r>
        <w:rPr>
          <w:rFonts w:ascii="Georgia" w:hAnsi="Georgia"/>
          <w:b/>
          <w:i w:val="false"/>
          <w:color w:val="0A6E94"/>
          <w:sz w:val="92"/>
        </w:rPr>
        <w:t>COM</w:t>
      </w:r>
    </w:p>
    <w:p>
      <w:pPr>
        <w:pStyle w:val="Normal"/>
        <w:spacing w:before="0" w:after="520"/>
        <w:jc w:val="center"/>
        <w:rPr/>
      </w:pPr>
      <w:r>
        <w:rPr>
          <w:rFonts w:ascii="Georgia" w:hAnsi="Georgia"/>
          <w:b w:val="false"/>
          <w:i w:val="false"/>
          <w:color w:val="13232C"/>
          <w:sz w:val="34"/>
        </w:rPr>
        <w:t>Channel Operating Margin — Python Implementation</w:t>
      </w:r>
    </w:p>
    <w:p>
      <w:pPr>
        <w:pStyle w:val="Normal"/>
        <w:spacing w:before="0" w:after="1080"/>
        <w:jc w:val="center"/>
        <w:rPr/>
      </w:pPr>
      <w:r>
        <w:rPr>
          <w:b w:val="false"/>
          <w:i/>
          <w:color w:val="5A6B74"/>
          <w:sz w:val="26"/>
        </w:rPr>
        <w:t>A complete tutorial and reference</w:t>
      </w:r>
    </w:p>
    <w:p>
      <w:pPr>
        <w:pStyle w:val="Normal"/>
        <w:spacing w:before="0" w:after="1800"/>
        <w:jc w:val="center"/>
        <w:rPr/>
      </w:pPr>
      <w:r>
        <w:rPr>
          <w:b w:val="false"/>
          <w:i w:val="false"/>
          <w:color w:val="5A6B74"/>
          <w:sz w:val="22"/>
        </w:rPr>
        <w:t>Covering the COM engine, its configuration surface, the equalizer-search study layer, and the R reporting tools.</w:t>
      </w:r>
    </w:p>
    <w:p>
      <w:pPr>
        <w:pStyle w:val="Normal"/>
        <w:spacing w:before="0" w:after="80"/>
        <w:jc w:val="center"/>
        <w:rPr/>
      </w:pPr>
      <w:r>
        <w:rPr>
          <w:rFonts w:ascii="Consolas" w:hAnsi="Consolas"/>
          <w:b w:val="false"/>
          <w:i w:val="false"/>
          <w:color w:val="5A6B74"/>
          <w:sz w:val="20"/>
        </w:rPr>
        <w:t>Version 1.0  ·  11 August 2026</w:t>
      </w:r>
    </w:p>
    <w:p>
      <w:pPr>
        <w:pStyle w:val="Normal"/>
        <w:spacing w:before="0" w:after="140"/>
        <w:jc w:val="center"/>
        <w:rPr/>
      </w:pPr>
      <w:r>
        <w:rPr>
          <w:rFonts w:ascii="Consolas" w:hAnsi="Consolas"/>
          <w:b w:val="false"/>
          <w:i w:val="false"/>
          <w:color w:val="5A6B74"/>
          <w:sz w:val="20"/>
        </w:rPr>
        <w:t>IEEE 802.3ck / 802.3dj  ·  port of com_ieee8023_4p15p0.m</w:t>
      </w:r>
    </w:p>
    <w:p>
      <w:pPr>
        <w:pStyle w:val="Normal"/>
        <w:rPr/>
      </w:pPr>
      <w:r>
        <w:rPr/>
      </w:r>
      <w:r>
        <w:br w:type="page"/>
      </w:r>
    </w:p>
    <w:p>
      <w:pPr>
        <w:pStyle w:val="Heading1"/>
        <w:spacing w:before="0" w:after="160"/>
        <w:rPr/>
      </w:pPr>
      <w:bookmarkStart w:id="0" w:name="__RefHeading___Toc10380_518488682"/>
      <w:bookmarkEnd w:id="0"/>
      <w:r>
        <w:rPr/>
        <w:t>Contents</w:t>
      </w:r>
    </w:p>
    <w:sdt>
      <w:sdtPr>
        <w:docPartObj>
          <w:docPartGallery w:val="Table of Contents"/>
          <w:docPartUnique w:val="true"/>
        </w:docPartObj>
      </w:sdtPr>
      <w:sdtContent>
        <w:p>
          <w:pPr>
            <w:pStyle w:val="TOC1"/>
            <w:tabs>
              <w:tab w:val="clear" w:pos="9504"/>
              <w:tab w:val="right" w:pos="9503" w:leader="dot"/>
            </w:tabs>
            <w:rPr/>
          </w:pPr>
          <w:r>
            <w:fldChar w:fldCharType="begin"/>
          </w:r>
          <w:r>
            <w:rPr>
              <w:rStyle w:val="IndexLink"/>
              <w:webHidden/>
            </w:rPr>
            <w:instrText xml:space="preserve"> TOC \z \o "1-2" \u \h</w:instrText>
          </w:r>
          <w:r>
            <w:rPr>
              <w:rStyle w:val="IndexLink"/>
              <w:webHidden/>
            </w:rPr>
            <w:fldChar w:fldCharType="separate"/>
          </w:r>
          <w:hyperlink w:anchor="__RefHeading___Toc10380_518488682" w:tooltip="Contents">
            <w:r>
              <w:rPr>
                <w:rStyle w:val="IndexLink"/>
                <w:webHidden/>
              </w:rPr>
              <w:t>Contents</w:t>
              <w:tab/>
              <w:t>2</w:t>
            </w:r>
          </w:hyperlink>
        </w:p>
        <w:p>
          <w:pPr>
            <w:pStyle w:val="TOC1"/>
            <w:tabs>
              <w:tab w:val="clear" w:pos="9504"/>
              <w:tab w:val="right" w:pos="9503" w:leader="dot"/>
            </w:tabs>
            <w:rPr/>
          </w:pPr>
          <w:hyperlink w:anchor="__RefHeading___Toc10382_518488682" w:tooltip="1 Introduction">
            <w:r>
              <w:rPr>
                <w:rStyle w:val="IndexLink"/>
                <w:webHidden/>
              </w:rPr>
              <w:t>1 Introduction</w:t>
              <w:tab/>
              <w:t>6</w:t>
            </w:r>
          </w:hyperlink>
        </w:p>
        <w:p>
          <w:pPr>
            <w:pStyle w:val="TOC2"/>
            <w:tabs>
              <w:tab w:val="clear" w:pos="9221"/>
              <w:tab w:val="right" w:pos="9503" w:leader="dot"/>
            </w:tabs>
            <w:rPr/>
          </w:pPr>
          <w:hyperlink w:anchor="__RefHeading___Toc10384_518488682" w:tooltip="1.1 What this is">
            <w:r>
              <w:rPr>
                <w:rStyle w:val="IndexLink"/>
                <w:webHidden/>
              </w:rPr>
              <w:t>1.1 What this is</w:t>
              <w:tab/>
              <w:t>6</w:t>
            </w:r>
          </w:hyperlink>
        </w:p>
        <w:p>
          <w:pPr>
            <w:pStyle w:val="TOC2"/>
            <w:tabs>
              <w:tab w:val="clear" w:pos="9221"/>
              <w:tab w:val="right" w:pos="9503" w:leader="dot"/>
            </w:tabs>
            <w:rPr/>
          </w:pPr>
          <w:hyperlink w:anchor="__RefHeading___Toc10386_518488682" w:tooltip="1.2 What it adds beyond the MATLAB tool">
            <w:r>
              <w:rPr>
                <w:rStyle w:val="IndexLink"/>
                <w:webHidden/>
              </w:rPr>
              <w:t>1.2 What it adds beyond the MATLAB tool</w:t>
              <w:tab/>
              <w:t>6</w:t>
            </w:r>
          </w:hyperlink>
        </w:p>
        <w:p>
          <w:pPr>
            <w:pStyle w:val="TOC2"/>
            <w:tabs>
              <w:tab w:val="clear" w:pos="9221"/>
              <w:tab w:val="right" w:pos="9503" w:leader="dot"/>
            </w:tabs>
            <w:rPr/>
          </w:pPr>
          <w:hyperlink w:anchor="__RefHeading___Toc10388_518488682" w:tooltip="1.3 How to read this document">
            <w:r>
              <w:rPr>
                <w:rStyle w:val="IndexLink"/>
                <w:webHidden/>
              </w:rPr>
              <w:t>1.3 How to read this document</w:t>
              <w:tab/>
              <w:t>6</w:t>
            </w:r>
          </w:hyperlink>
        </w:p>
        <w:p>
          <w:pPr>
            <w:pStyle w:val="TOC1"/>
            <w:tabs>
              <w:tab w:val="clear" w:pos="9504"/>
              <w:tab w:val="right" w:pos="9503" w:leader="dot"/>
            </w:tabs>
            <w:rPr/>
          </w:pPr>
          <w:hyperlink w:anchor="__RefHeading___Toc10390_518488682" w:tooltip="2 Installation and first run">
            <w:r>
              <w:rPr>
                <w:rStyle w:val="IndexLink"/>
                <w:webHidden/>
              </w:rPr>
              <w:t>2 Installation and first run</w:t>
              <w:tab/>
              <w:t>8</w:t>
            </w:r>
          </w:hyperlink>
        </w:p>
        <w:p>
          <w:pPr>
            <w:pStyle w:val="TOC2"/>
            <w:tabs>
              <w:tab w:val="clear" w:pos="9221"/>
              <w:tab w:val="right" w:pos="9503" w:leader="dot"/>
            </w:tabs>
            <w:rPr/>
          </w:pPr>
          <w:hyperlink w:anchor="__RefHeading___Toc10392_518488682" w:tooltip="2.1 Requirements">
            <w:r>
              <w:rPr>
                <w:rStyle w:val="IndexLink"/>
                <w:webHidden/>
              </w:rPr>
              <w:t>2.1 Requirements</w:t>
              <w:tab/>
              <w:t>8</w:t>
            </w:r>
          </w:hyperlink>
        </w:p>
        <w:p>
          <w:pPr>
            <w:pStyle w:val="TOC2"/>
            <w:tabs>
              <w:tab w:val="clear" w:pos="9221"/>
              <w:tab w:val="right" w:pos="9503" w:leader="dot"/>
            </w:tabs>
            <w:rPr/>
          </w:pPr>
          <w:hyperlink w:anchor="__RefHeading___Toc10394_518488682" w:tooltip="2.2 What ships, and what does not">
            <w:r>
              <w:rPr>
                <w:rStyle w:val="IndexLink"/>
                <w:webHidden/>
              </w:rPr>
              <w:t>2.2 What ships, and what does not</w:t>
              <w:tab/>
              <w:t>8</w:t>
            </w:r>
          </w:hyperlink>
        </w:p>
        <w:p>
          <w:pPr>
            <w:pStyle w:val="TOC2"/>
            <w:tabs>
              <w:tab w:val="clear" w:pos="9221"/>
              <w:tab w:val="right" w:pos="9503" w:leader="dot"/>
            </w:tabs>
            <w:rPr/>
          </w:pPr>
          <w:hyperlink w:anchor="__RefHeading___Toc10396_518488682" w:tooltip="2.3 Running COM">
            <w:r>
              <w:rPr>
                <w:rStyle w:val="IndexLink"/>
                <w:webHidden/>
              </w:rPr>
              <w:t>2.3 Running COM</w:t>
              <w:tab/>
              <w:t>8</w:t>
            </w:r>
          </w:hyperlink>
        </w:p>
        <w:p>
          <w:pPr>
            <w:pStyle w:val="TOC2"/>
            <w:tabs>
              <w:tab w:val="clear" w:pos="9221"/>
              <w:tab w:val="right" w:pos="9503" w:leader="dot"/>
            </w:tabs>
            <w:rPr/>
          </w:pPr>
          <w:hyperlink w:anchor="__RefHeading___Toc10398_518488682" w:tooltip="2.4 Where output goes">
            <w:r>
              <w:rPr>
                <w:rStyle w:val="IndexLink"/>
                <w:webHidden/>
              </w:rPr>
              <w:t>2.4 Where output goes</w:t>
              <w:tab/>
              <w:t>10</w:t>
            </w:r>
          </w:hyperlink>
        </w:p>
        <w:p>
          <w:pPr>
            <w:pStyle w:val="TOC1"/>
            <w:tabs>
              <w:tab w:val="clear" w:pos="9504"/>
              <w:tab w:val="right" w:pos="9503" w:leader="dot"/>
            </w:tabs>
            <w:rPr/>
          </w:pPr>
          <w:hyperlink w:anchor="__RefHeading___Toc10400_518488682" w:tooltip="3 Architecture">
            <w:r>
              <w:rPr>
                <w:rStyle w:val="IndexLink"/>
                <w:webHidden/>
              </w:rPr>
              <w:t>3 Architecture</w:t>
              <w:tab/>
              <w:t>11</w:t>
            </w:r>
          </w:hyperlink>
        </w:p>
        <w:p>
          <w:pPr>
            <w:pStyle w:val="TOC2"/>
            <w:tabs>
              <w:tab w:val="clear" w:pos="9221"/>
              <w:tab w:val="right" w:pos="9503" w:leader="dot"/>
            </w:tabs>
            <w:rPr/>
          </w:pPr>
          <w:hyperlink w:anchor="__RefHeading___Toc10402_518488682" w:tooltip="3.1 The assembly model">
            <w:r>
              <w:rPr>
                <w:rStyle w:val="IndexLink"/>
                <w:webHidden/>
              </w:rPr>
              <w:t>3.1 The assembly model</w:t>
              <w:tab/>
              <w:t>11</w:t>
            </w:r>
          </w:hyperlink>
        </w:p>
        <w:p>
          <w:pPr>
            <w:pStyle w:val="TOC2"/>
            <w:tabs>
              <w:tab w:val="clear" w:pos="9221"/>
              <w:tab w:val="right" w:pos="9503" w:leader="dot"/>
            </w:tabs>
            <w:rPr/>
          </w:pPr>
          <w:hyperlink w:anchor="__RefHeading___Toc10404_518488682" w:tooltip="3.2 Dependency injection">
            <w:r>
              <w:rPr>
                <w:rStyle w:val="IndexLink"/>
                <w:webHidden/>
              </w:rPr>
              <w:t>3.2 Dependency injection</w:t>
              <w:tab/>
              <w:t>11</w:t>
            </w:r>
          </w:hyperlink>
        </w:p>
        <w:p>
          <w:pPr>
            <w:pStyle w:val="TOC2"/>
            <w:tabs>
              <w:tab w:val="clear" w:pos="9221"/>
              <w:tab w:val="right" w:pos="9503" w:leader="dot"/>
            </w:tabs>
            <w:rPr/>
          </w:pPr>
          <w:hyperlink w:anchor="__RefHeading___Toc10406_518488682" w:tooltip="3.3 Search instrumentation">
            <w:r>
              <w:rPr>
                <w:rStyle w:val="IndexLink"/>
                <w:webHidden/>
              </w:rPr>
              <w:t>3.3 Search instrumentation</w:t>
              <w:tab/>
              <w:t>11</w:t>
            </w:r>
          </w:hyperlink>
        </w:p>
        <w:p>
          <w:pPr>
            <w:pStyle w:val="TOC2"/>
            <w:tabs>
              <w:tab w:val="clear" w:pos="9221"/>
              <w:tab w:val="right" w:pos="9503" w:leader="dot"/>
            </w:tabs>
            <w:rPr/>
          </w:pPr>
          <w:hyperlink w:anchor="__RefHeading___Toc10408_518488682" w:tooltip="3.4 Modules that sit beside the engine">
            <w:r>
              <w:rPr>
                <w:rStyle w:val="IndexLink"/>
                <w:webHidden/>
              </w:rPr>
              <w:t>3.4 Modules that sit beside the engine</w:t>
              <w:tab/>
              <w:t>12</w:t>
            </w:r>
          </w:hyperlink>
        </w:p>
        <w:p>
          <w:pPr>
            <w:pStyle w:val="TOC2"/>
            <w:tabs>
              <w:tab w:val="clear" w:pos="9221"/>
              <w:tab w:val="right" w:pos="9503" w:leader="dot"/>
            </w:tabs>
            <w:rPr/>
          </w:pPr>
          <w:hyperlink w:anchor="__RefHeading___Toc10410_518488682" w:tooltip="3.5 Repository layout">
            <w:r>
              <w:rPr>
                <w:rStyle w:val="IndexLink"/>
                <w:webHidden/>
              </w:rPr>
              <w:t>3.5 Repository layout</w:t>
              <w:tab/>
              <w:t>12</w:t>
            </w:r>
          </w:hyperlink>
        </w:p>
        <w:p>
          <w:pPr>
            <w:pStyle w:val="TOC1"/>
            <w:tabs>
              <w:tab w:val="clear" w:pos="9504"/>
              <w:tab w:val="right" w:pos="9503" w:leader="dot"/>
            </w:tabs>
            <w:rPr/>
          </w:pPr>
          <w:hyperlink w:anchor="__RefHeading___Toc10412_518488682" w:tooltip="4 Inputs">
            <w:r>
              <w:rPr>
                <w:rStyle w:val="IndexLink"/>
                <w:webHidden/>
              </w:rPr>
              <w:t>4 Inputs</w:t>
              <w:tab/>
              <w:t>13</w:t>
            </w:r>
          </w:hyperlink>
        </w:p>
        <w:p>
          <w:pPr>
            <w:pStyle w:val="TOC2"/>
            <w:tabs>
              <w:tab w:val="clear" w:pos="9221"/>
              <w:tab w:val="right" w:pos="9503" w:leader="dot"/>
            </w:tabs>
            <w:rPr/>
          </w:pPr>
          <w:hyperlink w:anchor="__RefHeading___Toc10414_518488682" w:tooltip="4.1 The configuration spreadsheet">
            <w:r>
              <w:rPr>
                <w:rStyle w:val="IndexLink"/>
                <w:webHidden/>
              </w:rPr>
              <w:t>4.1 The configuration spreadsheet</w:t>
              <w:tab/>
              <w:t>13</w:t>
            </w:r>
          </w:hyperlink>
        </w:p>
        <w:p>
          <w:pPr>
            <w:pStyle w:val="TOC2"/>
            <w:tabs>
              <w:tab w:val="clear" w:pos="9221"/>
              <w:tab w:val="right" w:pos="9503" w:leader="dot"/>
            </w:tabs>
            <w:rPr/>
          </w:pPr>
          <w:hyperlink w:anchor="__RefHeading___Toc10416_518488682" w:tooltip="4.2 S-parameter files">
            <w:r>
              <w:rPr>
                <w:rStyle w:val="IndexLink"/>
                <w:webHidden/>
              </w:rPr>
              <w:t>4.2 S-parameter files</w:t>
              <w:tab/>
              <w:t>13</w:t>
            </w:r>
          </w:hyperlink>
        </w:p>
        <w:p>
          <w:pPr>
            <w:pStyle w:val="TOC2"/>
            <w:tabs>
              <w:tab w:val="clear" w:pos="9221"/>
              <w:tab w:val="right" w:pos="9503" w:leader="dot"/>
            </w:tabs>
            <w:rPr/>
          </w:pPr>
          <w:hyperlink w:anchor="__RefHeading___Toc10418_518488682" w:tooltip="4.3 Package cases">
            <w:r>
              <w:rPr>
                <w:rStyle w:val="IndexLink"/>
                <w:webHidden/>
              </w:rPr>
              <w:t>4.3 Package cases</w:t>
              <w:tab/>
              <w:t>14</w:t>
            </w:r>
          </w:hyperlink>
        </w:p>
        <w:p>
          <w:pPr>
            <w:pStyle w:val="TOC1"/>
            <w:tabs>
              <w:tab w:val="clear" w:pos="9504"/>
              <w:tab w:val="right" w:pos="9503" w:leader="dot"/>
            </w:tabs>
            <w:rPr/>
          </w:pPr>
          <w:hyperlink w:anchor="__RefHeading___Toc10420_518488682" w:tooltip="5 Configuration: the parameters that matter">
            <w:r>
              <w:rPr>
                <w:rStyle w:val="IndexLink"/>
                <w:webHidden/>
              </w:rPr>
              <w:t>5 Configuration: the parameters that matter</w:t>
              <w:tab/>
              <w:t>15</w:t>
            </w:r>
          </w:hyperlink>
        </w:p>
        <w:p>
          <w:pPr>
            <w:pStyle w:val="TOC2"/>
            <w:tabs>
              <w:tab w:val="clear" w:pos="9221"/>
              <w:tab w:val="right" w:pos="9503" w:leader="dot"/>
            </w:tabs>
            <w:rPr/>
          </w:pPr>
          <w:hyperlink w:anchor="__RefHeading___Toc10422_518488682" w:tooltip="5.1 Signalling and test limits">
            <w:r>
              <w:rPr>
                <w:rStyle w:val="IndexLink"/>
                <w:webHidden/>
              </w:rPr>
              <w:t>5.1 Signalling and test limits</w:t>
              <w:tab/>
              <w:t>15</w:t>
            </w:r>
          </w:hyperlink>
        </w:p>
        <w:p>
          <w:pPr>
            <w:pStyle w:val="TOC2"/>
            <w:tabs>
              <w:tab w:val="clear" w:pos="9221"/>
              <w:tab w:val="right" w:pos="9503" w:leader="dot"/>
            </w:tabs>
            <w:rPr/>
          </w:pPr>
          <w:hyperlink w:anchor="__RefHeading___Toc10424_518488682" w:tooltip="5.2 Equalizer sweeps">
            <w:r>
              <w:rPr>
                <w:rStyle w:val="IndexLink"/>
                <w:webHidden/>
              </w:rPr>
              <w:t>5.2 Equalizer sweeps</w:t>
              <w:tab/>
              <w:t>15</w:t>
            </w:r>
          </w:hyperlink>
        </w:p>
        <w:p>
          <w:pPr>
            <w:pStyle w:val="TOC2"/>
            <w:tabs>
              <w:tab w:val="clear" w:pos="9221"/>
              <w:tab w:val="right" w:pos="9503" w:leader="dot"/>
            </w:tabs>
            <w:rPr/>
          </w:pPr>
          <w:hyperlink w:anchor="__RefHeading___Toc10426_518488682" w:tooltip="5.3 Noise, jitter and crosstalk">
            <w:r>
              <w:rPr>
                <w:rStyle w:val="IndexLink"/>
                <w:webHidden/>
              </w:rPr>
              <w:t>5.3 Noise, jitter and crosstalk</w:t>
              <w:tab/>
              <w:t>15</w:t>
            </w:r>
          </w:hyperlink>
        </w:p>
        <w:p>
          <w:pPr>
            <w:pStyle w:val="TOC2"/>
            <w:tabs>
              <w:tab w:val="clear" w:pos="9221"/>
              <w:tab w:val="right" w:pos="9503" w:leader="dot"/>
            </w:tabs>
            <w:rPr/>
          </w:pPr>
          <w:hyperlink w:anchor="__RefHeading___Toc10428_518488682" w:tooltip="5.4 Package, die and termination">
            <w:r>
              <w:rPr>
                <w:rStyle w:val="IndexLink"/>
                <w:webHidden/>
              </w:rPr>
              <w:t>5.4 Package, die and termination</w:t>
              <w:tab/>
              <w:t>16</w:t>
            </w:r>
          </w:hyperlink>
        </w:p>
        <w:p>
          <w:pPr>
            <w:pStyle w:val="TOC2"/>
            <w:tabs>
              <w:tab w:val="clear" w:pos="9221"/>
              <w:tab w:val="right" w:pos="9503" w:leader="dot"/>
            </w:tabs>
            <w:rPr/>
          </w:pPr>
          <w:hyperlink w:anchor="__RefHeading___Toc10430_518488682" w:tooltip="5.5 Output flags">
            <w:r>
              <w:rPr>
                <w:rStyle w:val="IndexLink"/>
                <w:webHidden/>
              </w:rPr>
              <w:t>5.5 Output flags</w:t>
              <w:tab/>
              <w:t>16</w:t>
            </w:r>
          </w:hyperlink>
        </w:p>
        <w:p>
          <w:pPr>
            <w:pStyle w:val="TOC1"/>
            <w:tabs>
              <w:tab w:val="clear" w:pos="9504"/>
              <w:tab w:val="right" w:pos="9503" w:leader="dot"/>
            </w:tabs>
            <w:rPr/>
          </w:pPr>
          <w:hyperlink w:anchor="__RefHeading___Toc10432_518488682" w:tooltip="6 Feature reference">
            <w:r>
              <w:rPr>
                <w:rStyle w:val="IndexLink"/>
                <w:webHidden/>
              </w:rPr>
              <w:t>6 Feature reference</w:t>
              <w:tab/>
              <w:t>17</w:t>
            </w:r>
          </w:hyperlink>
        </w:p>
        <w:p>
          <w:pPr>
            <w:pStyle w:val="TOC2"/>
            <w:tabs>
              <w:tab w:val="clear" w:pos="9221"/>
              <w:tab w:val="right" w:pos="9503" w:leader="dot"/>
            </w:tabs>
            <w:rPr/>
          </w:pPr>
          <w:hyperlink w:anchor="__RefHeading___Toc10434_518488682" w:tooltip="6.1 Transmit FFE">
            <w:r>
              <w:rPr>
                <w:rStyle w:val="IndexLink"/>
                <w:webHidden/>
              </w:rPr>
              <w:t>6.1 Transmit FFE</w:t>
              <w:tab/>
              <w:t>17</w:t>
            </w:r>
          </w:hyperlink>
        </w:p>
        <w:p>
          <w:pPr>
            <w:pStyle w:val="TOC2"/>
            <w:tabs>
              <w:tab w:val="clear" w:pos="9221"/>
              <w:tab w:val="right" w:pos="9503" w:leader="dot"/>
            </w:tabs>
            <w:rPr/>
          </w:pPr>
          <w:hyperlink w:anchor="__RefHeading___Toc10436_518488682" w:tooltip="6.2 CTLE">
            <w:r>
              <w:rPr>
                <w:rStyle w:val="IndexLink"/>
                <w:webHidden/>
              </w:rPr>
              <w:t>6.2 CTLE</w:t>
              <w:tab/>
              <w:t>17</w:t>
            </w:r>
          </w:hyperlink>
        </w:p>
        <w:p>
          <w:pPr>
            <w:pStyle w:val="TOC2"/>
            <w:tabs>
              <w:tab w:val="clear" w:pos="9221"/>
              <w:tab w:val="right" w:pos="9503" w:leader="dot"/>
            </w:tabs>
            <w:rPr/>
          </w:pPr>
          <w:hyperlink w:anchor="__RefHeading___Toc10438_518488682" w:tooltip="6.3 Decision feedback equalization">
            <w:r>
              <w:rPr>
                <w:rStyle w:val="IndexLink"/>
                <w:webHidden/>
              </w:rPr>
              <w:t>6.3 Decision feedback equalization</w:t>
              <w:tab/>
              <w:t>17</w:t>
            </w:r>
          </w:hyperlink>
        </w:p>
        <w:p>
          <w:pPr>
            <w:pStyle w:val="TOC2"/>
            <w:tabs>
              <w:tab w:val="clear" w:pos="9221"/>
              <w:tab w:val="right" w:pos="9503" w:leader="dot"/>
            </w:tabs>
            <w:rPr/>
          </w:pPr>
          <w:hyperlink w:anchor="__RefHeading___Toc10440_518488682" w:tooltip="6.4 Receive FFE (MMSE)">
            <w:r>
              <w:rPr>
                <w:rStyle w:val="IndexLink"/>
                <w:webHidden/>
              </w:rPr>
              <w:t>6.4 Receive FFE (MMSE)</w:t>
              <w:tab/>
              <w:t>17</w:t>
            </w:r>
          </w:hyperlink>
        </w:p>
        <w:p>
          <w:pPr>
            <w:pStyle w:val="TOC2"/>
            <w:tabs>
              <w:tab w:val="clear" w:pos="9221"/>
              <w:tab w:val="right" w:pos="9503" w:leader="dot"/>
            </w:tabs>
            <w:rPr/>
          </w:pPr>
          <w:hyperlink w:anchor="__RefHeading___Toc10442_518488682" w:tooltip="6.5 MLSE">
            <w:r>
              <w:rPr>
                <w:rStyle w:val="IndexLink"/>
                <w:webHidden/>
              </w:rPr>
              <w:t>6.5 MLSE</w:t>
              <w:tab/>
              <w:t>18</w:t>
            </w:r>
          </w:hyperlink>
        </w:p>
        <w:p>
          <w:pPr>
            <w:pStyle w:val="TOC2"/>
            <w:tabs>
              <w:tab w:val="clear" w:pos="9221"/>
              <w:tab w:val="right" w:pos="9503" w:leader="dot"/>
            </w:tabs>
            <w:rPr/>
          </w:pPr>
          <w:hyperlink w:anchor="__RefHeading___Toc10444_518488682" w:tooltip="6.6 Crosstalk">
            <w:r>
              <w:rPr>
                <w:rStyle w:val="IndexLink"/>
                <w:webHidden/>
              </w:rPr>
              <w:t>6.6 Crosstalk</w:t>
              <w:tab/>
              <w:t>18</w:t>
            </w:r>
          </w:hyperlink>
        </w:p>
        <w:p>
          <w:pPr>
            <w:pStyle w:val="TOC2"/>
            <w:tabs>
              <w:tab w:val="clear" w:pos="9221"/>
              <w:tab w:val="right" w:pos="9503" w:leader="dot"/>
            </w:tabs>
            <w:rPr/>
          </w:pPr>
          <w:hyperlink w:anchor="__RefHeading___Toc10446_518488682" w:tooltip="6.7 ERL and TDR">
            <w:r>
              <w:rPr>
                <w:rStyle w:val="IndexLink"/>
                <w:webHidden/>
              </w:rPr>
              <w:t>6.7 ERL and TDR</w:t>
              <w:tab/>
              <w:t>18</w:t>
            </w:r>
          </w:hyperlink>
        </w:p>
        <w:p>
          <w:pPr>
            <w:pStyle w:val="TOC2"/>
            <w:tabs>
              <w:tab w:val="clear" w:pos="9221"/>
              <w:tab w:val="right" w:pos="9503" w:leader="dot"/>
            </w:tabs>
            <w:rPr/>
          </w:pPr>
          <w:hyperlink w:anchor="__RefHeading___Toc10448_518488682" w:tooltip="6.8 Frequency-domain metrics">
            <w:r>
              <w:rPr>
                <w:rStyle w:val="IndexLink"/>
                <w:webHidden/>
              </w:rPr>
              <w:t>6.8 Frequency-domain metrics</w:t>
              <w:tab/>
              <w:t>18</w:t>
            </w:r>
          </w:hyperlink>
        </w:p>
        <w:p>
          <w:pPr>
            <w:pStyle w:val="TOC2"/>
            <w:tabs>
              <w:tab w:val="clear" w:pos="9221"/>
              <w:tab w:val="right" w:pos="9503" w:leader="dot"/>
            </w:tabs>
            <w:rPr/>
          </w:pPr>
          <w:hyperlink w:anchor="__RefHeading___Toc10450_518488682" w:tooltip="6.9 Receiver calibration">
            <w:r>
              <w:rPr>
                <w:rStyle w:val="IndexLink"/>
                <w:webHidden/>
              </w:rPr>
              <w:t>6.9 Receiver calibration</w:t>
              <w:tab/>
              <w:t>18</w:t>
            </w:r>
          </w:hyperlink>
        </w:p>
        <w:p>
          <w:pPr>
            <w:pStyle w:val="TOC2"/>
            <w:tabs>
              <w:tab w:val="clear" w:pos="9221"/>
              <w:tab w:val="right" w:pos="9503" w:leader="dot"/>
            </w:tabs>
            <w:rPr/>
          </w:pPr>
          <w:hyperlink w:anchor="__RefHeading___Toc10452_518488682" w:tooltip="6.10 C2M: VEO and VEC">
            <w:r>
              <w:rPr>
                <w:rStyle w:val="IndexLink"/>
                <w:webHidden/>
              </w:rPr>
              <w:t>6.10 C2M: VEO and VEC</w:t>
              <w:tab/>
              <w:t>18</w:t>
            </w:r>
          </w:hyperlink>
        </w:p>
        <w:p>
          <w:pPr>
            <w:pStyle w:val="TOC2"/>
            <w:tabs>
              <w:tab w:val="clear" w:pos="9221"/>
              <w:tab w:val="right" w:pos="9503" w:leader="dot"/>
            </w:tabs>
            <w:rPr/>
          </w:pPr>
          <w:hyperlink w:anchor="__RefHeading___Toc10454_518488682" w:tooltip="6.11 Error propagation">
            <w:r>
              <w:rPr>
                <w:rStyle w:val="IndexLink"/>
                <w:webHidden/>
              </w:rPr>
              <w:t>6.11 Error propagation</w:t>
              <w:tab/>
              <w:t>18</w:t>
            </w:r>
          </w:hyperlink>
        </w:p>
        <w:p>
          <w:pPr>
            <w:pStyle w:val="TOC1"/>
            <w:tabs>
              <w:tab w:val="clear" w:pos="9504"/>
              <w:tab w:val="right" w:pos="9503" w:leader="dot"/>
            </w:tabs>
            <w:rPr/>
          </w:pPr>
          <w:hyperlink w:anchor="__RefHeading___Toc10456_518488682" w:tooltip="7 Outputs">
            <w:r>
              <w:rPr>
                <w:rStyle w:val="IndexLink"/>
                <w:webHidden/>
              </w:rPr>
              <w:t>7 Outputs</w:t>
              <w:tab/>
              <w:t>19</w:t>
            </w:r>
          </w:hyperlink>
        </w:p>
        <w:p>
          <w:pPr>
            <w:pStyle w:val="TOC2"/>
            <w:tabs>
              <w:tab w:val="clear" w:pos="9221"/>
              <w:tab w:val="right" w:pos="9503" w:leader="dot"/>
            </w:tabs>
            <w:rPr/>
          </w:pPr>
          <w:hyperlink w:anchor="__RefHeading___Toc10458_518488682" w:tooltip="7.1 The result block">
            <w:r>
              <w:rPr>
                <w:rStyle w:val="IndexLink"/>
                <w:webHidden/>
              </w:rPr>
              <w:t>7.1 The result block</w:t>
              <w:tab/>
              <w:t>19</w:t>
            </w:r>
          </w:hyperlink>
        </w:p>
        <w:p>
          <w:pPr>
            <w:pStyle w:val="TOC2"/>
            <w:tabs>
              <w:tab w:val="clear" w:pos="9221"/>
              <w:tab w:val="right" w:pos="9503" w:leader="dot"/>
            </w:tabs>
            <w:rPr/>
          </w:pPr>
          <w:hyperlink w:anchor="__RefHeading___Toc10460_518488682" w:tooltip="7.2 results.csv">
            <w:r>
              <w:rPr>
                <w:rStyle w:val="IndexLink"/>
                <w:webHidden/>
              </w:rPr>
              <w:t>7.2 results.csv</w:t>
              <w:tab/>
              <w:t>19</w:t>
            </w:r>
          </w:hyperlink>
        </w:p>
        <w:p>
          <w:pPr>
            <w:pStyle w:val="TOC2"/>
            <w:tabs>
              <w:tab w:val="clear" w:pos="9221"/>
              <w:tab w:val="right" w:pos="9503" w:leader="dot"/>
            </w:tabs>
            <w:rPr/>
          </w:pPr>
          <w:hyperlink w:anchor="__RefHeading___Toc10462_518488682" w:tooltip="7.3 Figures">
            <w:r>
              <w:rPr>
                <w:rStyle w:val="IndexLink"/>
                <w:webHidden/>
              </w:rPr>
              <w:t>7.3 Figures</w:t>
              <w:tab/>
              <w:t>19</w:t>
            </w:r>
          </w:hyperlink>
        </w:p>
        <w:p>
          <w:pPr>
            <w:pStyle w:val="TOC2"/>
            <w:tabs>
              <w:tab w:val="clear" w:pos="9221"/>
              <w:tab w:val="right" w:pos="9503" w:leader="dot"/>
            </w:tabs>
            <w:rPr/>
          </w:pPr>
          <w:hyperlink w:anchor="__RefHeading___Toc10464_518488682" w:tooltip="7.4 Engineering .mat export">
            <w:r>
              <w:rPr>
                <w:rStyle w:val="IndexLink"/>
                <w:webHidden/>
              </w:rPr>
              <w:t>7.4 Engineering .mat export</w:t>
              <w:tab/>
              <w:t>23</w:t>
            </w:r>
          </w:hyperlink>
        </w:p>
        <w:p>
          <w:pPr>
            <w:pStyle w:val="TOC1"/>
            <w:tabs>
              <w:tab w:val="clear" w:pos="9504"/>
              <w:tab w:val="right" w:pos="9503" w:leader="dot"/>
            </w:tabs>
            <w:rPr/>
          </w:pPr>
          <w:hyperlink w:anchor="__RefHeading___Toc10466_518488682" w:tooltip="8 The equalizer-search study">
            <w:r>
              <w:rPr>
                <w:rStyle w:val="IndexLink"/>
                <w:webHidden/>
              </w:rPr>
              <w:t>8 The equalizer-search study</w:t>
              <w:tab/>
              <w:t>24</w:t>
            </w:r>
          </w:hyperlink>
        </w:p>
        <w:p>
          <w:pPr>
            <w:pStyle w:val="TOC2"/>
            <w:tabs>
              <w:tab w:val="clear" w:pos="9221"/>
              <w:tab w:val="right" w:pos="9503" w:leader="dot"/>
            </w:tabs>
            <w:rPr/>
          </w:pPr>
          <w:hyperlink w:anchor="__RefHeading___Toc10468_518488682" w:tooltip="8.1 Three search methods">
            <w:r>
              <w:rPr>
                <w:rStyle w:val="IndexLink"/>
                <w:webHidden/>
              </w:rPr>
              <w:t>8.1 Three search methods</w:t>
              <w:tab/>
              <w:t>24</w:t>
            </w:r>
          </w:hyperlink>
        </w:p>
        <w:p>
          <w:pPr>
            <w:pStyle w:val="TOC2"/>
            <w:tabs>
              <w:tab w:val="clear" w:pos="9221"/>
              <w:tab w:val="right" w:pos="9503" w:leader="dot"/>
            </w:tabs>
            <w:rPr/>
          </w:pPr>
          <w:hyperlink w:anchor="__RefHeading___Toc10470_518488682" w:tooltip="8.2 Why FOM is not the whole story">
            <w:r>
              <w:rPr>
                <w:rStyle w:val="IndexLink"/>
                <w:webHidden/>
              </w:rPr>
              <w:t>8.2 Why FOM is not the whole story</w:t>
              <w:tab/>
              <w:t>24</w:t>
            </w:r>
          </w:hyperlink>
        </w:p>
        <w:p>
          <w:pPr>
            <w:pStyle w:val="TOC2"/>
            <w:tabs>
              <w:tab w:val="clear" w:pos="9221"/>
              <w:tab w:val="right" w:pos="9503" w:leader="dot"/>
            </w:tabs>
            <w:rPr/>
          </w:pPr>
          <w:hyperlink w:anchor="__RefHeading___Toc10472_518488682" w:tooltip="8.3 Comparing methods on one channel">
            <w:r>
              <w:rPr>
                <w:rStyle w:val="IndexLink"/>
                <w:webHidden/>
              </w:rPr>
              <w:t>8.3 Comparing methods on one channel</w:t>
              <w:tab/>
              <w:t>24</w:t>
            </w:r>
          </w:hyperlink>
        </w:p>
        <w:p>
          <w:pPr>
            <w:pStyle w:val="TOC2"/>
            <w:tabs>
              <w:tab w:val="clear" w:pos="9221"/>
              <w:tab w:val="right" w:pos="9503" w:leader="dot"/>
            </w:tabs>
            <w:rPr/>
          </w:pPr>
          <w:hyperlink w:anchor="__RefHeading___Toc10474_518488682" w:tooltip="8.4 Recomputing true COM near the optimum">
            <w:r>
              <w:rPr>
                <w:rStyle w:val="IndexLink"/>
                <w:webHidden/>
              </w:rPr>
              <w:t>8.4 Recomputing true COM near the optimum</w:t>
              <w:tab/>
              <w:t>25</w:t>
            </w:r>
          </w:hyperlink>
        </w:p>
        <w:p>
          <w:pPr>
            <w:pStyle w:val="TOC2"/>
            <w:tabs>
              <w:tab w:val="clear" w:pos="9221"/>
              <w:tab w:val="right" w:pos="9503" w:leader="dot"/>
            </w:tabs>
            <w:rPr/>
          </w:pPr>
          <w:hyperlink w:anchor="__RefHeading___Toc10476_518488682" w:tooltip="8.5 Running a corpus">
            <w:r>
              <w:rPr>
                <w:rStyle w:val="IndexLink"/>
                <w:webHidden/>
              </w:rPr>
              <w:t>8.5 Running a corpus</w:t>
              <w:tab/>
              <w:t>25</w:t>
            </w:r>
          </w:hyperlink>
        </w:p>
        <w:p>
          <w:pPr>
            <w:pStyle w:val="TOC2"/>
            <w:tabs>
              <w:tab w:val="clear" w:pos="9221"/>
              <w:tab w:val="right" w:pos="9503" w:leader="dot"/>
            </w:tabs>
            <w:rPr/>
          </w:pPr>
          <w:hyperlink w:anchor="__RefHeading___Toc10478_518488682" w:tooltip="8.6 Results to date">
            <w:r>
              <w:rPr>
                <w:rStyle w:val="IndexLink"/>
                <w:webHidden/>
              </w:rPr>
              <w:t>8.6 Results to date</w:t>
              <w:tab/>
              <w:t>26</w:t>
            </w:r>
          </w:hyperlink>
        </w:p>
        <w:p>
          <w:pPr>
            <w:pStyle w:val="TOC2"/>
            <w:tabs>
              <w:tab w:val="clear" w:pos="9221"/>
              <w:tab w:val="right" w:pos="9503" w:leader="dot"/>
            </w:tabs>
            <w:rPr/>
          </w:pPr>
          <w:hyperlink w:anchor="__RefHeading___Toc10480_518488682" w:tooltip="8.7 Diagnosing history dependence">
            <w:r>
              <w:rPr>
                <w:rStyle w:val="IndexLink"/>
                <w:webHidden/>
              </w:rPr>
              <w:t>8.7 Diagnosing history dependence</w:t>
              <w:tab/>
              <w:t>27</w:t>
            </w:r>
          </w:hyperlink>
        </w:p>
        <w:p>
          <w:pPr>
            <w:pStyle w:val="TOC1"/>
            <w:tabs>
              <w:tab w:val="clear" w:pos="9504"/>
              <w:tab w:val="right" w:pos="9503" w:leader="dot"/>
            </w:tabs>
            <w:rPr/>
          </w:pPr>
          <w:hyperlink w:anchor="__RefHeading___Toc10482_518488682" w:tooltip="9 The R reporting layer">
            <w:r>
              <w:rPr>
                <w:rStyle w:val="IndexLink"/>
                <w:webHidden/>
              </w:rPr>
              <w:t>9 The R reporting layer</w:t>
              <w:tab/>
              <w:t>28</w:t>
            </w:r>
          </w:hyperlink>
        </w:p>
        <w:p>
          <w:pPr>
            <w:pStyle w:val="TOC2"/>
            <w:tabs>
              <w:tab w:val="clear" w:pos="9221"/>
              <w:tab w:val="right" w:pos="9503" w:leader="dot"/>
            </w:tabs>
            <w:rPr/>
          </w:pPr>
          <w:hyperlink w:anchor="__RefHeading___Toc10484_518488682" w:tooltip="9.1 Single-run engineering dashboard">
            <w:r>
              <w:rPr>
                <w:rStyle w:val="IndexLink"/>
                <w:webHidden/>
              </w:rPr>
              <w:t>9.1 Single-run engineering dashboard</w:t>
              <w:tab/>
              <w:t>28</w:t>
            </w:r>
          </w:hyperlink>
        </w:p>
        <w:p>
          <w:pPr>
            <w:pStyle w:val="TOC2"/>
            <w:tabs>
              <w:tab w:val="clear" w:pos="9221"/>
              <w:tab w:val="right" w:pos="9503" w:leader="dot"/>
            </w:tabs>
            <w:rPr/>
          </w:pPr>
          <w:hyperlink w:anchor="__RefHeading___Toc10486_518488682" w:tooltip="9.2 Single-channel search comparison">
            <w:r>
              <w:rPr>
                <w:rStyle w:val="IndexLink"/>
                <w:webHidden/>
              </w:rPr>
              <w:t>9.2 Single-channel search comparison</w:t>
              <w:tab/>
              <w:t>28</w:t>
            </w:r>
          </w:hyperlink>
        </w:p>
        <w:p>
          <w:pPr>
            <w:pStyle w:val="TOC2"/>
            <w:tabs>
              <w:tab w:val="clear" w:pos="9221"/>
              <w:tab w:val="right" w:pos="9503" w:leader="dot"/>
            </w:tabs>
            <w:rPr/>
          </w:pPr>
          <w:hyperlink w:anchor="__RefHeading___Toc10488_518488682" w:tooltip="9.3 Corpus report">
            <w:r>
              <w:rPr>
                <w:rStyle w:val="IndexLink"/>
                <w:webHidden/>
              </w:rPr>
              <w:t>9.3 Corpus report</w:t>
              <w:tab/>
              <w:t>29</w:t>
            </w:r>
          </w:hyperlink>
        </w:p>
        <w:p>
          <w:pPr>
            <w:pStyle w:val="TOC2"/>
            <w:tabs>
              <w:tab w:val="clear" w:pos="9221"/>
              <w:tab w:val="right" w:pos="9503" w:leader="dot"/>
            </w:tabs>
            <w:rPr/>
          </w:pPr>
          <w:hyperlink w:anchor="__RefHeading___Toc10490_518488682" w:tooltip="9.4 Building the review deck">
            <w:r>
              <w:rPr>
                <w:rStyle w:val="IndexLink"/>
                <w:webHidden/>
              </w:rPr>
              <w:t>9.4 Building the review deck</w:t>
              <w:tab/>
              <w:t>30</w:t>
            </w:r>
          </w:hyperlink>
        </w:p>
        <w:p>
          <w:pPr>
            <w:pStyle w:val="TOC1"/>
            <w:tabs>
              <w:tab w:val="clear" w:pos="9504"/>
              <w:tab w:val="right" w:pos="9503" w:leader="dot"/>
            </w:tabs>
            <w:rPr/>
          </w:pPr>
          <w:hyperlink w:anchor="__RefHeading___Toc10492_518488682" w:tooltip="10 Development workflow">
            <w:r>
              <w:rPr>
                <w:rStyle w:val="IndexLink"/>
                <w:webHidden/>
              </w:rPr>
              <w:t>10 Development workflow</w:t>
              <w:tab/>
              <w:t>31</w:t>
            </w:r>
          </w:hyperlink>
        </w:p>
        <w:p>
          <w:pPr>
            <w:pStyle w:val="TOC2"/>
            <w:tabs>
              <w:tab w:val="clear" w:pos="9221"/>
              <w:tab w:val="right" w:pos="9503" w:leader="dot"/>
            </w:tabs>
            <w:rPr/>
          </w:pPr>
          <w:hyperlink w:anchor="__RefHeading___Toc10494_518488682" w:tooltip="10.1 Changing behaviour">
            <w:r>
              <w:rPr>
                <w:rStyle w:val="IndexLink"/>
                <w:webHidden/>
              </w:rPr>
              <w:t>10.1 Changing behaviour</w:t>
              <w:tab/>
              <w:t>31</w:t>
            </w:r>
          </w:hyperlink>
        </w:p>
        <w:p>
          <w:pPr>
            <w:pStyle w:val="TOC2"/>
            <w:tabs>
              <w:tab w:val="clear" w:pos="9221"/>
              <w:tab w:val="right" w:pos="9503" w:leader="dot"/>
            </w:tabs>
            <w:rPr/>
          </w:pPr>
          <w:hyperlink w:anchor="__RefHeading___Toc10496_518488682" w:tooltip="10.2 The test suites">
            <w:r>
              <w:rPr>
                <w:rStyle w:val="IndexLink"/>
                <w:webHidden/>
              </w:rPr>
              <w:t>10.2 The test suites</w:t>
              <w:tab/>
              <w:t>31</w:t>
            </w:r>
          </w:hyperlink>
        </w:p>
        <w:p>
          <w:pPr>
            <w:pStyle w:val="TOC2"/>
            <w:tabs>
              <w:tab w:val="clear" w:pos="9221"/>
              <w:tab w:val="right" w:pos="9503" w:leader="dot"/>
            </w:tabs>
            <w:rPr/>
          </w:pPr>
          <w:hyperlink w:anchor="__RefHeading___Toc10498_518488682" w:tooltip="10.3 Conventions worth knowing">
            <w:r>
              <w:rPr>
                <w:rStyle w:val="IndexLink"/>
                <w:webHidden/>
              </w:rPr>
              <w:t>10.3 Conventions worth knowing</w:t>
              <w:tab/>
              <w:t>31</w:t>
            </w:r>
          </w:hyperlink>
        </w:p>
        <w:p>
          <w:pPr>
            <w:pStyle w:val="TOC1"/>
            <w:tabs>
              <w:tab w:val="clear" w:pos="9504"/>
              <w:tab w:val="right" w:pos="9503" w:leader="dot"/>
            </w:tabs>
            <w:rPr/>
          </w:pPr>
          <w:hyperlink w:anchor="__RefHeading___Toc10500_518488682" w:tooltip="11 Verification status and limitations">
            <w:r>
              <w:rPr>
                <w:rStyle w:val="IndexLink"/>
                <w:webHidden/>
              </w:rPr>
              <w:t>11 Verification status and limitations</w:t>
              <w:tab/>
              <w:t>32</w:t>
            </w:r>
          </w:hyperlink>
        </w:p>
        <w:p>
          <w:pPr>
            <w:pStyle w:val="TOC2"/>
            <w:tabs>
              <w:tab w:val="clear" w:pos="9221"/>
              <w:tab w:val="right" w:pos="9503" w:leader="dot"/>
            </w:tabs>
            <w:rPr/>
          </w:pPr>
          <w:hyperlink w:anchor="__RefHeading___Toc10502_518488682" w:tooltip="11.1 What has been verified">
            <w:r>
              <w:rPr>
                <w:rStyle w:val="IndexLink"/>
                <w:webHidden/>
              </w:rPr>
              <w:t>11.1 What has been verified</w:t>
              <w:tab/>
              <w:t>32</w:t>
            </w:r>
          </w:hyperlink>
        </w:p>
        <w:p>
          <w:pPr>
            <w:pStyle w:val="TOC2"/>
            <w:tabs>
              <w:tab w:val="clear" w:pos="9221"/>
              <w:tab w:val="right" w:pos="9503" w:leader="dot"/>
            </w:tabs>
            <w:rPr/>
          </w:pPr>
          <w:hyperlink w:anchor="__RefHeading___Toc10504_518488682" w:tooltip="11.2 Limitations">
            <w:r>
              <w:rPr>
                <w:rStyle w:val="IndexLink"/>
                <w:webHidden/>
              </w:rPr>
              <w:t>11.2 Limitations</w:t>
              <w:tab/>
              <w:t>32</w:t>
            </w:r>
          </w:hyperlink>
        </w:p>
        <w:p>
          <w:pPr>
            <w:pStyle w:val="TOC1"/>
            <w:tabs>
              <w:tab w:val="clear" w:pos="9504"/>
              <w:tab w:val="right" w:pos="9503" w:leader="dot"/>
            </w:tabs>
            <w:rPr/>
          </w:pPr>
          <w:hyperlink w:anchor="__RefHeading___Toc10506_518488682" w:tooltip="Appendix A COM concepts">
            <w:r>
              <w:rPr>
                <w:rStyle w:val="IndexLink"/>
                <w:webHidden/>
              </w:rPr>
              <w:t>Appendix A COM concepts</w:t>
              <w:tab/>
              <w:t>34</w:t>
            </w:r>
          </w:hyperlink>
        </w:p>
        <w:p>
          <w:pPr>
            <w:pStyle w:val="TOC2"/>
            <w:tabs>
              <w:tab w:val="clear" w:pos="9221"/>
              <w:tab w:val="right" w:pos="9503" w:leader="dot"/>
            </w:tabs>
            <w:rPr/>
          </w:pPr>
          <w:hyperlink w:anchor="__RefHeading___Toc10508_518488682" w:tooltip="A.1 What COM measures">
            <w:r>
              <w:rPr>
                <w:rStyle w:val="IndexLink"/>
                <w:webHidden/>
              </w:rPr>
              <w:t>A.1 What COM measures</w:t>
              <w:tab/>
              <w:t>34</w:t>
            </w:r>
          </w:hyperlink>
        </w:p>
        <w:p>
          <w:pPr>
            <w:pStyle w:val="TOC2"/>
            <w:tabs>
              <w:tab w:val="clear" w:pos="9221"/>
              <w:tab w:val="right" w:pos="9503" w:leader="dot"/>
            </w:tabs>
            <w:rPr/>
          </w:pPr>
          <w:hyperlink w:anchor="__RefHeading___Toc10510_518488682" w:tooltip="A.2 The equalizer chain">
            <w:r>
              <w:rPr>
                <w:rStyle w:val="IndexLink"/>
                <w:webHidden/>
              </w:rPr>
              <w:t>A.2 The equalizer chain</w:t>
              <w:tab/>
              <w:t>34</w:t>
            </w:r>
          </w:hyperlink>
        </w:p>
        <w:p>
          <w:pPr>
            <w:pStyle w:val="TOC2"/>
            <w:tabs>
              <w:tab w:val="clear" w:pos="9221"/>
              <w:tab w:val="right" w:pos="9503" w:leader="dot"/>
            </w:tabs>
            <w:rPr/>
          </w:pPr>
          <w:hyperlink w:anchor="__RefHeading___Toc10512_518488682" w:tooltip="A.3 FOM versus COM">
            <w:r>
              <w:rPr>
                <w:rStyle w:val="IndexLink"/>
                <w:webHidden/>
              </w:rPr>
              <w:t>A.3 FOM versus COM</w:t>
              <w:tab/>
              <w:t>34</w:t>
            </w:r>
          </w:hyperlink>
        </w:p>
        <w:p>
          <w:pPr>
            <w:pStyle w:val="TOC2"/>
            <w:tabs>
              <w:tab w:val="clear" w:pos="9221"/>
              <w:tab w:val="right" w:pos="9503" w:leader="dot"/>
            </w:tabs>
            <w:rPr/>
          </w:pPr>
          <w:hyperlink w:anchor="__RefHeading___Toc10514_518488682" w:tooltip="A.4 Reading a result">
            <w:r>
              <w:rPr>
                <w:rStyle w:val="IndexLink"/>
                <w:webHidden/>
              </w:rPr>
              <w:t>A.4 Reading a result</w:t>
              <w:tab/>
              <w:t>34</w:t>
            </w:r>
          </w:hyperlink>
        </w:p>
        <w:p>
          <w:pPr>
            <w:pStyle w:val="TOC1"/>
            <w:tabs>
              <w:tab w:val="clear" w:pos="9504"/>
              <w:tab w:val="right" w:pos="9503" w:leader="dot"/>
            </w:tabs>
            <w:rPr/>
          </w:pPr>
          <w:hyperlink w:anchor="__RefHeading___Toc10516_518488682" w:tooltip="Appendix B Complete configuration parameter index">
            <w:r>
              <w:rPr>
                <w:rStyle w:val="IndexLink"/>
                <w:webHidden/>
              </w:rPr>
              <w:t>Appendix B Complete configuration parameter index</w:t>
              <w:tab/>
              <w:t>36</w:t>
            </w:r>
          </w:hyperlink>
        </w:p>
        <w:p>
          <w:pPr>
            <w:pStyle w:val="TOC2"/>
            <w:tabs>
              <w:tab w:val="clear" w:pos="9221"/>
              <w:tab w:val="right" w:pos="9503" w:leader="dot"/>
            </w:tabs>
            <w:rPr/>
          </w:pPr>
          <w:hyperlink w:anchor="__RefHeading___Toc10518_518488682" w:tooltip="Signalling &amp; test limits (23)">
            <w:r>
              <w:rPr>
                <w:rStyle w:val="IndexLink"/>
                <w:webHidden/>
              </w:rPr>
              <w:t>Signalling &amp; test limits (23)</w:t>
              <w:tab/>
              <w:t>36</w:t>
            </w:r>
          </w:hyperlink>
        </w:p>
        <w:p>
          <w:pPr>
            <w:pStyle w:val="TOC2"/>
            <w:tabs>
              <w:tab w:val="clear" w:pos="9221"/>
              <w:tab w:val="right" w:pos="9503" w:leader="dot"/>
            </w:tabs>
            <w:rPr/>
          </w:pPr>
          <w:hyperlink w:anchor="__RefHeading___Toc10520_518488682" w:tooltip="EQ search control (5)">
            <w:r>
              <w:rPr>
                <w:rStyle w:val="IndexLink"/>
                <w:webHidden/>
              </w:rPr>
              <w:t>EQ search control (5)</w:t>
              <w:tab/>
              <w:t>37</w:t>
            </w:r>
          </w:hyperlink>
        </w:p>
        <w:p>
          <w:pPr>
            <w:pStyle w:val="TOC2"/>
            <w:tabs>
              <w:tab w:val="clear" w:pos="9221"/>
              <w:tab w:val="right" w:pos="9503" w:leader="dot"/>
            </w:tabs>
            <w:rPr/>
          </w:pPr>
          <w:hyperlink w:anchor="__RefHeading___Toc10522_518488682" w:tooltip="Equalization — TX FFE (12)">
            <w:r>
              <w:rPr>
                <w:rStyle w:val="IndexLink"/>
                <w:webHidden/>
              </w:rPr>
              <w:t>Equalization — TX FFE (12)</w:t>
              <w:tab/>
              <w:t>37</w:t>
            </w:r>
          </w:hyperlink>
        </w:p>
        <w:p>
          <w:pPr>
            <w:pStyle w:val="TOC2"/>
            <w:tabs>
              <w:tab w:val="clear" w:pos="9221"/>
              <w:tab w:val="right" w:pos="9503" w:leader="dot"/>
            </w:tabs>
            <w:rPr/>
          </w:pPr>
          <w:hyperlink w:anchor="__RefHeading___Toc10524_518488682" w:tooltip="Equalization — CTLE (14)">
            <w:r>
              <w:rPr>
                <w:rStyle w:val="IndexLink"/>
                <w:webHidden/>
              </w:rPr>
              <w:t>Equalization — CTLE (14)</w:t>
              <w:tab/>
              <w:t>37</w:t>
            </w:r>
          </w:hyperlink>
        </w:p>
        <w:p>
          <w:pPr>
            <w:pStyle w:val="TOC2"/>
            <w:tabs>
              <w:tab w:val="clear" w:pos="9221"/>
              <w:tab w:val="right" w:pos="9503" w:leader="dot"/>
            </w:tabs>
            <w:rPr/>
          </w:pPr>
          <w:hyperlink w:anchor="__RefHeading___Toc10526_518488682" w:tooltip="Equalization — DFE &amp; MLSE (14)">
            <w:r>
              <w:rPr>
                <w:rStyle w:val="IndexLink"/>
                <w:webHidden/>
              </w:rPr>
              <w:t>Equalization — DFE &amp; MLSE (14)</w:t>
              <w:tab/>
              <w:t>38</w:t>
            </w:r>
          </w:hyperlink>
        </w:p>
        <w:p>
          <w:pPr>
            <w:pStyle w:val="TOC2"/>
            <w:tabs>
              <w:tab w:val="clear" w:pos="9221"/>
              <w:tab w:val="right" w:pos="9503" w:leader="dot"/>
            </w:tabs>
            <w:rPr/>
          </w:pPr>
          <w:hyperlink w:anchor="__RefHeading___Toc10528_518488682" w:tooltip="Equalization — RX FFE (10)">
            <w:r>
              <w:rPr>
                <w:rStyle w:val="IndexLink"/>
                <w:webHidden/>
              </w:rPr>
              <w:t>Equalization — RX FFE (10)</w:t>
              <w:tab/>
              <w:t>38</w:t>
            </w:r>
          </w:hyperlink>
        </w:p>
        <w:p>
          <w:pPr>
            <w:pStyle w:val="TOC2"/>
            <w:tabs>
              <w:tab w:val="clear" w:pos="9221"/>
              <w:tab w:val="right" w:pos="9503" w:leader="dot"/>
            </w:tabs>
            <w:rPr/>
          </w:pPr>
          <w:hyperlink w:anchor="__RefHeading___Toc10530_518488682" w:tooltip="Receiver filter &amp; windowing (11)">
            <w:r>
              <w:rPr>
                <w:rStyle w:val="IndexLink"/>
                <w:webHidden/>
              </w:rPr>
              <w:t>Receiver filter &amp; windowing (11)</w:t>
              <w:tab/>
              <w:t>38</w:t>
            </w:r>
          </w:hyperlink>
        </w:p>
        <w:p>
          <w:pPr>
            <w:pStyle w:val="TOC2"/>
            <w:tabs>
              <w:tab w:val="clear" w:pos="9221"/>
              <w:tab w:val="right" w:pos="9503" w:leader="dot"/>
            </w:tabs>
            <w:rPr/>
          </w:pPr>
          <w:hyperlink w:anchor="__RefHeading___Toc10532_518488682" w:tooltip="Noise, jitter &amp; crosstalk (19)">
            <w:r>
              <w:rPr>
                <w:rStyle w:val="IndexLink"/>
                <w:webHidden/>
              </w:rPr>
              <w:t>Noise, jitter &amp; crosstalk (19)</w:t>
              <w:tab/>
              <w:t>39</w:t>
            </w:r>
          </w:hyperlink>
        </w:p>
        <w:p>
          <w:pPr>
            <w:pStyle w:val="TOC2"/>
            <w:tabs>
              <w:tab w:val="clear" w:pos="9221"/>
              <w:tab w:val="right" w:pos="9503" w:leader="dot"/>
            </w:tabs>
            <w:rPr/>
          </w:pPr>
          <w:hyperlink w:anchor="__RefHeading___Toc10534_518488682" w:tooltip="Package, die &amp; termination (30)">
            <w:r>
              <w:rPr>
                <w:rStyle w:val="IndexLink"/>
                <w:webHidden/>
              </w:rPr>
              <w:t>Package, die &amp; termination (30)</w:t>
              <w:tab/>
              <w:t>39</w:t>
            </w:r>
          </w:hyperlink>
        </w:p>
        <w:p>
          <w:pPr>
            <w:pStyle w:val="TOC2"/>
            <w:tabs>
              <w:tab w:val="clear" w:pos="9221"/>
              <w:tab w:val="right" w:pos="9503" w:leader="dot"/>
            </w:tabs>
            <w:rPr/>
          </w:pPr>
          <w:hyperlink w:anchor="__RefHeading___Toc10536_518488682" w:tooltip="Channel / S-parameter handling (16)">
            <w:r>
              <w:rPr>
                <w:rStyle w:val="IndexLink"/>
                <w:webHidden/>
              </w:rPr>
              <w:t>Channel / S-parameter handling (16)</w:t>
              <w:tab/>
              <w:t>40</w:t>
            </w:r>
          </w:hyperlink>
        </w:p>
        <w:p>
          <w:pPr>
            <w:pStyle w:val="TOC2"/>
            <w:tabs>
              <w:tab w:val="clear" w:pos="9221"/>
              <w:tab w:val="right" w:pos="9503" w:leader="dot"/>
            </w:tabs>
            <w:rPr/>
          </w:pPr>
          <w:hyperlink w:anchor="__RefHeading___Toc10538_518488682" w:tooltip="Frequency-domain metrics (ILD/ICN) (8)">
            <w:r>
              <w:rPr>
                <w:rStyle w:val="IndexLink"/>
                <w:webHidden/>
              </w:rPr>
              <w:t>Frequency-domain metrics (ILD/ICN) (8)</w:t>
              <w:tab/>
              <w:t>40</w:t>
            </w:r>
          </w:hyperlink>
        </w:p>
        <w:p>
          <w:pPr>
            <w:pStyle w:val="TOC2"/>
            <w:tabs>
              <w:tab w:val="clear" w:pos="9221"/>
              <w:tab w:val="right" w:pos="9503" w:leader="dot"/>
            </w:tabs>
            <w:rPr/>
          </w:pPr>
          <w:hyperlink w:anchor="__RefHeading___Toc10540_518488682" w:tooltip="ERL / TDR / reflection (14)">
            <w:r>
              <w:rPr>
                <w:rStyle w:val="IndexLink"/>
                <w:webHidden/>
              </w:rPr>
              <w:t>ERL / TDR / reflection (14)</w:t>
              <w:tab/>
              <w:t>41</w:t>
            </w:r>
          </w:hyperlink>
        </w:p>
        <w:p>
          <w:pPr>
            <w:pStyle w:val="TOC2"/>
            <w:tabs>
              <w:tab w:val="clear" w:pos="9221"/>
              <w:tab w:val="right" w:pos="9503" w:leader="dot"/>
            </w:tabs>
            <w:rPr/>
          </w:pPr>
          <w:hyperlink w:anchor="__RefHeading___Toc10542_518488682" w:tooltip="Statistical / PDF construction (16)">
            <w:r>
              <w:rPr>
                <w:rStyle w:val="IndexLink"/>
                <w:webHidden/>
              </w:rPr>
              <w:t>Statistical / PDF construction (16)</w:t>
              <w:tab/>
              <w:t>41</w:t>
            </w:r>
          </w:hyperlink>
        </w:p>
        <w:p>
          <w:pPr>
            <w:pStyle w:val="TOC2"/>
            <w:tabs>
              <w:tab w:val="clear" w:pos="9221"/>
              <w:tab w:val="right" w:pos="9503" w:leader="dot"/>
            </w:tabs>
            <w:rPr/>
          </w:pPr>
          <w:hyperlink w:anchor="__RefHeading___Toc10544_518488682" w:tooltip="Error propagation (3)">
            <w:r>
              <w:rPr>
                <w:rStyle w:val="IndexLink"/>
                <w:webHidden/>
              </w:rPr>
              <w:t>Error propagation (3)</w:t>
              <w:tab/>
              <w:t>42</w:t>
            </w:r>
          </w:hyperlink>
        </w:p>
        <w:p>
          <w:pPr>
            <w:pStyle w:val="TOC2"/>
            <w:tabs>
              <w:tab w:val="clear" w:pos="9221"/>
              <w:tab w:val="right" w:pos="9503" w:leader="dot"/>
            </w:tabs>
            <w:rPr/>
          </w:pPr>
          <w:hyperlink w:anchor="__RefHeading___Toc10546_518488682" w:tooltip="RX calibration (4)">
            <w:r>
              <w:rPr>
                <w:rStyle w:val="IndexLink"/>
                <w:webHidden/>
              </w:rPr>
              <w:t>RX calibration (4)</w:t>
              <w:tab/>
              <w:t>42</w:t>
            </w:r>
          </w:hyperlink>
        </w:p>
        <w:p>
          <w:pPr>
            <w:pStyle w:val="TOC2"/>
            <w:tabs>
              <w:tab w:val="clear" w:pos="9221"/>
              <w:tab w:val="right" w:pos="9503" w:leader="dot"/>
            </w:tabs>
            <w:rPr/>
          </w:pPr>
          <w:hyperlink w:anchor="__RefHeading___Toc10548_518488682" w:tooltip="Skew (5)">
            <w:r>
              <w:rPr>
                <w:rStyle w:val="IndexLink"/>
                <w:webHidden/>
              </w:rPr>
              <w:t>Skew (5)</w:t>
              <w:tab/>
              <w:t>42</w:t>
            </w:r>
          </w:hyperlink>
        </w:p>
        <w:p>
          <w:pPr>
            <w:pStyle w:val="TOC2"/>
            <w:tabs>
              <w:tab w:val="clear" w:pos="9221"/>
              <w:tab w:val="right" w:pos="9503" w:leader="dot"/>
            </w:tabs>
            <w:rPr/>
          </w:pPr>
          <w:hyperlink w:anchor="__RefHeading___Toc10550_518488682" w:tooltip="Output, reporting &amp; execution (28)">
            <w:r>
              <w:rPr>
                <w:rStyle w:val="IndexLink"/>
                <w:webHidden/>
              </w:rPr>
              <w:t>Output, reporting &amp; execution (28)</w:t>
              <w:tab/>
              <w:t>42</w:t>
            </w:r>
          </w:hyperlink>
        </w:p>
        <w:p>
          <w:pPr>
            <w:pStyle w:val="TOC2"/>
            <w:tabs>
              <w:tab w:val="clear" w:pos="9221"/>
              <w:tab w:val="right" w:pos="9503" w:leader="dot"/>
            </w:tabs>
            <w:rPr/>
          </w:pPr>
          <w:hyperlink w:anchor="__RefHeading___Toc10552_518488682" w:tooltip="Other / advanced (15)">
            <w:r>
              <w:rPr>
                <w:rStyle w:val="IndexLink"/>
                <w:webHidden/>
              </w:rPr>
              <w:t>Other / advanced (15)</w:t>
              <w:tab/>
              <w:t>43</w:t>
            </w:r>
          </w:hyperlink>
        </w:p>
        <w:p>
          <w:pPr>
            <w:pStyle w:val="TOC1"/>
            <w:tabs>
              <w:tab w:val="clear" w:pos="9504"/>
              <w:tab w:val="right" w:pos="9503" w:leader="dot"/>
            </w:tabs>
            <w:rPr/>
          </w:pPr>
          <w:hyperlink w:anchor="__RefHeading___Toc10554_518488682" w:tooltip="Appendix C Command reference">
            <w:r>
              <w:rPr>
                <w:rStyle w:val="IndexLink"/>
                <w:webHidden/>
              </w:rPr>
              <w:t>Appendix C Command reference</w:t>
              <w:tab/>
              <w:t>44</w:t>
            </w:r>
          </w:hyperlink>
        </w:p>
        <w:p>
          <w:pPr>
            <w:pStyle w:val="TOC2"/>
            <w:tabs>
              <w:tab w:val="clear" w:pos="9221"/>
              <w:tab w:val="right" w:pos="9503" w:leader="dot"/>
            </w:tabs>
            <w:rPr/>
          </w:pPr>
          <w:hyperlink w:anchor="__RefHeading___Toc10556_518488682" w:tooltip="C.1 Running COM">
            <w:r>
              <w:rPr>
                <w:rStyle w:val="IndexLink"/>
                <w:webHidden/>
              </w:rPr>
              <w:t>C.1 Running COM</w:t>
              <w:tab/>
              <w:t>44</w:t>
            </w:r>
          </w:hyperlink>
        </w:p>
        <w:p>
          <w:pPr>
            <w:pStyle w:val="TOC2"/>
            <w:tabs>
              <w:tab w:val="clear" w:pos="9221"/>
              <w:tab w:val="right" w:pos="9503" w:leader="dot"/>
            </w:tabs>
            <w:rPr/>
          </w:pPr>
          <w:hyperlink w:anchor="__RefHeading___Toc10558_518488682" w:tooltip="C.2 The search study">
            <w:r>
              <w:rPr>
                <w:rStyle w:val="IndexLink"/>
                <w:webHidden/>
              </w:rPr>
              <w:t>C.2 The search study</w:t>
              <w:tab/>
              <w:t>44</w:t>
            </w:r>
          </w:hyperlink>
        </w:p>
        <w:p>
          <w:pPr>
            <w:pStyle w:val="TOC2"/>
            <w:tabs>
              <w:tab w:val="clear" w:pos="9221"/>
              <w:tab w:val="right" w:pos="9503" w:leader="dot"/>
            </w:tabs>
            <w:rPr/>
          </w:pPr>
          <w:hyperlink w:anchor="__RefHeading___Toc10560_518488682" w:tooltip="C.3 Reports">
            <w:r>
              <w:rPr>
                <w:rStyle w:val="IndexLink"/>
                <w:webHidden/>
              </w:rPr>
              <w:t>C.3 Reports</w:t>
              <w:tab/>
              <w:t>44</w:t>
            </w:r>
          </w:hyperlink>
        </w:p>
        <w:p>
          <w:pPr>
            <w:pStyle w:val="TOC2"/>
            <w:tabs>
              <w:tab w:val="clear" w:pos="9221"/>
              <w:tab w:val="right" w:pos="9503" w:leader="dot"/>
            </w:tabs>
            <w:rPr/>
          </w:pPr>
          <w:hyperlink w:anchor="__RefHeading___Toc10562_518488682" w:tooltip="C.4 Development">
            <w:r>
              <w:rPr>
                <w:rStyle w:val="IndexLink"/>
                <w:webHidden/>
              </w:rPr>
              <w:t>C.4 Development</w:t>
              <w:tab/>
              <w:t>44</w:t>
            </w:r>
          </w:hyperlink>
          <w:r>
            <w:rPr>
              <w:rStyle w:val="IndexLink"/>
            </w:rPr>
            <w:fldChar w:fldCharType="end"/>
          </w:r>
        </w:p>
      </w:sdtContent>
    </w:sdt>
    <w:p>
      <w:pPr>
        <w:pStyle w:val="Heading1"/>
        <w:rPr/>
      </w:pPr>
      <w:r>
        <w:br w:type="page"/>
      </w:r>
      <w:bookmarkStart w:id="1" w:name="__RefHeading___Toc10382_518488682"/>
      <w:bookmarkEnd w:id="1"/>
      <w:r>
        <w:rPr/>
        <w:t>1  Introduction</w:t>
      </w:r>
    </w:p>
    <w:p>
      <w:pPr>
        <w:pStyle w:val="Normal"/>
        <w:spacing w:before="0" w:after="140"/>
        <w:rPr/>
      </w:pPr>
      <w:r>
        <w:rPr>
          <w:b w:val="false"/>
          <w:i w:val="false"/>
          <w:color w:val="13232C"/>
          <w:sz w:val="21"/>
        </w:rPr>
        <w:t>This document describes a Python implementation of the IEEE 802.3 COM (Channel Operating Margin) reference tool, together with a study layer and reporting tools built on top of it.</w:t>
      </w:r>
    </w:p>
    <w:p>
      <w:pPr>
        <w:pStyle w:val="Heading2"/>
        <w:rPr/>
      </w:pPr>
      <w:bookmarkStart w:id="2" w:name="__RefHeading___Toc10384_518488682"/>
      <w:bookmarkEnd w:id="2"/>
      <w:r>
        <w:rPr/>
        <w:t>1.1  What this is</w:t>
      </w:r>
    </w:p>
    <w:p>
      <w:pPr>
        <w:pStyle w:val="Normal"/>
        <w:spacing w:before="0" w:after="140"/>
        <w:rPr/>
      </w:pPr>
      <w:r>
        <w:rPr>
          <w:b w:val="false"/>
          <w:i w:val="false"/>
          <w:color w:val="13232C"/>
          <w:sz w:val="21"/>
        </w:rPr>
        <w:t xml:space="preserve">The engine is a </w:t>
      </w:r>
      <w:r>
        <w:rPr>
          <w:b/>
          <w:i w:val="false"/>
          <w:color w:val="13232C"/>
          <w:sz w:val="21"/>
        </w:rPr>
        <w:t>function-for-function translation</w:t>
      </w:r>
      <w:r>
        <w:rPr>
          <w:b w:val="false"/>
          <w:i w:val="false"/>
          <w:color w:val="13232C"/>
          <w:sz w:val="21"/>
        </w:rPr>
        <w:t xml:space="preserve"> of </w:t>
      </w:r>
      <w:r>
        <w:rPr>
          <w:rFonts w:ascii="Consolas" w:hAnsi="Consolas"/>
          <w:b w:val="false"/>
          <w:i w:val="false"/>
          <w:color w:val="13232C"/>
          <w:sz w:val="19"/>
        </w:rPr>
        <w:t>com_ieee8023_4p15p0.m</w:t>
      </w:r>
      <w:r>
        <w:rPr>
          <w:b w:val="false"/>
          <w:i w:val="false"/>
          <w:color w:val="13232C"/>
          <w:sz w:val="21"/>
        </w:rPr>
        <w:t xml:space="preserve"> and the adaptive-local-search branch. It is not a reimplementation, a simplification, or an approximation. It takes the same inputs — the same </w:t>
      </w:r>
      <w:r>
        <w:rPr>
          <w:rFonts w:ascii="Consolas" w:hAnsi="Consolas"/>
          <w:b w:val="false"/>
          <w:i w:val="false"/>
          <w:color w:val="13232C"/>
          <w:sz w:val="19"/>
        </w:rPr>
        <w:t>.xlsx</w:t>
      </w:r>
      <w:r>
        <w:rPr>
          <w:b w:val="false"/>
          <w:i w:val="false"/>
          <w:color w:val="13232C"/>
          <w:sz w:val="21"/>
        </w:rPr>
        <w:t xml:space="preserve"> configuration spreadsheet and the same </w:t>
      </w:r>
      <w:r>
        <w:rPr>
          <w:rFonts w:ascii="Consolas" w:hAnsi="Consolas"/>
          <w:b w:val="false"/>
          <w:i w:val="false"/>
          <w:color w:val="13232C"/>
          <w:sz w:val="19"/>
        </w:rPr>
        <w:t>.s4p</w:t>
      </w:r>
      <w:r>
        <w:rPr>
          <w:b w:val="false"/>
          <w:i w:val="false"/>
          <w:color w:val="13232C"/>
          <w:sz w:val="21"/>
        </w:rPr>
        <w:t xml:space="preserve"> Touchstone files — and produces the same outputs.</w:t>
      </w:r>
    </w:p>
    <w:p>
      <w:pPr>
        <w:pStyle w:val="Normal"/>
        <w:spacing w:before="0" w:after="140"/>
        <w:rPr/>
      </w:pPr>
      <w:r>
        <w:rPr>
          <w:b w:val="false"/>
          <w:i w:val="false"/>
          <w:color w:val="13232C"/>
          <w:sz w:val="21"/>
        </w:rPr>
        <w:t>The translation is close enough that the Python source can be navigated by MATLAB line number: 311 comments in the engine carry explicit MATLAB line references back to their source function.</w:t>
      </w:r>
    </w:p>
    <w:p>
      <w:pPr>
        <w:pStyle w:val="Heading2"/>
        <w:rPr/>
      </w:pPr>
      <w:bookmarkStart w:id="3" w:name="__RefHeading___Toc10386_518488682"/>
      <w:bookmarkEnd w:id="3"/>
      <w:r>
        <w:rPr/>
        <w:t>1.2  What it adds beyond the MATLAB tool</w:t>
      </w:r>
    </w:p>
    <w:p>
      <w:pPr>
        <w:pStyle w:val="Normal"/>
        <w:spacing w:before="0" w:after="140"/>
        <w:rPr/>
      </w:pPr>
      <w:r>
        <w:rPr>
          <w:b w:val="false"/>
          <w:i w:val="false"/>
          <w:color w:val="13232C"/>
          <w:sz w:val="21"/>
        </w:rPr>
        <w:t>Three things exist here that have no MATLAB counterpart:</w:t>
      </w:r>
    </w:p>
    <w:p>
      <w:pPr>
        <w:pStyle w:val="ListBullet"/>
        <w:numPr>
          <w:ilvl w:val="0"/>
          <w:numId w:val="1"/>
        </w:numPr>
        <w:spacing w:before="0" w:after="60"/>
        <w:contextualSpacing/>
        <w:rPr/>
      </w:pPr>
      <w:r>
        <w:rPr>
          <w:b/>
          <w:color w:val="13232C"/>
          <w:sz w:val="21"/>
        </w:rPr>
        <w:t>Per-function verification.</w:t>
      </w:r>
      <w:r>
        <w:rPr>
          <w:color w:val="13232C"/>
          <w:sz w:val="21"/>
        </w:rPr>
        <w:t xml:space="preserve">  Each translated function has its own implementation file and its own test, run against MATLAB behaviour. 876 tests.</w:t>
      </w:r>
    </w:p>
    <w:p>
      <w:pPr>
        <w:pStyle w:val="ListBullet"/>
        <w:numPr>
          <w:ilvl w:val="0"/>
          <w:numId w:val="1"/>
        </w:numPr>
        <w:spacing w:before="0" w:after="60"/>
        <w:contextualSpacing/>
        <w:rPr/>
      </w:pPr>
      <w:r>
        <w:rPr>
          <w:b/>
          <w:color w:val="13232C"/>
          <w:sz w:val="21"/>
        </w:rPr>
        <w:t>Search instrumentation.</w:t>
      </w:r>
      <w:r>
        <w:rPr>
          <w:color w:val="13232C"/>
          <w:sz w:val="21"/>
        </w:rPr>
        <w:t xml:space="preserve">  The equalizer optimiser can log every candidate it considers or prunes, opt-in and with no effect on any COM result. This makes the search itself measurable.</w:t>
      </w:r>
    </w:p>
    <w:p>
      <w:pPr>
        <w:pStyle w:val="ListBullet"/>
        <w:numPr>
          <w:ilvl w:val="0"/>
          <w:numId w:val="1"/>
        </w:numPr>
        <w:spacing w:before="0" w:after="60"/>
        <w:contextualSpacing/>
        <w:rPr/>
      </w:pPr>
      <w:r>
        <w:rPr>
          <w:b/>
          <w:color w:val="13232C"/>
          <w:sz w:val="21"/>
        </w:rPr>
        <w:t>A study and reporting layer.</w:t>
      </w:r>
      <w:r>
        <w:rPr>
          <w:color w:val="13232C"/>
          <w:sz w:val="21"/>
        </w:rPr>
        <w:t xml:space="preserve">  Tools that compare equalizer-search methods across channels, recompute true COM for near-optimal candidates, and render interactive HTML reports.</w:t>
      </w:r>
    </w:p>
    <w:p>
      <w:pPr>
        <w:pStyle w:val="Heading2"/>
        <w:rPr/>
      </w:pPr>
      <w:bookmarkStart w:id="4" w:name="__RefHeading___Toc10388_518488682"/>
      <w:bookmarkEnd w:id="4"/>
      <w:r>
        <w:rPr/>
        <w:t>1.3  How to read this document</w:t>
      </w:r>
    </w:p>
    <w:p>
      <w:pPr>
        <w:pStyle w:val="Normal"/>
        <w:spacing w:before="0" w:after="140"/>
        <w:rPr/>
      </w:pPr>
      <w:r>
        <w:rPr>
          <w:b w:val="false"/>
          <w:i w:val="false"/>
          <w:color w:val="13232C"/>
          <w:sz w:val="21"/>
        </w:rPr>
        <w:t>The main body assumes you are comfortable with SerDes equalization and the COM methodology. It concerns itself with the software: how it is built, how to drive it, and what every feature does.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If you want…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Go to</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refresher on what COM actually measures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A</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install and run something immediately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2</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understand how the code is organised before editing it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3</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set up a configuration correctly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4–5, Appendix 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what a specific feature does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6</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interpret the outputs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equalizer-search comparison work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8–9</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change the code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10</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how far to trust the numbers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Every configuration keyword the engine reads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one-page command cheat sheet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C</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A note on trust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a pass/fail criterion. Chapter 11 states plainly what has and has not been verified in this implementation. Read it before relying on a number in a submission.</w:t>
            </w:r>
          </w:p>
        </w:tc>
      </w:tr>
    </w:tbl>
    <w:p>
      <w:pPr>
        <w:pStyle w:val="Normal"/>
        <w:spacing w:before="0" w:after="180"/>
        <w:rPr/>
      </w:pPr>
      <w:r>
        <w:rPr/>
      </w:r>
      <w:r>
        <w:br w:type="page"/>
      </w:r>
    </w:p>
    <w:p>
      <w:pPr>
        <w:pStyle w:val="Heading1"/>
        <w:spacing w:before="0" w:after="160"/>
        <w:rPr/>
      </w:pPr>
      <w:bookmarkStart w:id="5" w:name="__RefHeading___Toc10390_518488682"/>
      <w:bookmarkEnd w:id="5"/>
      <w:r>
        <w:rPr/>
        <w:t>2  Installation and first run</w:t>
      </w:r>
    </w:p>
    <w:p>
      <w:pPr>
        <w:pStyle w:val="Heading2"/>
        <w:rPr/>
      </w:pPr>
      <w:bookmarkStart w:id="6" w:name="__RefHeading___Toc10392_518488682"/>
      <w:bookmarkEnd w:id="6"/>
      <w:r>
        <w:rPr/>
        <w:t>2.1  Requirements</w:t>
      </w:r>
    </w:p>
    <w:p>
      <w:pPr>
        <w:pStyle w:val="Normal"/>
        <w:spacing w:before="0" w:after="140"/>
        <w:rPr/>
      </w:pPr>
      <w:r>
        <w:rPr>
          <w:b w:val="false"/>
          <w:i w:val="false"/>
          <w:color w:val="13232C"/>
          <w:sz w:val="21"/>
        </w:rPr>
        <w:t>Python 3.9 or newer (developed and tested on 3.14). Dependencies: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Package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Required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Used for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numpy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all numerical computation</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scipy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 processing, interpolation, special functions, linear algebra</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openpyxl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reading the .xlsx configuration spreadsheet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matplotlib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figures only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plots, written when SAVE_FIGURES is enabled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python-pptx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tools only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building the review deck from corpus results</w:t>
            </w:r>
          </w:p>
        </w:tc>
      </w:tr>
    </w:tbl>
    <w:p>
      <w:pPr>
        <w:pStyle w:val="Normal"/>
        <w:spacing w:before="0" w:after="120"/>
        <w:rPr/>
      </w:pPr>
      <w:r>
        <w:rPr/>
      </w:r>
    </w:p>
    <w:p>
      <w:pPr>
        <w:pStyle w:val="Normal"/>
        <w:shd w:val="clear" w:fill="F2F6F8"/>
        <w:spacing w:before="80" w:after="180"/>
        <w:ind w:start="187"/>
        <w:rPr/>
      </w:pPr>
      <w:r>
        <w:rPr>
          <w:rFonts w:ascii="Consolas" w:hAnsi="Consolas"/>
          <w:color w:val="13232C"/>
          <w:sz w:val="17"/>
        </w:rPr>
        <w:t>python -m venv .venv</w:t>
        <w:br/>
        <w:t>.venv\Scripts\Activate.ps1          # Windows PowerShell</w:t>
        <w:br/>
        <w:t># source .venv/bin/activate         # macOS / Linux</w:t>
        <w:br/>
        <w:t>pip install -r requirements.txt</w:t>
      </w:r>
    </w:p>
    <w:p>
      <w:pPr>
        <w:pStyle w:val="Normal"/>
        <w:spacing w:before="0" w:after="140"/>
        <w:rPr/>
      </w:pPr>
      <w:r>
        <w:rPr>
          <w:b w:val="false"/>
          <w:i w:val="false"/>
          <w:color w:val="13232C"/>
          <w:sz w:val="21"/>
        </w:rPr>
        <w:t>The R reporting layer (Chapter 9) additionally needs, inside R:</w:t>
      </w:r>
    </w:p>
    <w:p>
      <w:pPr>
        <w:pStyle w:val="Normal"/>
        <w:shd w:val="clear" w:fill="F2F6F8"/>
        <w:spacing w:before="80" w:after="180"/>
        <w:ind w:start="187"/>
        <w:rPr/>
      </w:pPr>
      <w:r>
        <w:rPr>
          <w:rFonts w:ascii="Consolas" w:hAnsi="Consolas"/>
          <w:color w:val="13232C"/>
          <w:sz w:val="17"/>
        </w:rPr>
        <w:t>install.packages(c("plotly", "htmltools", "jsonlite", "R.matlab"))</w:t>
      </w:r>
    </w:p>
    <w:p>
      <w:pPr>
        <w:pStyle w:val="Normal"/>
        <w:spacing w:before="0" w:after="140"/>
        <w:rPr/>
      </w:pPr>
      <w:r>
        <w:rPr>
          <w:b w:val="false"/>
          <w:i w:val="false"/>
          <w:color w:val="13232C"/>
          <w:sz w:val="21"/>
        </w:rPr>
        <w:t>There is nothing to build. The tool runs directly from the assembled engine.</w:t>
      </w:r>
    </w:p>
    <w:p>
      <w:pPr>
        <w:pStyle w:val="Heading2"/>
        <w:rPr/>
      </w:pPr>
      <w:bookmarkStart w:id="7" w:name="__RefHeading___Toc10394_518488682"/>
      <w:bookmarkEnd w:id="7"/>
      <w:r>
        <w:rPr/>
        <w:t>2.2  What ships, and what does not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What ships, and what does not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IEEE 802.3dj public-area channels ARE included — 96 Touchstone files under tests/0_IEEE_802p3dj_PublicArea_CR_KR_Channels/, alongside the reference COM configuration sheets and the MATLAB result workbooks used for correlation. Excluded are: vendor-marked .s4p files and configuration sheets, which may not be redistributable; the 210 MB akinwale_3dj_01_2310 channel set that the 208-case MATLAB correlation runs against; and the 1.1 GB of generated results. So a fresh clone can run the bundled channels immediately, but the canonical example in Section 2.3 and the correlation harness both need data you supply.</w:t>
            </w:r>
          </w:p>
        </w:tc>
      </w:tr>
    </w:tbl>
    <w:p>
      <w:pPr>
        <w:pStyle w:val="Normal"/>
        <w:spacing w:before="0" w:after="180"/>
        <w:rPr/>
      </w:pPr>
      <w:r>
        <w:rPr/>
      </w:r>
    </w:p>
    <w:p>
      <w:pPr>
        <w:pStyle w:val="Heading2"/>
        <w:rPr/>
      </w:pPr>
      <w:bookmarkStart w:id="8" w:name="__RefHeading___Toc10396_518488682"/>
      <w:bookmarkEnd w:id="8"/>
      <w:r>
        <w:rPr/>
        <w:t>2.3  Running COM</w:t>
      </w:r>
    </w:p>
    <w:p>
      <w:pPr>
        <w:pStyle w:val="Normal"/>
        <w:shd w:val="clear" w:fill="F2F6F8"/>
        <w:spacing w:before="80" w:after="180"/>
        <w:ind w:start="187"/>
        <w:rPr/>
      </w:pPr>
      <w:r>
        <w:rPr>
          <w:rFonts w:ascii="Consolas" w:hAnsi="Consolas"/>
          <w:color w:val="13232C"/>
          <w:sz w:val="17"/>
        </w:rPr>
        <w:t>python com.py &lt;config.xlsx&gt; &lt;thru.s4p&gt; [--fext f1.s4p ...] [--next n1.s4p ...] [--export-mat]</w:t>
      </w:r>
    </w:p>
    <w:p>
      <w:pPr>
        <w:pStyle w:val="Normal"/>
        <w:spacing w:before="0" w:after="140"/>
        <w:rPr/>
      </w:pPr>
      <w:r>
        <w:rPr>
          <w:b w:val="false"/>
          <w:i w:val="false"/>
          <w:color w:val="13232C"/>
          <w:sz w:val="21"/>
        </w:rPr>
        <w:t>The THRU (victim) channel is required. Crosstalk aggressors are optional: use --fext for FEXT and --next for NEXT, each accepting multiple files. Add --export-mat to also write an engineering snapshot for R analysis (Section 7.4).</w:t>
      </w:r>
    </w:p>
    <w:p>
      <w:pPr>
        <w:pStyle w:val="Heading3"/>
        <w:rPr/>
      </w:pPr>
      <w:r>
        <w:rPr/>
        <w:t>The canonical example</w:t>
      </w:r>
    </w:p>
    <w:p>
      <w:pPr>
        <w:pStyle w:val="Normal"/>
        <w:spacing w:before="0" w:after="140"/>
        <w:rPr/>
      </w:pPr>
      <w:r>
        <w:rPr>
          <w:b w:val="false"/>
          <w:i w:val="false"/>
          <w:color w:val="13232C"/>
          <w:sz w:val="21"/>
        </w:rPr>
        <w:t>The 802.3ck C2M configuration that ships with the repository, run against its reference channel:</w:t>
      </w:r>
    </w:p>
    <w:p>
      <w:pPr>
        <w:pStyle w:val="Normal"/>
        <w:shd w:val="clear" w:fill="F2F6F8"/>
        <w:spacing w:before="80" w:after="180"/>
        <w:ind w:start="187"/>
        <w:rPr/>
      </w:pPr>
      <w:r>
        <w:rPr>
          <w:rFonts w:ascii="Consolas" w:hAnsi="Consolas"/>
          <w:color w:val="13232C"/>
          <w:sz w:val="17"/>
        </w:rPr>
        <w:t>python com.py "config_com_ieee8023_93a=3ck_d3p1_120g_C2M_tp1a_9_11_30_21.xlsx" \</w:t>
        <w:br/>
        <w:t xml:space="preserve">        "Tx_PCB_4dB_OSFP_22dB_OSFP_4dB_PCB_Rx_TP0_TP5_VendorX_thru1.s4p"</w:t>
      </w:r>
    </w:p>
    <w:p>
      <w:pPr>
        <w:pStyle w:val="Normal"/>
        <w:spacing w:before="0" w:after="140"/>
        <w:rPr/>
      </w:pPr>
      <w:r>
        <w:rPr>
          <w:b w:val="false"/>
          <w:i w:val="false"/>
          <w:color w:val="13232C"/>
          <w:sz w:val="21"/>
        </w:rPr>
        <w:t>The run reports its progress through the equalizer search, then prints one result block per package test case:</w:t>
      </w:r>
    </w:p>
    <w:p>
      <w:pPr>
        <w:pStyle w:val="Normal"/>
        <w:shd w:val="clear" w:fill="F2F6F8"/>
        <w:spacing w:before="80" w:after="180"/>
        <w:ind w:start="187"/>
        <w:rPr/>
      </w:pPr>
      <w:r>
        <w:rPr>
          <w:rFonts w:ascii="Consolas" w:hAnsi="Consolas"/>
          <w:color w:val="13232C"/>
          <w:sz w:val="17"/>
        </w:rPr>
        <w:t>Running COM: config_com_ieee8023_93a=3ck_d3p1_120g_C2M_tp1a_9_11_30_21.xlsx</w:t>
        <w:br/>
        <w:t>FEXT: 0, NEXT: 0</w:t>
        <w:br/>
        <w:br/>
        <w:t>C2M_eval_ --Tx_PCB_...   Causality correction = -47.3 dB (not applied)</w:t>
        <w:br/>
        <w:t>C2M_eval_ --Tx_PCB_...   Truncation ratio = -54.2 dB</w:t>
        <w:br/>
        <w:t xml:space="preserve">  optimize_fom: 1 gffe x 14 CTLE x 7 g_DC_HP x 396 TXFFE x 1 itick = 38808 evals</w:t>
        <w:br/>
        <w:t xml:space="preserve">  C2M pass 1/2</w:t>
        <w:br/>
        <w:t xml:space="preserve">    CTLE 1/14  g_dc=-13.00  best_FOM=-inf dB</w:t>
        <w:br/>
        <w:t xml:space="preserve">      ** new best FOM = 1.810 dB (CTLE 3, TXFFE 12, itick=0)</w:t>
        <w:br/>
        <w:t xml:space="preserve">      ** new best FOM = 2.325 dB (CTLE 3, TXFFE 71, itick=0)</w:t>
        <w:br/>
        <w:t xml:space="preserve">      ...</w:t>
        <w:br/>
        <w:t xml:space="preserve">    [com_plots] 12 figures written this run (12 present) -&gt; results\...\case_02</w:t>
        <w:br/>
        <w:br/>
        <w:t>--- Case 1 ---</w:t>
        <w:br/>
        <w:t xml:space="preserve">  COM_dB                         = 3.5664</w:t>
        <w:br/>
        <w:t xml:space="preserve">  VEO_mV                         = 11.5800</w:t>
        <w:br/>
        <w:t xml:space="preserve">  VEC_dB                         = 9.4540</w:t>
        <w:br/>
        <w:t xml:space="preserve">  FOM_ILD                        = 0.6588</w:t>
        <w:br/>
        <w:t xml:space="preserve">  ICN_mV                         = 0.0000</w:t>
        <w:br/>
        <w:t xml:space="preserve">  Result                         = PASS  (threshold 3.0 dB)</w:t>
        <w:br/>
        <w:br/>
        <w:t>--- Case 2 ---</w:t>
        <w:br/>
        <w:t xml:space="preserve">  COM_dB                         = 3.0184</w:t>
        <w:br/>
        <w:t xml:space="preserve">  VEO_mV                         = 8.4200</w:t>
        <w:br/>
        <w:t xml:space="preserve">  VEC_dB                         = 10.6464</w:t>
        <w:br/>
        <w:t xml:space="preserve">  Result                         = PASS  (threshold 3.0 dB)</w:t>
      </w:r>
    </w:p>
    <w:p>
      <w:pPr>
        <w:pStyle w:val="Normal"/>
        <w:spacing w:before="0" w:after="140"/>
        <w:rPr/>
      </w:pPr>
      <w:r>
        <w:rPr>
          <w:b w:val="false"/>
          <w:i w:val="false"/>
          <w:color w:val="13232C"/>
          <w:sz w:val="21"/>
        </w:rPr>
        <w:t>This is real output from the current code. If your run reproduces 3.5664 dB for Case 1, the installation is working correctly.</w:t>
      </w:r>
    </w:p>
    <w:p>
      <w:pPr>
        <w:pStyle w:val="Heading3"/>
        <w:rPr/>
      </w:pPr>
      <w:r>
        <w:rPr/>
        <w:t>Reading the progress lines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Line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optimize_fom: … = N evals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size of the equalizer search space for this case — the product of the GFFE, CTLE, g_DC_HP, TX-FFE and sampling-phase sweeps.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C2M pass 1/2</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configurations run the optimiser twice; the second pass re-runs with the VEO test relaxed if the first found no viable setting.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 new best FOM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optimiser found a better figure of merit. The trailing values identify the CTLE index, TX-FFE candidate and sampling phase.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Causality correction / Truncation ratio</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Diagnostics from S-parameter conditioning. Reported whether or not a correction was applied.</w:t>
            </w:r>
          </w:p>
        </w:tc>
      </w:tr>
    </w:tbl>
    <w:p>
      <w:pPr>
        <w:pStyle w:val="Normal"/>
        <w:spacing w:before="0" w:after="120"/>
        <w:rPr/>
      </w:pPr>
      <w:r>
        <w:rPr/>
      </w:r>
    </w:p>
    <w:p>
      <w:pPr>
        <w:pStyle w:val="Heading2"/>
        <w:rPr/>
      </w:pPr>
      <w:bookmarkStart w:id="9" w:name="__RefHeading___Toc10398_518488682"/>
      <w:bookmarkEnd w:id="9"/>
      <w:r>
        <w:rPr/>
        <w:t>2.4  Where output goes</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SAVE_FIGURES</w:t>
      </w:r>
      <w:r>
        <w:rPr>
          <w:b w:val="false"/>
          <w:i w:val="false"/>
          <w:color w:val="13232C"/>
          <w:sz w:val="21"/>
        </w:rPr>
        <w:t xml:space="preserve"> and </w:t>
      </w:r>
      <w:r>
        <w:rPr>
          <w:rFonts w:ascii="Consolas" w:hAnsi="Consolas"/>
          <w:b w:val="false"/>
          <w:i w:val="false"/>
          <w:color w:val="13232C"/>
          <w:sz w:val="19"/>
        </w:rPr>
        <w:t>CSV_REPORT</w:t>
      </w:r>
      <w:r>
        <w:rPr>
          <w:b w:val="false"/>
          <w:i w:val="false"/>
          <w:color w:val="13232C"/>
          <w:sz w:val="21"/>
        </w:rPr>
        <w:t xml:space="preserve"> enabled in the configuration, each package case writes to </w:t>
      </w:r>
      <w:r>
        <w:rPr>
          <w:rFonts w:ascii="Consolas" w:hAnsi="Consolas"/>
          <w:b w:val="false"/>
          <w:i w:val="false"/>
          <w:color w:val="13232C"/>
          <w:sz w:val="19"/>
        </w:rPr>
        <w:t>results/&lt;config-name&gt;_&lt;date&gt;/case_NN/</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Output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results.csv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per-case metrics: port order, impedance estimates, ERL, ICN, fitted IL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02_insertion_loss.png, 02_return_loss.png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 frequency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03_filters_main_vs_display.png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filter chain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04_sbr_full.png, 04_sbr_zoom.png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single-bit (pulse)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06_eq_vs_uneq_sbr.png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equalized vs unequalized pulse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06_fom_convergence.png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FOM progress through the equalizer search</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07_pdfs.png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noise and interference probability densities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08_eye_contour.png, 08_*_bathtub.png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statistical eye and bathtub curves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09_contribution_pie.png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breakdown of the noise/ISI budget</w:t>
            </w:r>
          </w:p>
        </w:tc>
      </w:tr>
    </w:tbl>
    <w:p>
      <w:pPr>
        <w:pStyle w:val="Normal"/>
        <w:spacing w:before="60" w:after="220"/>
        <w:rPr/>
      </w:pPr>
      <w:r>
        <w:rPr>
          <w:b w:val="false"/>
          <w:i/>
          <w:color w:val="5A6B74"/>
          <w:sz w:val="17"/>
        </w:rPr>
        <w:t>Table 1. Per-case outputs written when figures and CSV reporting are enabled.</w:t>
      </w:r>
      <w:r>
        <w:br w:type="page"/>
      </w:r>
    </w:p>
    <w:p>
      <w:pPr>
        <w:pStyle w:val="Heading1"/>
        <w:spacing w:before="0" w:after="160"/>
        <w:rPr/>
      </w:pPr>
      <w:bookmarkStart w:id="10" w:name="__RefHeading___Toc10400_518488682"/>
      <w:bookmarkEnd w:id="10"/>
      <w:r>
        <w:rPr/>
        <w:t>3  Architecture</w:t>
      </w:r>
    </w:p>
    <w:p>
      <w:pPr>
        <w:pStyle w:val="Heading2"/>
        <w:rPr/>
      </w:pPr>
      <w:bookmarkStart w:id="11" w:name="__RefHeading___Toc10402_518488682"/>
      <w:bookmarkEnd w:id="11"/>
      <w:r>
        <w:rPr/>
        <w:t>3.1  The assembly model</w:t>
      </w:r>
    </w:p>
    <w:p>
      <w:pPr>
        <w:pStyle w:val="Normal"/>
        <w:spacing w:before="0" w:after="140"/>
        <w:rPr/>
      </w:pPr>
      <w:r>
        <w:rPr>
          <w:b w:val="false"/>
          <w:i w:val="false"/>
          <w:color w:val="13232C"/>
          <w:sz w:val="21"/>
        </w:rPr>
        <w:t xml:space="preserve">The runnable engine, </w:t>
      </w:r>
      <w:r>
        <w:rPr>
          <w:rFonts w:ascii="Consolas" w:hAnsi="Consolas"/>
          <w:b w:val="false"/>
          <w:i w:val="false"/>
          <w:color w:val="13232C"/>
          <w:sz w:val="19"/>
        </w:rPr>
        <w:t>com.py</w:t>
      </w:r>
      <w:r>
        <w:rPr>
          <w:b w:val="false"/>
          <w:i w:val="false"/>
          <w:color w:val="13232C"/>
          <w:sz w:val="21"/>
        </w:rPr>
        <w:t xml:space="preserve">, is </w:t>
      </w:r>
      <w:r>
        <w:rPr>
          <w:b/>
          <w:i w:val="false"/>
          <w:color w:val="13232C"/>
          <w:sz w:val="21"/>
        </w:rPr>
        <w:t>generated, not hand-edited</w:t>
      </w:r>
      <w:r>
        <w:rPr>
          <w:b w:val="false"/>
          <w:i w:val="false"/>
          <w:color w:val="13232C"/>
          <w:sz w:val="21"/>
        </w:rPr>
        <w:t>. Each MATLAB function is translated in its own directory alongside its own verification test, and an assembler concatenates the verified implementations into the single module.</w:t>
      </w:r>
    </w:p>
    <w:p>
      <w:pPr>
        <w:pStyle w:val="Normal"/>
        <w:shd w:val="clear" w:fill="F2F6F8"/>
        <w:spacing w:before="80" w:after="180"/>
        <w:ind w:start="187"/>
        <w:rPr/>
      </w:pPr>
      <w:r>
        <w:rPr>
          <w:rFonts w:ascii="Consolas" w:hAnsi="Consolas"/>
          <w:color w:val="13232C"/>
          <w:sz w:val="17"/>
        </w:rPr>
        <w:t>com_functions/fn/&lt;name&gt;/py_impl.py      &lt;- the editable translation</w:t>
        <w:br/>
        <w:t>com_functions/fn/&lt;name&gt;/test_verify.py  &lt;- its verification test</w:t>
        <w:br/>
        <w:t xml:space="preserve">                |</w:t>
        <w:br/>
        <w:t xml:space="preserve">                |  python assemble_com.py</w:t>
        <w:br/>
        <w:t xml:space="preserve">                v</w:t>
        <w:br/>
        <w:t>com.py                                  &lt;- generated engine (do not edit)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Component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Scale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directories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157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Top-level functions in the assembled engine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431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Lines in com.py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18,762</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Comments carrying MATLAB line references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311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Dependency-injection points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161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Unit tests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876 passing</w:t>
            </w:r>
          </w:p>
        </w:tc>
      </w:tr>
    </w:tbl>
    <w:p>
      <w:pPr>
        <w:pStyle w:val="Normal"/>
        <w:spacing w:before="60" w:after="220"/>
        <w:rPr/>
      </w:pPr>
      <w:r>
        <w:rPr>
          <w:b w:val="false"/>
          <w:i/>
          <w:color w:val="5A6B74"/>
          <w:sz w:val="17"/>
        </w:rPr>
        <w:t>Table 2. Scale of the port as of August 2026 (post-correlation).</w:t>
      </w:r>
    </w:p>
    <w:p>
      <w:pPr>
        <w:pStyle w:val="Normal"/>
        <w:spacing w:before="0" w:after="140"/>
        <w:rPr/>
      </w:pPr>
      <w:r>
        <w:rPr>
          <w:b w:val="false"/>
          <w:i w:val="false"/>
          <w:color w:val="13232C"/>
          <w:sz w:val="21"/>
        </w:rPr>
        <w:t>The reason for this structure is verification. A single 18,000-line file is difficult to review against a MATLAB original; 157 small files, each with a test pinned to the behaviour of one MATLAB function, is tractable.</w:t>
      </w:r>
    </w:p>
    <w:p>
      <w:pPr>
        <w:pStyle w:val="Heading2"/>
        <w:rPr/>
      </w:pPr>
      <w:bookmarkStart w:id="12" w:name="__RefHeading___Toc10404_518488682"/>
      <w:bookmarkEnd w:id="12"/>
      <w:r>
        <w:rPr/>
        <w:t>3.2  Dependency injection</w:t>
      </w:r>
    </w:p>
    <w:p>
      <w:pPr>
        <w:pStyle w:val="Normal"/>
        <w:spacing w:before="0" w:after="140"/>
        <w:rPr/>
      </w:pPr>
      <w:r>
        <w:rPr>
          <w:b w:val="false"/>
          <w:i w:val="false"/>
          <w:color w:val="13232C"/>
          <w:sz w:val="21"/>
        </w:rPr>
        <w:t>Functions do not call their collaborators directly. They receive them as keyword arguments, wired at run time:</w:t>
      </w:r>
    </w:p>
    <w:p>
      <w:pPr>
        <w:pStyle w:val="Normal"/>
        <w:shd w:val="clear" w:fill="F2F6F8"/>
        <w:spacing w:before="80" w:after="180"/>
        <w:ind w:start="187"/>
        <w:rPr/>
      </w:pPr>
      <w:r>
        <w:rPr>
          <w:rFonts w:ascii="Consolas" w:hAnsi="Consolas"/>
          <w:color w:val="13232C"/>
          <w:sz w:val="17"/>
        </w:rPr>
        <w:t>_wired_optimize_fom = partial(optimize_fom,</w:t>
        <w:br/>
        <w:t xml:space="preserve">    _OptFom_Build_TXFFE_fn=OptFom_Build_TXFFE,</w:t>
        <w:br/>
        <w:t xml:space="preserve">    _OptFom_Calc_FOM_fn=_wired_OptFom_Calc_FOM,</w:t>
        <w:br/>
        <w:t xml:space="preserve">    _OptFom_Local_Search_fn=OptFom_Local_Search,</w:t>
        <w:br/>
        <w:t xml:space="preserve">    _OptFom_Adaptive_Local_Search_fn=OptFom_Adaptive_Local_Search,</w:t>
        <w:br/>
        <w:t xml:space="preserve">    ...)</w:t>
      </w:r>
    </w:p>
    <w:p>
      <w:pPr>
        <w:pStyle w:val="Normal"/>
        <w:spacing w:before="0" w:after="140"/>
        <w:rPr/>
      </w:pPr>
      <w:r>
        <w:rPr>
          <w:b w:val="false"/>
          <w:i w:val="false"/>
          <w:color w:val="13232C"/>
          <w:sz w:val="21"/>
        </w:rPr>
        <w:t>This mirrors MATLAB's flat function namespace, but it also has a practical consequence: a study can substitute one function without touching anything else. Pinning the equalizer search to a single operating point — which is how the FOM-to-COM probe in Chapter 8 works — is done by replacing exactly one injected function.</w:t>
      </w:r>
    </w:p>
    <w:p>
      <w:pPr>
        <w:pStyle w:val="Heading2"/>
        <w:rPr/>
      </w:pPr>
      <w:bookmarkStart w:id="13" w:name="__RefHeading___Toc10406_518488682"/>
      <w:bookmarkEnd w:id="13"/>
      <w:r>
        <w:rPr/>
        <w:t>3.3  Search instrumentation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Off by default, and it cannot change a COM result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Both loggers below are disabled unless a path is assigned. When enabled they observe and record; they do not participate in any calculation.</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Hook</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Records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com.SWEEP_LOG_CSV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One row per TX-FFE candidate considered, for any search method: method label, GFFE/CTLE/LP/TXFFE indices, tap vector, candidate FOM, running best FOM, winning sampling phase and cursor, evaluated vs pruned, and the reason for a prune.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com.SWEEP_METHOD_LABEL</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label written into the method column.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com.ALS_LOG_CSV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 adaptive radius, deterministic radius, raw and weighted L1/L2 tap distances, the hard cap, and the candidate/best state that produced the decision.</w:t>
            </w:r>
          </w:p>
        </w:tc>
      </w:tr>
    </w:tbl>
    <w:p>
      <w:pPr>
        <w:pStyle w:val="Normal"/>
        <w:spacing w:before="0" w:after="120"/>
        <w:rPr/>
      </w:pPr>
      <w:r>
        <w:rPr/>
      </w:r>
    </w:p>
    <w:p>
      <w:pPr>
        <w:pStyle w:val="Normal"/>
        <w:spacing w:before="0" w:after="140"/>
        <w:rPr/>
      </w:pPr>
      <w:r>
        <w:rPr>
          <w:b w:val="false"/>
          <w:i w:val="false"/>
          <w:color w:val="13232C"/>
          <w:sz w:val="21"/>
        </w:rPr>
        <w:t>These logs are the data source for everything in Chapter 8. Without them the search is a black box that emits one number.</w:t>
      </w:r>
    </w:p>
    <w:p>
      <w:pPr>
        <w:pStyle w:val="Heading2"/>
        <w:rPr/>
      </w:pPr>
      <w:bookmarkStart w:id="14" w:name="__RefHeading___Toc10408_518488682"/>
      <w:bookmarkEnd w:id="14"/>
      <w:r>
        <w:rPr/>
        <w:t>3.4  Modules that sit beside the engine</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Module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com_plots.py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 generation; imported by com.py when SAVE_FIGURES is set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com_mat_export.py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engineering .mat snapshot; imported by com.py under --export-mat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assemble_com.py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builds com.py from the per-function sources</w:t>
            </w:r>
          </w:p>
        </w:tc>
      </w:tr>
    </w:tbl>
    <w:p>
      <w:pPr>
        <w:pStyle w:val="Normal"/>
        <w:spacing w:before="0" w:after="120"/>
        <w:rPr/>
      </w:pPr>
      <w:r>
        <w:rPr/>
      </w:r>
    </w:p>
    <w:p>
      <w:pPr>
        <w:pStyle w:val="Normal"/>
        <w:spacing w:before="0" w:after="140"/>
        <w:rPr/>
      </w:pPr>
      <w:r>
        <w:rPr>
          <w:b w:val="false"/>
          <w:i w:val="false"/>
          <w:color w:val="13232C"/>
          <w:sz w:val="21"/>
        </w:rPr>
        <w:t xml:space="preserve">The first two are imported </w:t>
      </w:r>
      <w:r>
        <w:rPr>
          <w:b w:val="false"/>
          <w:i/>
          <w:color w:val="13232C"/>
          <w:sz w:val="21"/>
        </w:rPr>
        <w:t>by</w:t>
      </w:r>
      <w:r>
        <w:rPr>
          <w:b w:val="false"/>
          <w:i w:val="false"/>
          <w:color w:val="13232C"/>
          <w:sz w:val="21"/>
        </w:rPr>
        <w:t xml:space="preserve"> the engine, which is why they live beside </w:t>
      </w:r>
      <w:r>
        <w:rPr>
          <w:rFonts w:ascii="Consolas" w:hAnsi="Consolas"/>
          <w:b w:val="false"/>
          <w:i w:val="false"/>
          <w:color w:val="13232C"/>
          <w:sz w:val="19"/>
        </w:rPr>
        <w:t>com.py</w:t>
      </w:r>
      <w:r>
        <w:rPr>
          <w:b w:val="false"/>
          <w:i w:val="false"/>
          <w:color w:val="13232C"/>
          <w:sz w:val="21"/>
        </w:rPr>
        <w:t xml:space="preserve"> rather than in </w:t>
      </w:r>
      <w:r>
        <w:rPr>
          <w:rFonts w:ascii="Consolas" w:hAnsi="Consolas"/>
          <w:b w:val="false"/>
          <w:i w:val="false"/>
          <w:color w:val="13232C"/>
          <w:sz w:val="19"/>
        </w:rPr>
        <w:t>tools/</w:t>
      </w:r>
      <w:r>
        <w:rPr>
          <w:b w:val="false"/>
          <w:i w:val="false"/>
          <w:color w:val="13232C"/>
          <w:sz w:val="21"/>
        </w:rPr>
        <w:t>. Moving them would break figure export and the .mat snapshot.</w:t>
      </w:r>
    </w:p>
    <w:p>
      <w:pPr>
        <w:pStyle w:val="Heading2"/>
        <w:rPr/>
      </w:pPr>
      <w:bookmarkStart w:id="15" w:name="__RefHeading___Toc10410_518488682"/>
      <w:bookmarkEnd w:id="15"/>
      <w:r>
        <w:rPr/>
        <w:t>3.5  Repository layout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Path</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assembled engine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sources and tests (157 functions)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tools/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study layer: sweep, probe, corpus, diagnostics, deck builder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interactive HTML reporting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matlab/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MATLAB reference sources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docs/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audit findings, fix summary, feature plan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dev/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historical development prompts and state ledgers (provenance only)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standalone cross-check scripts, run directly rather than via pytest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sweep_results/, corpus_results/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study outputs, each with its own results document</w:t>
            </w:r>
          </w:p>
        </w:tc>
      </w:tr>
    </w:tbl>
    <w:p>
      <w:pPr>
        <w:pStyle w:val="Normal"/>
        <w:spacing w:before="0" w:after="120"/>
        <w:rPr/>
      </w:pPr>
      <w:r>
        <w:rPr/>
      </w:r>
      <w:r>
        <w:br w:type="page"/>
      </w:r>
    </w:p>
    <w:p>
      <w:pPr>
        <w:pStyle w:val="Heading1"/>
        <w:spacing w:before="0" w:after="160"/>
        <w:rPr/>
      </w:pPr>
      <w:bookmarkStart w:id="16" w:name="__RefHeading___Toc10412_518488682"/>
      <w:bookmarkEnd w:id="16"/>
      <w:r>
        <w:rPr/>
        <w:t>4  Inputs</w:t>
      </w:r>
    </w:p>
    <w:p>
      <w:pPr>
        <w:pStyle w:val="Heading2"/>
        <w:rPr/>
      </w:pPr>
      <w:bookmarkStart w:id="17" w:name="__RefHeading___Toc10414_518488682"/>
      <w:bookmarkEnd w:id="17"/>
      <w:r>
        <w:rPr/>
        <w:t>4.1  The configuration spreadsheet</w:t>
      </w:r>
    </w:p>
    <w:p>
      <w:pPr>
        <w:pStyle w:val="Normal"/>
        <w:spacing w:before="0" w:after="140"/>
        <w:rPr/>
      </w:pPr>
      <w:r>
        <w:rPr>
          <w:b w:val="false"/>
          <w:i w:val="false"/>
          <w:color w:val="13232C"/>
          <w:sz w:val="21"/>
        </w:rPr>
        <w:t xml:space="preserve">COM is driven by an IEEE 802.3-format </w:t>
      </w:r>
      <w:r>
        <w:rPr>
          <w:rFonts w:ascii="Consolas" w:hAnsi="Consolas"/>
          <w:b w:val="false"/>
          <w:i w:val="false"/>
          <w:color w:val="13232C"/>
          <w:sz w:val="19"/>
        </w:rPr>
        <w:t>.xlsx</w:t>
      </w:r>
      <w:r>
        <w:rPr>
          <w:b w:val="false"/>
          <w:i w:val="false"/>
          <w:color w:val="13232C"/>
          <w:sz w:val="21"/>
        </w:rPr>
        <w:t xml:space="preserve"> spreadsheet. The engine reads the </w:t>
      </w:r>
      <w:r>
        <w:rPr>
          <w:rFonts w:ascii="Consolas" w:hAnsi="Consolas"/>
          <w:b w:val="false"/>
          <w:i w:val="false"/>
          <w:color w:val="13232C"/>
          <w:sz w:val="19"/>
        </w:rPr>
        <w:t>COM_Settings</w:t>
      </w:r>
      <w:r>
        <w:rPr>
          <w:b w:val="false"/>
          <w:i w:val="false"/>
          <w:color w:val="13232C"/>
          <w:sz w:val="21"/>
        </w:rPr>
        <w:t xml:space="preserve"> sheet as parameter/value columns. Start from a working-group reference sheet rather than building one from scratch.</w:t>
      </w:r>
    </w:p>
    <w:p>
      <w:pPr>
        <w:pStyle w:val="Normal"/>
        <w:spacing w:before="0" w:after="140"/>
        <w:rPr/>
      </w:pPr>
      <w:r>
        <w:rPr>
          <w:b w:val="false"/>
          <w:i w:val="false"/>
          <w:color w:val="13232C"/>
          <w:sz w:val="21"/>
        </w:rPr>
        <w:t>Every value the engine consumes is read through a single helper, which is why a complete and authoritative parameter index can be generated directly from the source (Appendix B). The engine reads 247 distinct keywords, of which 15 are mandatory.</w:t>
      </w:r>
    </w:p>
    <w:p>
      <w:pPr>
        <w:pStyle w:val="Normal"/>
        <w:shd w:val="clear" w:fill="F2F6F8"/>
        <w:spacing w:before="80" w:after="180"/>
        <w:ind w:start="187"/>
        <w:rPr/>
      </w:pPr>
      <w:r>
        <w:rPr>
          <w:rFonts w:ascii="Consolas" w:hAnsi="Consolas"/>
          <w:color w:val="13232C"/>
          <w:sz w:val="17"/>
        </w:rPr>
        <w:t>xls_parameter(parameter, name, eval_if_string=False, default_value=&lt;sentinel&gt;)</w:t>
        <w:br/>
        <w:br/>
        <w:t>param.f_b     = xls_parameter(parameter, 'f_b', True)           # mandatory: no default</w:t>
        <w:br/>
        <w:t>param.N_b     = xls_parameter(parameter, 'N_b', True)           # mandatory</w:t>
        <w:br/>
        <w:t>param.levels  = xls_parameter(parameter, 'levels', True, 4)     # optional, default 4</w:t>
        <w:br/>
        <w:t>OP.SAVE_FIGS  = xls_parameter(parameter, 'SAVE_FIGURES', False, 0)   # optional</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Mandatory means "no default", not a flag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A parameter is mandatory precisely when the call supplies no default value — the reader then raises an error if the keyword is missing from the sheet. The third argument is eval_if_string, which controls whether a text cell is evaluated as a MATLAB expression (so that entries like [1 3 2 4] or 1e9*[1:5] work). It is easy to misread as a required flag; it is not one.</w:t>
            </w:r>
          </w:p>
        </w:tc>
      </w:tr>
    </w:tbl>
    <w:p>
      <w:pPr>
        <w:pStyle w:val="Normal"/>
        <w:spacing w:before="0" w:after="180"/>
        <w:rPr/>
      </w:pPr>
      <w:r>
        <w:rPr/>
      </w:r>
    </w:p>
    <w:p>
      <w:pPr>
        <w:pStyle w:val="Normal"/>
        <w:spacing w:before="0" w:after="140"/>
        <w:rPr/>
      </w:pPr>
      <w:r>
        <w:rPr>
          <w:b w:val="false"/>
          <w:i w:val="false"/>
          <w:color w:val="13232C"/>
          <w:sz w:val="21"/>
        </w:rPr>
        <w:t>For an optional keyword, an absent row and a row set to the listed default behave identically. The 15 mandatory keywords are: A_DD, b_max(1), c(0), Delta_f, DER_0, eta_0, f_b, f_min, g_DC, Include PCB, L, N_b, R_LM, sigma_RJ and SNR_TX.</w:t>
      </w:r>
    </w:p>
    <w:p>
      <w:pPr>
        <w:pStyle w:val="Heading2"/>
        <w:rPr/>
      </w:pPr>
      <w:bookmarkStart w:id="18" w:name="__RefHeading___Toc10416_518488682"/>
      <w:bookmarkEnd w:id="18"/>
      <w:r>
        <w:rPr/>
        <w:t>4.2  S-parameter files</w:t>
      </w:r>
    </w:p>
    <w:p>
      <w:pPr>
        <w:pStyle w:val="Normal"/>
        <w:spacing w:before="0" w:after="140"/>
        <w:rPr/>
      </w:pPr>
      <w:r>
        <w:rPr>
          <w:b w:val="false"/>
          <w:i w:val="false"/>
          <w:color w:val="13232C"/>
          <w:sz w:val="21"/>
        </w:rPr>
        <w:t>Four-port Touchstone. The differential port order defaults to [1 3 2 4]; override it with the Port Order keyword if your files differ.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Automatic port-order detection</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When Port Order is empty, zero, contains NaN, or is not a single 4-element vector (for example a per-package [1 2 3 4; 1 3 2 4] matrix), the order is detected from the S-parameters themselves using through-energy and a phase-delay near/far test. The resolved order is reported as output_args.port_order and written into results.csv.</w:t>
            </w:r>
          </w:p>
        </w:tc>
      </w:tr>
    </w:tbl>
    <w:p>
      <w:pPr>
        <w:pStyle w:val="Normal"/>
        <w:spacing w:before="0" w:after="180"/>
        <w:rPr/>
      </w:pPr>
      <w:r>
        <w:rPr/>
      </w:r>
    </w:p>
    <w:p>
      <w:pPr>
        <w:pStyle w:val="Normal"/>
        <w:spacing w:before="0" w:after="140"/>
        <w:rPr/>
      </w:pPr>
      <w:r>
        <w:rPr>
          <w:b w:val="false"/>
          <w:i w:val="false"/>
          <w:color w:val="13232C"/>
          <w:sz w:val="21"/>
        </w:rPr>
        <w:t>Crosstalk aggressor files use the same format; the differential Sdd21 becomes the coupling response. FEXT and NEXT files are supplied separately because they enter the noise budget differently.</w:t>
      </w:r>
    </w:p>
    <w:p>
      <w:pPr>
        <w:pStyle w:val="Heading2"/>
        <w:rPr/>
      </w:pPr>
      <w:bookmarkStart w:id="19" w:name="__RefHeading___Toc10418_518488682"/>
      <w:bookmarkEnd w:id="19"/>
      <w:r>
        <w:rPr/>
        <w:t>4.3  Package cases</w:t>
      </w:r>
    </w:p>
    <w:p>
      <w:pPr>
        <w:pStyle w:val="Normal"/>
        <w:spacing w:before="0" w:after="140"/>
        <w:rPr/>
      </w:pPr>
      <w:r>
        <w:rPr>
          <w:b w:val="false"/>
          <w:i w:val="false"/>
          <w:color w:val="13232C"/>
          <w:sz w:val="21"/>
        </w:rPr>
        <w:t>A configuration may define several package/board cases. Each is solved independently and reported as its own result block and its own output directory. The canonical example above defines two, which is why it prints Case 1 and Case 2.</w:t>
      </w:r>
      <w:r>
        <w:br w:type="page"/>
      </w:r>
    </w:p>
    <w:p>
      <w:pPr>
        <w:pStyle w:val="Heading1"/>
        <w:spacing w:before="0" w:after="160"/>
        <w:rPr/>
      </w:pPr>
      <w:bookmarkStart w:id="20" w:name="__RefHeading___Toc10420_518488682"/>
      <w:bookmarkEnd w:id="20"/>
      <w:r>
        <w:rPr/>
        <w:t>5  Configuration: the parameters that matter</w:t>
      </w:r>
    </w:p>
    <w:p>
      <w:pPr>
        <w:pStyle w:val="Normal"/>
        <w:spacing w:before="0" w:after="140"/>
        <w:rPr/>
      </w:pPr>
      <w:r>
        <w:rPr>
          <w:b w:val="false"/>
          <w:i w:val="false"/>
          <w:color w:val="13232C"/>
          <w:sz w:val="21"/>
        </w:rPr>
        <w:t>This chapter covers the parameters you will actually set. It is not the complete list — Appendix B is, and is generated from the source so it cannot drift. Because COM is a pass/fail criterion, treat Appendix B as the authority and this chapter as orientation.</w:t>
      </w:r>
    </w:p>
    <w:p>
      <w:pPr>
        <w:pStyle w:val="Heading2"/>
        <w:rPr/>
      </w:pPr>
      <w:bookmarkStart w:id="21" w:name="__RefHeading___Toc10422_518488682"/>
      <w:bookmarkEnd w:id="21"/>
      <w:r>
        <w:rPr/>
        <w:t>5.1  Signalling and test limits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f_b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signalling rate (baud)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required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levels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modulation levels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2 = NRZ, 4 = PAM4</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specBER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target BER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sets the Q used for the margin</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samples_per_ui</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time resolution</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higher costs run time roughly linearly</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 Pass threshold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level in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conventionally 3 dB</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Min_VEO_Test</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minimum vertical eye opening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gating</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PHY / PMD_type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which limit set applies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e.g. C2M vs KR</w:t>
            </w:r>
          </w:p>
        </w:tc>
      </w:tr>
    </w:tbl>
    <w:p>
      <w:pPr>
        <w:pStyle w:val="Normal"/>
        <w:spacing w:before="0" w:after="120"/>
        <w:rPr/>
      </w:pPr>
      <w:r>
        <w:rPr/>
      </w:r>
    </w:p>
    <w:p>
      <w:pPr>
        <w:pStyle w:val="Heading2"/>
        <w:rPr/>
      </w:pPr>
      <w:bookmarkStart w:id="22" w:name="__RefHeading___Toc10424_518488682"/>
      <w:bookmarkEnd w:id="22"/>
      <w:r>
        <w:rPr/>
        <w:t>5.2  Equalizer sweeps</w:t>
      </w:r>
    </w:p>
    <w:p>
      <w:pPr>
        <w:pStyle w:val="Normal"/>
        <w:spacing w:before="0" w:after="140"/>
        <w:rPr/>
      </w:pPr>
      <w:r>
        <w:rPr>
          <w:b w:val="false"/>
          <w:i w:val="false"/>
          <w:color w:val="13232C"/>
          <w:sz w:val="21"/>
        </w:rPr>
        <w:t>These define the search space. Their product is the number of candidates the optimiser must consider, and it grows quickly — the canonical example above reports 38,808 evaluations.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 group</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tx_ffe_cm&lt;N&gt;_values, tx_ffe_cp&lt;N&gt;_values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TX-FFE tap grid, one list per pre-/post-cursor tap</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ctle_gdc_values, CTLE_fz, CTLE_fp1, CTLE_fp2</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CTLE bank: DC gain sweep and the pole/zero set per entry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g_DC_HP_values, f_HP</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high-pass (second-stage) CTLE sweep</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number of DFE taps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ffe_pre_tap_len, ffe_post_tap_len, ffe_tap_step_size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RX-FFE geometry and quantisation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Local Search</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exhaustive grid; N &gt; 0 enables pruning with radius 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Non-zero Local Search Method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legacy fixed-radius prune, 1 = adaptive (Chapter 8)</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two search keywords are the subject of Chapter 8</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Local Search and Non-zero Local Search Method together select one of three search strategies. They change how long a run takes; whether they change the answer is exactly the question Chapter 8 measures.</w:t>
            </w:r>
          </w:p>
        </w:tc>
      </w:tr>
    </w:tbl>
    <w:p>
      <w:pPr>
        <w:pStyle w:val="Normal"/>
        <w:spacing w:before="0" w:after="180"/>
        <w:rPr/>
      </w:pPr>
      <w:r>
        <w:rPr/>
      </w:r>
    </w:p>
    <w:p>
      <w:pPr>
        <w:pStyle w:val="Heading2"/>
        <w:rPr/>
      </w:pPr>
      <w:bookmarkStart w:id="23" w:name="__RefHeading___Toc10426_518488682"/>
      <w:bookmarkEnd w:id="23"/>
      <w:r>
        <w:rPr/>
        <w:t>5.3  Noise, jitter and crosstalk</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sigma_RJ, A_DD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random and deterministic jitter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eta_0</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noise spectral density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SNR_TX</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 SNR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A_v, A_fe, A_ne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victim / FEXT / NEXT amplitudes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A_ft, A_nt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ICN amplitudes for the FEXT and NEXT integrals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AC_CM_RMS, ACCM_MAX_Freq</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common-mode noise contribution</w:t>
            </w:r>
          </w:p>
        </w:tc>
      </w:tr>
    </w:tbl>
    <w:p>
      <w:pPr>
        <w:pStyle w:val="Normal"/>
        <w:spacing w:before="0" w:after="120"/>
        <w:rPr/>
      </w:pPr>
      <w:r>
        <w:rPr/>
      </w:r>
    </w:p>
    <w:p>
      <w:pPr>
        <w:pStyle w:val="Heading2"/>
        <w:rPr/>
      </w:pPr>
      <w:bookmarkStart w:id="24" w:name="__RefHeading___Toc10428_518488682"/>
      <w:bookmarkEnd w:id="24"/>
      <w:r>
        <w:rPr/>
        <w:t>5.4  Package, die and termination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PKG_NAME / package cases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named or per-case package definitions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z_p (TX), z_p (RX)</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package trace lengths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z_bp (TX), z_bp (RX), z_bp (NEXT), z_bp (FEXT)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board segment lengths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C_d, C_p, C_b, C_v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pad, board and via capacitances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R_d, R_0, Z_t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resistance, reference and termination impedance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IDEAL_TX_TERM, IDEAL_RX_TERM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bypass the termination model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INC_PACKAGE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the package model at all</w:t>
            </w:r>
          </w:p>
        </w:tc>
      </w:tr>
    </w:tbl>
    <w:p>
      <w:pPr>
        <w:pStyle w:val="Normal"/>
        <w:spacing w:before="0" w:after="120"/>
        <w:rPr/>
      </w:pPr>
      <w:r>
        <w:rPr/>
      </w:r>
    </w:p>
    <w:p>
      <w:pPr>
        <w:pStyle w:val="Heading2"/>
        <w:rPr/>
      </w:pPr>
      <w:bookmarkStart w:id="25" w:name="__RefHeading___Toc10430_518488682"/>
      <w:bookmarkEnd w:id="25"/>
      <w:r>
        <w:rPr/>
        <w:t>5.5  Output flags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SAVE_FIGURES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the per-case PNG figures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CSV_REPORT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results.csv per case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DISPLAY_WINDOW</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show figures interactively as well as saving them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 frequency domain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compute and report the FD metrics (ILD, ICN)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COM_CONTRIBUTION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produce the noise/ISI contribution breakdown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DO_NOT_COMPUTE_COM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run the analysis but skip the final COM evaluation</w:t>
            </w:r>
          </w:p>
        </w:tc>
      </w:tr>
    </w:tbl>
    <w:p>
      <w:pPr>
        <w:pStyle w:val="Normal"/>
        <w:spacing w:before="0" w:after="120"/>
        <w:rPr/>
      </w:pPr>
      <w:r>
        <w:rPr/>
      </w:r>
      <w:r>
        <w:br w:type="page"/>
      </w:r>
    </w:p>
    <w:p>
      <w:pPr>
        <w:pStyle w:val="Heading1"/>
        <w:spacing w:before="0" w:after="160"/>
        <w:rPr/>
      </w:pPr>
      <w:bookmarkStart w:id="26" w:name="__RefHeading___Toc10432_518488682"/>
      <w:bookmarkEnd w:id="26"/>
      <w:r>
        <w:rPr/>
        <w:t>6  Feature reference</w:t>
      </w:r>
    </w:p>
    <w:p>
      <w:pPr>
        <w:pStyle w:val="Normal"/>
        <w:spacing w:before="0" w:after="140"/>
        <w:rPr/>
      </w:pPr>
      <w:r>
        <w:rPr>
          <w:b w:val="false"/>
          <w:i w:val="false"/>
          <w:color w:val="13232C"/>
          <w:sz w:val="21"/>
        </w:rPr>
        <w:t>Every major feature of the MATLAB tool is implemented. This chapter describes what each does, how to enable it, and anything worth knowing before relying on it. Section 11.2 notes which features are covered by an end-to-end run and which are unit-tested only.</w:t>
      </w:r>
    </w:p>
    <w:p>
      <w:pPr>
        <w:pStyle w:val="Heading2"/>
        <w:rPr/>
      </w:pPr>
      <w:bookmarkStart w:id="27" w:name="__RefHeading___Toc10434_518488682"/>
      <w:bookmarkEnd w:id="27"/>
      <w:r>
        <w:rPr/>
        <w:t>6.1  Transmit FFE</w:t>
      </w:r>
    </w:p>
    <w:p>
      <w:pPr>
        <w:pStyle w:val="Normal"/>
        <w:spacing w:before="0" w:after="140"/>
        <w:rPr/>
      </w:pPr>
      <w:r>
        <w:rPr>
          <w:b w:val="false"/>
          <w:i w:val="false"/>
          <w:color w:val="13232C"/>
          <w:sz w:val="21"/>
        </w:rPr>
        <w:t>The TX-FFE grid is built from one value list per tap. Pre-cursor taps are named cm1, cm2, … and post-cursor taps cp1, cp2, …; the cursor is derived so that the tap set sums to unity.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 tap that is single-valued and zero is treated as absent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grid builder drops a leading pre-cursor tap whose only value is 0 and shifts the cursor position accordingly. This matters if you pin a configuration programmatically: collapsing a tap list to [0.0] changes the cursor index and the shape of the tap matrix, not just the search size.</w:t>
            </w:r>
          </w:p>
        </w:tc>
      </w:tr>
    </w:tbl>
    <w:p>
      <w:pPr>
        <w:pStyle w:val="Normal"/>
        <w:spacing w:before="0" w:after="180"/>
        <w:rPr/>
      </w:pPr>
      <w:r>
        <w:rPr/>
      </w:r>
    </w:p>
    <w:p>
      <w:pPr>
        <w:pStyle w:val="Heading2"/>
        <w:rPr/>
      </w:pPr>
      <w:bookmarkStart w:id="28" w:name="__RefHeading___Toc10436_518488682"/>
      <w:bookmarkEnd w:id="28"/>
      <w:r>
        <w:rPr/>
        <w:t>6.2  CTLE</w:t>
      </w:r>
    </w:p>
    <w:p>
      <w:pPr>
        <w:pStyle w:val="Normal"/>
        <w:spacing w:before="0" w:after="140"/>
        <w:rPr/>
      </w:pPr>
      <w:r>
        <w:rPr>
          <w:b w:val="false"/>
          <w:i w:val="false"/>
          <w:color w:val="13232C"/>
          <w:sz w:val="21"/>
        </w:rPr>
        <w:t>The CTLE bank is a list of DC gains with matching pole/zero entries, swept as a unit. A second high-pass stage is swept independently through g_DC_HP_values.</w:t>
      </w:r>
    </w:p>
    <w:p>
      <w:pPr>
        <w:pStyle w:val="Normal"/>
        <w:spacing w:before="0" w:after="140"/>
        <w:rPr/>
      </w:pPr>
      <w:r>
        <w:rPr>
          <w:b w:val="false"/>
          <w:i w:val="false"/>
          <w:color w:val="13232C"/>
          <w:sz w:val="21"/>
        </w:rPr>
        <w:t>The qualification matrix (</w:t>
      </w:r>
      <w:r>
        <w:rPr>
          <w:rFonts w:ascii="Consolas" w:hAnsi="Consolas"/>
          <w:b w:val="false"/>
          <w:i w:val="false"/>
          <w:color w:val="13232C"/>
          <w:sz w:val="19"/>
        </w:rPr>
        <w:t>gqual</w:t>
      </w:r>
      <w:r>
        <w:rPr>
          <w:b w:val="false"/>
          <w:i w:val="false"/>
          <w:color w:val="13232C"/>
          <w:sz w:val="21"/>
        </w:rPr>
        <w:t xml:space="preserve">, </w:t>
      </w:r>
      <w:r>
        <w:rPr>
          <w:rFonts w:ascii="Consolas" w:hAnsi="Consolas"/>
          <w:b w:val="false"/>
          <w:i w:val="false"/>
          <w:color w:val="13232C"/>
          <w:sz w:val="19"/>
        </w:rPr>
        <w:t>g2qual</w:t>
      </w:r>
      <w:r>
        <w:rPr>
          <w:b w:val="false"/>
          <w:i w:val="false"/>
          <w:color w:val="13232C"/>
          <w:sz w:val="21"/>
        </w:rPr>
        <w:t>) can disable specific gain combinations, which the optimiser then skips entirely. This is why the number of candidates actually evaluated is often lower than the nominal grid product.</w:t>
      </w:r>
    </w:p>
    <w:p>
      <w:pPr>
        <w:pStyle w:val="Heading2"/>
        <w:rPr/>
      </w:pPr>
      <w:bookmarkStart w:id="29" w:name="__RefHeading___Toc10438_518488682"/>
      <w:bookmarkEnd w:id="29"/>
      <w:r>
        <w:rPr/>
        <w:t>6.3  Decision feedback equalization</w:t>
      </w:r>
    </w:p>
    <w:p>
      <w:pPr>
        <w:pStyle w:val="Normal"/>
        <w:spacing w:before="0" w:after="140"/>
        <w:rPr/>
      </w:pPr>
      <w:r>
        <w:rPr>
          <w:b w:val="false"/>
          <w:i w:val="false"/>
          <w:color w:val="13232C"/>
          <w:sz w:val="21"/>
        </w:rPr>
        <w:t>N_b sets the number of DFE taps, with bmax/bmin bounding them. Floating DFE extends this: a smaller number of fixed taps plus a group of floating taps placed where the residual ISI actually is.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fixed DFE tap count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bmax, bmin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per-tap bounds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Floating_DFE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enable floating taps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N_bmax, N_bg, N_bf</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floating group geometry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N_tail_start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where the tail region begins</w:t>
            </w:r>
          </w:p>
        </w:tc>
      </w:tr>
    </w:tbl>
    <w:p>
      <w:pPr>
        <w:pStyle w:val="Normal"/>
        <w:spacing w:before="0" w:after="120"/>
        <w:rPr/>
      </w:pPr>
      <w:r>
        <w:rPr/>
      </w:r>
    </w:p>
    <w:p>
      <w:pPr>
        <w:pStyle w:val="Heading2"/>
        <w:rPr/>
      </w:pPr>
      <w:bookmarkStart w:id="30" w:name="__RefHeading___Toc10440_518488682"/>
      <w:bookmarkEnd w:id="30"/>
      <w:r>
        <w:rPr/>
        <w:t>6.4  Receive FFE (MMSE)</w:t>
      </w:r>
    </w:p>
    <w:p>
      <w:pPr>
        <w:pStyle w:val="Normal"/>
        <w:spacing w:before="0" w:after="140"/>
        <w:rPr/>
      </w:pPr>
      <w:r>
        <w:rPr>
          <w:b w:val="false"/>
          <w:i w:val="false"/>
          <w:color w:val="13232C"/>
          <w:sz w:val="21"/>
        </w:rPr>
        <w:t xml:space="preserve">Enabled with </w:t>
      </w:r>
      <w:r>
        <w:rPr>
          <w:rFonts w:ascii="Consolas" w:hAnsi="Consolas"/>
          <w:b w:val="false"/>
          <w:i w:val="false"/>
          <w:color w:val="13232C"/>
          <w:sz w:val="19"/>
        </w:rPr>
        <w:t>RxFFE</w:t>
      </w:r>
      <w:r>
        <w:rPr>
          <w:b w:val="false"/>
          <w:i w:val="false"/>
          <w:color w:val="13232C"/>
          <w:sz w:val="21"/>
        </w:rPr>
        <w:t xml:space="preserve"> and </w:t>
      </w:r>
      <w:r>
        <w:rPr>
          <w:rFonts w:ascii="Consolas" w:hAnsi="Consolas"/>
          <w:b w:val="false"/>
          <w:i w:val="false"/>
          <w:color w:val="13232C"/>
          <w:sz w:val="19"/>
        </w:rPr>
        <w:t>FFE_OPT_METHOD = 'MMSE'</w:t>
      </w:r>
      <w:r>
        <w:rPr>
          <w:b w:val="false"/>
          <w:i w:val="false"/>
          <w:color w:val="13232C"/>
          <w:sz w:val="21"/>
        </w:rPr>
        <w:t>. Tap geometry comes from the ffe_* keywords, and the optimiser solves for the tap values rather than sweeping them.</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FFE_OPT_METHOD = 'WIENER-HOPF' is intentionally non-functional</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Its helper is undefined in the MATLAB reference itself, so the Python port reproduces that gap rather than inventing behaviour. Use 'MMSE'.</w:t>
            </w:r>
          </w:p>
        </w:tc>
      </w:tr>
    </w:tbl>
    <w:p>
      <w:pPr>
        <w:pStyle w:val="Normal"/>
        <w:spacing w:before="0" w:after="180"/>
        <w:rPr/>
      </w:pPr>
      <w:r>
        <w:rPr/>
      </w:r>
    </w:p>
    <w:p>
      <w:pPr>
        <w:pStyle w:val="Heading2"/>
        <w:rPr/>
      </w:pPr>
      <w:bookmarkStart w:id="31" w:name="__RefHeading___Toc10442_518488682"/>
      <w:bookmarkEnd w:id="31"/>
      <w:r>
        <w:rPr/>
        <w:t>6.5  MLSE</w:t>
      </w:r>
    </w:p>
    <w:p>
      <w:pPr>
        <w:pStyle w:val="Normal"/>
        <w:spacing w:before="0" w:after="140"/>
        <w:rPr/>
      </w:pPr>
      <w:r>
        <w:rPr>
          <w:b w:val="false"/>
          <w:i w:val="false"/>
          <w:color w:val="13232C"/>
          <w:sz w:val="21"/>
        </w:rPr>
        <w:t>Maximum-likelihood sequence estimation is applied after the main COM evaluation and reports both the original and MLSE-adjusted COM, along with the delta between them and the pre/post detection error ratios.</w:t>
      </w:r>
    </w:p>
    <w:p>
      <w:pPr>
        <w:pStyle w:val="Heading2"/>
        <w:rPr/>
      </w:pPr>
      <w:bookmarkStart w:id="32" w:name="__RefHeading___Toc10444_518488682"/>
      <w:bookmarkEnd w:id="32"/>
      <w:r>
        <w:rPr/>
        <w:t>6.6  Crosstalk</w:t>
      </w:r>
    </w:p>
    <w:p>
      <w:pPr>
        <w:pStyle w:val="Normal"/>
        <w:spacing w:before="0" w:after="140"/>
        <w:rPr/>
      </w:pPr>
      <w:r>
        <w:rPr>
          <w:b w:val="false"/>
          <w:i w:val="false"/>
          <w:color w:val="13232C"/>
          <w:sz w:val="21"/>
        </w:rPr>
        <w:t>FEXT and NEXT aggressors are supplied on the command line and enter the noise budget through their differential coupling responses. Integrated crosstalk noise (ICN) is reported separately in results.csv, and the FD metrics section reports the MDNEXT and MDFEXT components.</w:t>
      </w:r>
    </w:p>
    <w:p>
      <w:pPr>
        <w:pStyle w:val="Heading2"/>
        <w:rPr/>
      </w:pPr>
      <w:bookmarkStart w:id="33" w:name="__RefHeading___Toc10446_518488682"/>
      <w:bookmarkEnd w:id="33"/>
      <w:r>
        <w:rPr/>
        <w:t>6.7  ERL and TDR</w:t>
      </w:r>
    </w:p>
    <w:p>
      <w:pPr>
        <w:pStyle w:val="Normal"/>
        <w:spacing w:before="0" w:after="140"/>
        <w:rPr/>
      </w:pPr>
      <w:r>
        <w:rPr>
          <w:b w:val="false"/>
          <w:i w:val="false"/>
          <w:color w:val="13232C"/>
          <w:sz w:val="21"/>
        </w:rPr>
        <w:t>Effective return loss is computed from a TDR-derived reflection response, reported per port and combined. Governed by the ERL/TDR keyword group (Appendix B), including the reflection weighting terms and the tail region controls.</w:t>
      </w:r>
    </w:p>
    <w:p>
      <w:pPr>
        <w:pStyle w:val="Heading2"/>
        <w:rPr/>
      </w:pPr>
      <w:bookmarkStart w:id="34" w:name="__RefHeading___Toc10448_518488682"/>
      <w:bookmarkEnd w:id="34"/>
      <w:r>
        <w:rPr/>
        <w:t>6.8  Frequency-domain metrics</w:t>
      </w:r>
    </w:p>
    <w:p>
      <w:pPr>
        <w:pStyle w:val="Normal"/>
        <w:spacing w:before="0" w:after="140"/>
        <w:rPr/>
      </w:pPr>
      <w:r>
        <w:rPr>
          <w:b w:val="false"/>
          <w:i w:val="false"/>
          <w:color w:val="13232C"/>
          <w:sz w:val="21"/>
        </w:rPr>
        <w:t xml:space="preserve">Enabled by </w:t>
      </w:r>
      <w:r>
        <w:rPr>
          <w:rFonts w:ascii="Consolas" w:hAnsi="Consolas"/>
          <w:b w:val="false"/>
          <w:i w:val="false"/>
          <w:color w:val="13232C"/>
          <w:sz w:val="19"/>
        </w:rPr>
        <w:t>Display frequency domain</w:t>
      </w:r>
      <w:r>
        <w:rPr>
          <w:b w:val="false"/>
          <w:i w:val="false"/>
          <w:color w:val="13232C"/>
          <w:sz w:val="21"/>
        </w:rPr>
        <w:t>. Produces insertion-loss deviation (ILD) and integrated crosstalk noise over the band defined by f_1, f_2 and the ILD-specific f_2_ILD, plus the fitted insertion loss at Nyquist reported in results.csv.</w:t>
      </w:r>
    </w:p>
    <w:p>
      <w:pPr>
        <w:pStyle w:val="Heading2"/>
        <w:rPr/>
      </w:pPr>
      <w:bookmarkStart w:id="35" w:name="__RefHeading___Toc10450_518488682"/>
      <w:bookmarkEnd w:id="35"/>
      <w:r>
        <w:rPr/>
        <w:t>6.9  Receiver calibration</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RX_CALIBRATION</w:t>
      </w:r>
      <w:r>
        <w:rPr>
          <w:b w:val="false"/>
          <w:i w:val="false"/>
          <w:color w:val="13232C"/>
          <w:sz w:val="21"/>
        </w:rPr>
        <w:t xml:space="preserve"> the run calibrates receiver noise against a reference PSD rather than using the configured value directly. Used to establish the noise floor a receiver must meet rather than to evaluate a channel.</w:t>
      </w:r>
    </w:p>
    <w:p>
      <w:pPr>
        <w:pStyle w:val="Heading2"/>
        <w:rPr/>
      </w:pPr>
      <w:bookmarkStart w:id="36" w:name="__RefHeading___Toc10452_518488682"/>
      <w:bookmarkEnd w:id="36"/>
      <w:r>
        <w:rPr/>
        <w:t>6.10  C2M: VEO and VEC</w:t>
      </w:r>
    </w:p>
    <w:p>
      <w:pPr>
        <w:pStyle w:val="Normal"/>
        <w:spacing w:before="0" w:after="140"/>
        <w:rPr/>
      </w:pPr>
      <w:r>
        <w:rPr>
          <w:b w:val="false"/>
          <w:i w:val="false"/>
          <w:color w:val="13232C"/>
          <w:sz w:val="21"/>
        </w:rPr>
        <w:t>C2M configurations evaluate vertical eye opening and vertical eye closure alongside COM, and run the optimiser in two passes — the second relaxes the VEO test if the first found no viable equalizer setting. Both appear in the result block.</w:t>
      </w:r>
    </w:p>
    <w:p>
      <w:pPr>
        <w:pStyle w:val="Heading2"/>
        <w:rPr/>
      </w:pPr>
      <w:bookmarkStart w:id="37" w:name="__RefHeading___Toc10454_518488682"/>
      <w:bookmarkEnd w:id="37"/>
      <w:r>
        <w:rPr/>
        <w:t>6.11  Error propagation</w:t>
      </w:r>
    </w:p>
    <w:p>
      <w:pPr>
        <w:pStyle w:val="Normal"/>
        <w:spacing w:before="0" w:after="140"/>
        <w:rPr/>
      </w:pPr>
      <w:r>
        <w:rPr>
          <w:b w:val="false"/>
          <w:i w:val="false"/>
          <w:color w:val="13232C"/>
          <w:sz w:val="21"/>
        </w:rPr>
        <w:t>DFE error propagation can be modelled either with a simple analytic model or the fuller burst-based treatment, selected by "Use simple error propagation model", with a configurable COM margin applied to the result.</w:t>
      </w:r>
      <w:r>
        <w:br w:type="page"/>
      </w:r>
    </w:p>
    <w:p>
      <w:pPr>
        <w:pStyle w:val="Heading1"/>
        <w:spacing w:before="0" w:after="160"/>
        <w:rPr/>
      </w:pPr>
      <w:bookmarkStart w:id="38" w:name="__RefHeading___Toc10456_518488682"/>
      <w:bookmarkEnd w:id="38"/>
      <w:r>
        <w:rPr/>
        <w:t>7  Outputs</w:t>
      </w:r>
    </w:p>
    <w:p>
      <w:pPr>
        <w:pStyle w:val="Heading2"/>
        <w:rPr/>
      </w:pPr>
      <w:bookmarkStart w:id="39" w:name="__RefHeading___Toc10458_518488682"/>
      <w:bookmarkEnd w:id="39"/>
      <w:r>
        <w:rPr/>
        <w:t>7.1  The result block</w:t>
      </w:r>
    </w:p>
    <w:p>
      <w:pPr>
        <w:pStyle w:val="Normal"/>
        <w:spacing w:before="0" w:after="140"/>
        <w:rPr/>
      </w:pPr>
      <w:r>
        <w:rPr>
          <w:b w:val="false"/>
          <w:i w:val="false"/>
          <w:color w:val="13232C"/>
          <w:sz w:val="21"/>
        </w:rPr>
        <w:t>Printed per package case, and the primary answer: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Field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COM_dB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channel operating margin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VEO_mV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opening (C2M)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VEC_dB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closure (C2M)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FOM_ILD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insertion-loss-deviation figure of merit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ICN_mV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integrated crosstalk noise; zero when no aggressors were supplied</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 or FAIL against COM Pass threshold</w:t>
            </w:r>
          </w:p>
        </w:tc>
      </w:tr>
    </w:tbl>
    <w:p>
      <w:pPr>
        <w:pStyle w:val="Normal"/>
        <w:spacing w:before="0" w:after="120"/>
        <w:rPr/>
      </w:pPr>
      <w:r>
        <w:rPr/>
      </w:r>
    </w:p>
    <w:p>
      <w:pPr>
        <w:pStyle w:val="Heading2"/>
        <w:rPr/>
      </w:pPr>
      <w:bookmarkStart w:id="40" w:name="__RefHeading___Toc10460_518488682"/>
      <w:bookmarkEnd w:id="40"/>
      <w:r>
        <w:rPr/>
        <w:t>7.2  results.csv</w:t>
      </w:r>
    </w:p>
    <w:p>
      <w:pPr>
        <w:pStyle w:val="Normal"/>
        <w:spacing w:before="0" w:after="140"/>
        <w:rPr/>
      </w:pPr>
      <w:r>
        <w:rPr>
          <w:b w:val="false"/>
          <w:i w:val="false"/>
          <w:color w:val="13232C"/>
          <w:sz w:val="21"/>
        </w:rPr>
        <w:t>One row per case, carrying the quantities that are awkward to read from the console: the resolved port order, impedance estimates, per-port and combined ERL, crosstalk ICN components, and the fitted insertion loss at Nyquist.</w:t>
      </w:r>
    </w:p>
    <w:p>
      <w:pPr>
        <w:pStyle w:val="Heading2"/>
        <w:rPr/>
      </w:pPr>
      <w:bookmarkStart w:id="41" w:name="__RefHeading___Toc10462_518488682"/>
      <w:bookmarkEnd w:id="41"/>
      <w:r>
        <w:rPr/>
        <w:t>7.3  Figures</w:t>
      </w:r>
    </w:p>
    <w:p>
      <w:pPr>
        <w:pStyle w:val="Normal"/>
        <w:spacing w:before="0" w:after="140"/>
        <w:rPr/>
      </w:pPr>
      <w:r>
        <w:rPr>
          <w:b w:val="false"/>
          <w:i w:val="false"/>
          <w:color w:val="13232C"/>
          <w:sz w:val="21"/>
        </w:rPr>
        <w:t>The figures below are from the canonical run in Section 2.3 — real output, not illustrations. They are written per case when SAVE_FIGURES is enabled.</w:t>
      </w:r>
    </w:p>
    <w:p>
      <w:pPr>
        <w:pStyle w:val="Normal"/>
        <w:jc w:val="center"/>
        <w:rPr/>
      </w:pPr>
      <w:r>
        <w:rPr/>
        <w:drawing>
          <wp:inline distT="0" distB="0" distL="0" distR="0">
            <wp:extent cx="5120640" cy="284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120640" cy="2844800"/>
                    </a:xfrm>
                    <a:prstGeom prst="rect">
                      <a:avLst/>
                    </a:prstGeom>
                    <a:noFill/>
                  </pic:spPr>
                </pic:pic>
              </a:graphicData>
            </a:graphic>
          </wp:inline>
        </w:drawing>
      </w:r>
    </w:p>
    <w:p>
      <w:pPr>
        <w:pStyle w:val="Normal"/>
        <w:spacing w:before="40" w:after="240"/>
        <w:jc w:val="center"/>
        <w:rPr/>
      </w:pPr>
      <w:r>
        <w:rPr>
          <w:b w:val="false"/>
          <w:i/>
          <w:color w:val="5A6B74"/>
          <w:sz w:val="17"/>
        </w:rPr>
        <w:t>Figure 1. Channel insertion loss. The first thing to check when a result looks wrong: if the channel is not what you think it is, nothing downstream is meaningful.</w:t>
      </w:r>
    </w:p>
    <w:p>
      <w:pPr>
        <w:pStyle w:val="Normal"/>
        <w:jc w:val="center"/>
        <w:rPr/>
      </w:pPr>
      <w:r>
        <w:rPr/>
        <w:drawing>
          <wp:inline distT="0" distB="0" distL="0" distR="0">
            <wp:extent cx="5120640" cy="2560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120640" cy="2560320"/>
                    </a:xfrm>
                    <a:prstGeom prst="rect">
                      <a:avLst/>
                    </a:prstGeom>
                    <a:noFill/>
                  </pic:spPr>
                </pic:pic>
              </a:graphicData>
            </a:graphic>
          </wp:inline>
        </w:drawing>
      </w:r>
    </w:p>
    <w:p>
      <w:pPr>
        <w:pStyle w:val="Normal"/>
        <w:spacing w:before="40" w:after="240"/>
        <w:jc w:val="center"/>
        <w:rPr/>
      </w:pPr>
      <w:r>
        <w:rPr>
          <w:b w:val="false"/>
          <w:i/>
          <w:color w:val="5A6B74"/>
          <w:sz w:val="17"/>
        </w:rPr>
        <w:t>Figure 2. Single-bit (pulse) response. The cursor, pre-cursor and post-cursor ISI visible here are what the equalizer chain is working against.</w:t>
      </w:r>
    </w:p>
    <w:p>
      <w:pPr>
        <w:pStyle w:val="Normal"/>
        <w:jc w:val="center"/>
        <w:rPr/>
      </w:pPr>
      <w:r>
        <w:rPr/>
        <w:drawing>
          <wp:inline distT="0" distB="0" distL="0" distR="0">
            <wp:extent cx="5120640" cy="26123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120640" cy="2612390"/>
                    </a:xfrm>
                    <a:prstGeom prst="rect">
                      <a:avLst/>
                    </a:prstGeom>
                    <a:noFill/>
                  </pic:spPr>
                </pic:pic>
              </a:graphicData>
            </a:graphic>
          </wp:inline>
        </w:drawing>
      </w:r>
    </w:p>
    <w:p>
      <w:pPr>
        <w:pStyle w:val="Normal"/>
        <w:spacing w:before="40" w:after="240"/>
        <w:jc w:val="center"/>
        <w:rPr/>
      </w:pPr>
      <w:r>
        <w:rPr>
          <w:b w:val="false"/>
          <w:i/>
          <w:color w:val="5A6B74"/>
          <w:sz w:val="17"/>
        </w:rPr>
        <w:t>Figure 3. Equalized versus unequalized pulse response — the effect of the winning TX-FFE / CTLE / DFE setting.</w:t>
      </w:r>
    </w:p>
    <w:p>
      <w:pPr>
        <w:pStyle w:val="Normal"/>
        <w:jc w:val="center"/>
        <w:rPr/>
      </w:pPr>
      <w:r>
        <w:rPr/>
        <w:drawing>
          <wp:inline distT="0" distB="0" distL="0" distR="0">
            <wp:extent cx="5120640" cy="25031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120640" cy="2503170"/>
                    </a:xfrm>
                    <a:prstGeom prst="rect">
                      <a:avLst/>
                    </a:prstGeom>
                    <a:noFill/>
                  </pic:spPr>
                </pic:pic>
              </a:graphicData>
            </a:graphic>
          </wp:inline>
        </w:drawing>
      </w:r>
    </w:p>
    <w:p>
      <w:pPr>
        <w:pStyle w:val="Normal"/>
        <w:spacing w:before="40" w:after="240"/>
        <w:jc w:val="center"/>
        <w:rPr/>
      </w:pPr>
      <w:r>
        <w:rPr>
          <w:b w:val="false"/>
          <w:i/>
          <w:color w:val="5A6B74"/>
          <w:sz w:val="17"/>
        </w:rPr>
        <w:t>Figure 4. FOM through the equalizer search. Chapter 8 is, in effect, an investigation of how much of this search is actually necessary.</w:t>
      </w:r>
    </w:p>
    <w:p>
      <w:pPr>
        <w:pStyle w:val="Normal"/>
        <w:jc w:val="center"/>
        <w:rPr/>
      </w:pPr>
      <w:r>
        <w:rPr/>
        <w:drawing>
          <wp:inline distT="0" distB="0" distL="0" distR="0">
            <wp:extent cx="5120640" cy="2694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120640" cy="2694940"/>
                    </a:xfrm>
                    <a:prstGeom prst="rect">
                      <a:avLst/>
                    </a:prstGeom>
                    <a:noFill/>
                  </pic:spPr>
                </pic:pic>
              </a:graphicData>
            </a:graphic>
          </wp:inline>
        </w:drawing>
      </w:r>
    </w:p>
    <w:p>
      <w:pPr>
        <w:pStyle w:val="Normal"/>
        <w:spacing w:before="40" w:after="240"/>
        <w:jc w:val="center"/>
        <w:rPr/>
      </w:pPr>
      <w:r>
        <w:rPr>
          <w:b w:val="false"/>
          <w:i/>
          <w:color w:val="5A6B74"/>
          <w:sz w:val="17"/>
        </w:rPr>
        <w:t>Figure 5. Statistical eye contour at the target BER.</w:t>
      </w:r>
    </w:p>
    <w:p>
      <w:pPr>
        <w:pStyle w:val="Normal"/>
        <w:jc w:val="center"/>
        <w:rPr/>
      </w:pPr>
      <w:r>
        <w:rPr/>
        <w:drawing>
          <wp:inline distT="0" distB="0" distL="0" distR="0">
            <wp:extent cx="5120640" cy="26949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120640" cy="2694940"/>
                    </a:xfrm>
                    <a:prstGeom prst="rect">
                      <a:avLst/>
                    </a:prstGeom>
                    <a:noFill/>
                  </pic:spPr>
                </pic:pic>
              </a:graphicData>
            </a:graphic>
          </wp:inline>
        </w:drawing>
      </w:r>
    </w:p>
    <w:p>
      <w:pPr>
        <w:pStyle w:val="Normal"/>
        <w:spacing w:before="40" w:after="240"/>
        <w:jc w:val="center"/>
        <w:rPr/>
      </w:pPr>
      <w:r>
        <w:rPr>
          <w:b w:val="false"/>
          <w:i/>
          <w:color w:val="5A6B74"/>
          <w:sz w:val="17"/>
        </w:rPr>
        <w:t>Figure 6. Noise and interference probability densities. COM is derived from the tail of the combined distribution, which is why a Gaussian approximation is not sufficient.</w:t>
      </w:r>
    </w:p>
    <w:p>
      <w:pPr>
        <w:pStyle w:val="Normal"/>
        <w:jc w:val="center"/>
        <w:rPr/>
      </w:pPr>
      <w:r>
        <w:rPr/>
        <w:drawing>
          <wp:inline distT="0" distB="0" distL="0" distR="0">
            <wp:extent cx="4572000" cy="42202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4572000" cy="4220210"/>
                    </a:xfrm>
                    <a:prstGeom prst="rect">
                      <a:avLst/>
                    </a:prstGeom>
                    <a:noFill/>
                  </pic:spPr>
                </pic:pic>
              </a:graphicData>
            </a:graphic>
          </wp:inline>
        </w:drawing>
      </w:r>
    </w:p>
    <w:p>
      <w:pPr>
        <w:pStyle w:val="Normal"/>
        <w:spacing w:before="40" w:after="240"/>
        <w:jc w:val="center"/>
        <w:rPr/>
      </w:pPr>
      <w:r>
        <w:rPr>
          <w:b w:val="false"/>
          <w:i/>
          <w:color w:val="5A6B74"/>
          <w:sz w:val="17"/>
        </w:rPr>
        <w:t>Figure 7. Contribution breakdown — where the margin is being spent.</w:t>
      </w:r>
    </w:p>
    <w:p>
      <w:pPr>
        <w:pStyle w:val="Heading2"/>
        <w:rPr/>
      </w:pPr>
      <w:bookmarkStart w:id="42" w:name="__RefHeading___Toc10464_518488682"/>
      <w:bookmarkEnd w:id="42"/>
      <w:r>
        <w:rPr/>
        <w:t>7.4  Engineering .mat export</w:t>
      </w:r>
    </w:p>
    <w:p>
      <w:pPr>
        <w:pStyle w:val="Normal"/>
        <w:spacing w:before="0" w:after="140"/>
        <w:rPr/>
      </w:pPr>
      <w:r>
        <w:rPr>
          <w:b w:val="false"/>
          <w:i w:val="false"/>
          <w:color w:val="13232C"/>
          <w:sz w:val="21"/>
        </w:rPr>
        <w:t xml:space="preserve">Adding </w:t>
      </w:r>
      <w:r>
        <w:rPr>
          <w:rFonts w:ascii="Consolas" w:hAnsi="Consolas"/>
          <w:b w:val="false"/>
          <w:i w:val="false"/>
          <w:color w:val="13232C"/>
          <w:sz w:val="19"/>
        </w:rPr>
        <w:t>--export-mat</w:t>
      </w:r>
      <w:r>
        <w:rPr>
          <w:b w:val="false"/>
          <w:i w:val="false"/>
          <w:color w:val="13232C"/>
          <w:sz w:val="21"/>
        </w:rPr>
        <w:t xml:space="preserve"> writes a MATLAB v5 snapshot per case alongside the standard outputs. It is an </w:t>
      </w:r>
      <w:r>
        <w:rPr>
          <w:b/>
          <w:i w:val="false"/>
          <w:color w:val="13232C"/>
          <w:sz w:val="21"/>
        </w:rPr>
        <w:t>additive debug export</w:t>
      </w:r>
      <w:r>
        <w:rPr>
          <w:b w:val="false"/>
          <w:i w:val="false"/>
          <w:color w:val="13232C"/>
          <w:sz w:val="21"/>
        </w:rPr>
        <w:t>: it changes no COM result, report or figure.</w:t>
      </w:r>
    </w:p>
    <w:p>
      <w:pPr>
        <w:pStyle w:val="Normal"/>
        <w:spacing w:before="0" w:after="140"/>
        <w:rPr/>
      </w:pPr>
      <w:r>
        <w:rPr>
          <w:b w:val="false"/>
          <w:i w:val="false"/>
          <w:color w:val="13232C"/>
          <w:sz w:val="21"/>
        </w:rPr>
        <w:t>It captures the intermediate quantities the run already computed:</w:t>
      </w:r>
    </w:p>
    <w:p>
      <w:pPr>
        <w:pStyle w:val="ListBullet"/>
        <w:numPr>
          <w:ilvl w:val="0"/>
          <w:numId w:val="1"/>
        </w:numPr>
        <w:spacing w:before="0" w:after="60"/>
        <w:contextualSpacing/>
        <w:rPr/>
      </w:pPr>
      <w:r>
        <w:rPr>
          <w:b/>
          <w:color w:val="13232C"/>
          <w:sz w:val="21"/>
        </w:rPr>
        <w:t>Frequency-domain equalizer chain</w:t>
      </w:r>
      <w:r>
        <w:rPr>
          <w:color w:val="13232C"/>
          <w:sz w:val="21"/>
        </w:rPr>
        <w:t xml:space="preserve">  H_channel, H_ctle, H_ch_ctle, H_ffe, H_tx, H_final, plus crosstalk H_next / H_fext.</w:t>
      </w:r>
    </w:p>
    <w:p>
      <w:pPr>
        <w:pStyle w:val="ListBullet"/>
        <w:numPr>
          <w:ilvl w:val="0"/>
          <w:numId w:val="1"/>
        </w:numPr>
        <w:spacing w:before="0" w:after="60"/>
        <w:contextualSpacing/>
        <w:rPr/>
      </w:pPr>
      <w:r>
        <w:rPr>
          <w:b/>
          <w:color w:val="13232C"/>
          <w:sz w:val="21"/>
        </w:rPr>
        <w:t>Time domain</w:t>
      </w:r>
      <w:r>
        <w:rPr>
          <w:color w:val="13232C"/>
          <w:sz w:val="21"/>
        </w:rPr>
        <w:t xml:space="preserve">  per-stage impulse and pulse responses.</w:t>
      </w:r>
    </w:p>
    <w:p>
      <w:pPr>
        <w:pStyle w:val="ListBullet"/>
        <w:numPr>
          <w:ilvl w:val="0"/>
          <w:numId w:val="1"/>
        </w:numPr>
        <w:spacing w:before="0" w:after="60"/>
        <w:contextualSpacing/>
        <w:rPr/>
      </w:pPr>
      <w:r>
        <w:rPr>
          <w:b/>
          <w:color w:val="13232C"/>
          <w:sz w:val="21"/>
        </w:rPr>
        <w:t>Statistics</w:t>
      </w:r>
      <w:r>
        <w:rPr>
          <w:color w:val="13232C"/>
          <w:sz w:val="21"/>
        </w:rPr>
        <w:t xml:space="preserve">  the eye/BER contour and the combined and component noise PDF/CDF.</w:t>
      </w:r>
    </w:p>
    <w:p>
      <w:pPr>
        <w:pStyle w:val="ListBullet"/>
        <w:numPr>
          <w:ilvl w:val="0"/>
          <w:numId w:val="1"/>
        </w:numPr>
        <w:spacing w:before="0" w:after="60"/>
        <w:contextualSpacing/>
        <w:rPr/>
      </w:pPr>
      <w:r>
        <w:rPr>
          <w:b/>
          <w:color w:val="13232C"/>
          <w:sz w:val="21"/>
        </w:rPr>
        <w:t>Metrics and provenance</w:t>
      </w:r>
      <w:r>
        <w:rPr>
          <w:color w:val="13232C"/>
          <w:sz w:val="21"/>
        </w:rPr>
        <w:t xml:space="preserve">  all COM metrics, a self-describing config struct, and run metadata including timestamp, versions and input files.</w:t>
      </w:r>
    </w:p>
    <w:p>
      <w:pPr>
        <w:pStyle w:val="Normal"/>
        <w:spacing w:before="0" w:after="140"/>
        <w:rPr/>
      </w:pPr>
      <w:r>
        <w:rPr>
          <w:b w:val="false"/>
          <w:i w:val="false"/>
          <w:color w:val="13232C"/>
          <w:sz w:val="21"/>
        </w:rPr>
        <w:t xml:space="preserve">It also adds </w:t>
      </w:r>
      <w:r>
        <w:rPr>
          <w:rFonts w:ascii="Consolas" w:hAnsi="Consolas"/>
          <w:b w:val="false"/>
          <w:i w:val="false"/>
          <w:color w:val="13232C"/>
          <w:sz w:val="19"/>
        </w:rPr>
        <w:t>FOM_gauss_dB</w:t>
      </w:r>
      <w:r>
        <w:rPr>
          <w:b w:val="false"/>
          <w:i w:val="false"/>
          <w:color w:val="13232C"/>
          <w:sz w:val="21"/>
        </w:rPr>
        <w:t xml:space="preserve"> — the COM you would get if the combined interference-plus-noise distribution were purely Gaussian. The gap to </w:t>
      </w:r>
      <w:r>
        <w:rPr>
          <w:rFonts w:ascii="Consolas" w:hAnsi="Consolas"/>
          <w:b w:val="false"/>
          <w:i w:val="false"/>
          <w:color w:val="13232C"/>
          <w:sz w:val="19"/>
        </w:rPr>
        <w:t>COM_dB</w:t>
      </w:r>
      <w:r>
        <w:rPr>
          <w:b w:val="false"/>
          <w:i w:val="false"/>
          <w:color w:val="13232C"/>
          <w:sz w:val="21"/>
        </w:rPr>
        <w:t xml:space="preserve"> quantifies the non-Gaussian tail penalty.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What is measured versus what is reconstructed</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H_channel, H_ctle and H_ch_ctle are genuine captured responses. H_ffe is evaluated from the selected TX-FFE taps, and H_tx / H_final are their products. DFE is a time-domain term and is deliberately absent from the FD chain. Each file records this in meta.notes.</w:t>
            </w:r>
          </w:p>
        </w:tc>
      </w:tr>
    </w:tbl>
    <w:p>
      <w:pPr>
        <w:pStyle w:val="Normal"/>
        <w:spacing w:before="0" w:after="180"/>
        <w:rPr/>
      </w:pPr>
      <w:r>
        <w:rPr/>
      </w:r>
      <w:r>
        <w:br w:type="page"/>
      </w:r>
    </w:p>
    <w:p>
      <w:pPr>
        <w:pStyle w:val="Heading1"/>
        <w:spacing w:before="0" w:after="160"/>
        <w:rPr/>
      </w:pPr>
      <w:bookmarkStart w:id="43" w:name="__RefHeading___Toc10466_518488682"/>
      <w:bookmarkEnd w:id="43"/>
      <w:r>
        <w:rPr/>
        <w:t>8  The equalizer-search study</w:t>
      </w:r>
    </w:p>
    <w:p>
      <w:pPr>
        <w:pStyle w:val="Normal"/>
        <w:spacing w:before="0" w:after="140"/>
        <w:rPr/>
      </w:pPr>
      <w:r>
        <w:rPr>
          <w:b w:val="false"/>
          <w:i w:val="false"/>
          <w:color w:val="13232C"/>
          <w:sz w:val="21"/>
        </w:rPr>
        <w:t>The optimiser must choose a TX-FFE / CTLE / DFE setting before COM can be evaluated. Doing that exhaustively is expensive, so the tool offers pruned alternatives. Whether pruning changes the answer is a question worth settling with measurement rather than assumption, and this chapter is the tooling built to settle it.</w:t>
      </w:r>
    </w:p>
    <w:p>
      <w:pPr>
        <w:pStyle w:val="Heading2"/>
        <w:rPr/>
      </w:pPr>
      <w:bookmarkStart w:id="44" w:name="__RefHeading___Toc10468_518488682"/>
      <w:bookmarkEnd w:id="44"/>
      <w:r>
        <w:rPr/>
        <w:t>8.1  Three search methods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Method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Configuration</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Behaviour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Full grid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0</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Exhaustive. The reference answer.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Legacy local search</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0</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Prunes candidates outside a fixed radius of the current best.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 local search</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1</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Radius grows and shrinks with recent FOM improvement; prunes on a weighted L1/L2 tap-space distance from the current best.</w:t>
            </w:r>
          </w:p>
        </w:tc>
      </w:tr>
    </w:tbl>
    <w:p>
      <w:pPr>
        <w:pStyle w:val="Normal"/>
        <w:spacing w:before="0" w:after="120"/>
        <w:rPr/>
      </w:pPr>
      <w:r>
        <w:rPr/>
      </w:r>
    </w:p>
    <w:p>
      <w:pPr>
        <w:pStyle w:val="Heading2"/>
        <w:rPr/>
      </w:pPr>
      <w:bookmarkStart w:id="45" w:name="__RefHeading___Toc10470_518488682"/>
      <w:bookmarkEnd w:id="45"/>
      <w:r>
        <w:rPr/>
        <w:t>8.2  Why FOM is not the whole story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search optimises FOM. The pass/fail criterion is COM.</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deliberately not computed during the search — evaluating it per candidate would mean the full PDF/CDF convolution on every grid point. It is evaluated once at the end, from the winning setting. FOM is therefore a proxy, and any pruning method is safe only to the extent that COM is flat across the top of the FOM surface.</w:t>
            </w:r>
          </w:p>
        </w:tc>
      </w:tr>
    </w:tbl>
    <w:p>
      <w:pPr>
        <w:pStyle w:val="Normal"/>
        <w:spacing w:before="0" w:after="180"/>
        <w:rPr/>
      </w:pPr>
      <w:r>
        <w:rPr/>
      </w:r>
    </w:p>
    <w:p>
      <w:pPr>
        <w:pStyle w:val="Normal"/>
        <w:spacing w:before="0" w:after="140"/>
        <w:rPr/>
      </w:pPr>
      <w:r>
        <w:rPr>
          <w:b w:val="false"/>
          <w:i w:val="false"/>
          <w:color w:val="13232C"/>
          <w:sz w:val="21"/>
        </w:rPr>
        <w:t>That makes two separate questions, and the tooling answers both:</w:t>
      </w:r>
    </w:p>
    <w:p>
      <w:pPr>
        <w:pStyle w:val="ListBullet"/>
        <w:numPr>
          <w:ilvl w:val="0"/>
          <w:numId w:val="1"/>
        </w:numPr>
        <w:spacing w:before="0" w:after="60"/>
        <w:contextualSpacing/>
        <w:rPr/>
      </w:pPr>
      <w:r>
        <w:rPr>
          <w:b/>
          <w:color w:val="13232C"/>
          <w:sz w:val="21"/>
        </w:rPr>
        <w:t>Does pruning change COM?</w:t>
      </w:r>
      <w:r>
        <w:rPr>
          <w:color w:val="13232C"/>
          <w:sz w:val="21"/>
        </w:rPr>
        <w:t xml:space="preserve">  Compare methods on the same channel — Section 8.3.</w:t>
      </w:r>
    </w:p>
    <w:p>
      <w:pPr>
        <w:pStyle w:val="ListBullet"/>
        <w:numPr>
          <w:ilvl w:val="0"/>
          <w:numId w:val="1"/>
        </w:numPr>
        <w:spacing w:before="0" w:after="60"/>
        <w:contextualSpacing/>
        <w:rPr/>
      </w:pPr>
      <w:r>
        <w:rPr>
          <w:b/>
          <w:color w:val="13232C"/>
          <w:sz w:val="21"/>
        </w:rPr>
        <w:t>Is FOM a faithful proxy for COM at all?</w:t>
      </w:r>
      <w:r>
        <w:rPr>
          <w:color w:val="13232C"/>
          <w:sz w:val="21"/>
        </w:rPr>
        <w:t xml:space="preserve">  Recompute true COM for the top-K candidates by FOM — Section 8.4. This cost is paid by every method, including the exhaustive grid.</w:t>
      </w:r>
    </w:p>
    <w:p>
      <w:pPr>
        <w:pStyle w:val="Heading2"/>
        <w:rPr/>
      </w:pPr>
      <w:bookmarkStart w:id="46" w:name="__RefHeading___Toc10472_518488682"/>
      <w:bookmarkEnd w:id="46"/>
      <w:r>
        <w:rPr/>
        <w:t>8.3  Comparing methods on one channel</w:t>
      </w:r>
    </w:p>
    <w:p>
      <w:pPr>
        <w:pStyle w:val="Normal"/>
        <w:shd w:val="clear" w:fill="F2F6F8"/>
        <w:spacing w:before="80" w:after="180"/>
        <w:ind w:start="187"/>
        <w:rPr/>
      </w:pPr>
      <w:r>
        <w:rPr>
          <w:rFonts w:ascii="Consolas" w:hAnsi="Consolas"/>
          <w:color w:val="13232C"/>
          <w:sz w:val="17"/>
        </w:rPr>
        <w:t>python tools/sweep_compare.py &lt;config.xlsx&gt; &lt;thru.s4p&gt; \</w:t>
        <w:br/>
        <w:t xml:space="preserve">       --local-search 2 --max-ctle 3 --max-tap-vals 3</w:t>
      </w:r>
    </w:p>
    <w:p>
      <w:pPr>
        <w:pStyle w:val="Normal"/>
        <w:spacing w:before="0" w:after="140"/>
        <w:rPr/>
      </w:pPr>
      <w:r>
        <w:rPr>
          <w:b w:val="false"/>
          <w:i w:val="false"/>
          <w:color w:val="13232C"/>
          <w:sz w:val="21"/>
        </w:rPr>
        <w:t xml:space="preserve">The </w:t>
      </w:r>
      <w:r>
        <w:rPr>
          <w:rFonts w:ascii="Consolas" w:hAnsi="Consolas"/>
          <w:b w:val="false"/>
          <w:i w:val="false"/>
          <w:color w:val="13232C"/>
          <w:sz w:val="19"/>
        </w:rPr>
        <w:t>--max-ctle</w:t>
      </w:r>
      <w:r>
        <w:rPr>
          <w:b w:val="false"/>
          <w:i w:val="false"/>
          <w:color w:val="13232C"/>
          <w:sz w:val="21"/>
        </w:rPr>
        <w:t xml:space="preserve"> and </w:t>
      </w:r>
      <w:r>
        <w:rPr>
          <w:rFonts w:ascii="Consolas" w:hAnsi="Consolas"/>
          <w:b w:val="false"/>
          <w:i w:val="false"/>
          <w:color w:val="13232C"/>
          <w:sz w:val="19"/>
        </w:rPr>
        <w:t>--max-tap-vals</w:t>
      </w:r>
      <w:r>
        <w:rPr>
          <w:b w:val="false"/>
          <w:i w:val="false"/>
          <w:color w:val="13232C"/>
          <w:sz w:val="21"/>
        </w:rPr>
        <w:t xml:space="preserve"> options shrink the grid so the exhaustive reference stays tractable; they must be identical across anything you intend to compare. Output lands in </w:t>
      </w:r>
      <w:r>
        <w:rPr>
          <w:rFonts w:ascii="Consolas" w:hAnsi="Consolas"/>
          <w:b w:val="false"/>
          <w:i w:val="false"/>
          <w:color w:val="13232C"/>
          <w:sz w:val="19"/>
        </w:rPr>
        <w:t>sweep_results/</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File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full_grid_log.csv, legacy_log.csv, adaptive_log.csv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per-candidate trajectory, one row per TX-FFE candidate considered</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adaptive_radius_log.csv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summary.json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per-method COM, best FOM, evaluated/skipped counts, speedup, the winning EQ point, and whether each method matched the full grid</w:t>
            </w:r>
          </w:p>
        </w:tc>
      </w:tr>
    </w:tbl>
    <w:p>
      <w:pPr>
        <w:pStyle w:val="Normal"/>
        <w:spacing w:before="0" w:after="120"/>
        <w:rPr/>
      </w:pPr>
      <w:r>
        <w:rPr/>
      </w:r>
    </w:p>
    <w:p>
      <w:pPr>
        <w:pStyle w:val="Heading2"/>
        <w:rPr/>
      </w:pPr>
      <w:bookmarkStart w:id="47" w:name="__RefHeading___Toc10474_518488682"/>
      <w:bookmarkEnd w:id="47"/>
      <w:r>
        <w:rPr/>
        <w:t>8.4  Recomputing true COM near the optimum</w:t>
      </w:r>
    </w:p>
    <w:p>
      <w:pPr>
        <w:pStyle w:val="Normal"/>
        <w:shd w:val="clear" w:fill="F2F6F8"/>
        <w:spacing w:before="80" w:after="180"/>
        <w:ind w:start="187"/>
        <w:rPr/>
      </w:pPr>
      <w:r>
        <w:rPr>
          <w:rFonts w:ascii="Consolas" w:hAnsi="Consolas"/>
          <w:color w:val="13232C"/>
          <w:sz w:val="17"/>
        </w:rPr>
        <w:t>python tools/fom_com_probe.py &lt;config.xlsx&gt; &lt;thru.s4p&gt; \</w:t>
        <w:br/>
        <w:t xml:space="preserve">       --sweep-dir sweep_results --top-k 20</w:t>
      </w:r>
    </w:p>
    <w:p>
      <w:pPr>
        <w:pStyle w:val="Normal"/>
        <w:spacing w:before="0" w:after="140"/>
        <w:rPr/>
      </w:pPr>
      <w:r>
        <w:rPr>
          <w:b w:val="false"/>
          <w:i w:val="false"/>
          <w:color w:val="13232C"/>
          <w:sz w:val="21"/>
        </w:rPr>
        <w:t>This takes the top-K candidates by FOM, pins the search to each one in turn, and computes its actual COM. It reports the rank correlation between FOM and COM, and the COM regret — how much COM is given up by trusting the FOM ranking.</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Use at least K = 20</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With small K the Spearman correlation can only take a handful of values and carries almost no information. K = 20 is what produces a trustworthy coefficient.</w:t>
            </w:r>
          </w:p>
        </w:tc>
      </w:tr>
    </w:tbl>
    <w:p>
      <w:pPr>
        <w:pStyle w:val="Normal"/>
        <w:spacing w:before="0" w:after="180"/>
        <w:rPr/>
      </w:pPr>
      <w:r>
        <w:rPr/>
      </w:r>
    </w:p>
    <w:p>
      <w:pPr>
        <w:pStyle w:val="Heading2"/>
        <w:rPr/>
      </w:pPr>
      <w:bookmarkStart w:id="48" w:name="__RefHeading___Toc10476_518488682"/>
      <w:bookmarkEnd w:id="48"/>
      <w:r>
        <w:rPr/>
        <w:t>8.5  Running a corpus</w:t>
      </w:r>
    </w:p>
    <w:p>
      <w:pPr>
        <w:pStyle w:val="Normal"/>
        <w:spacing w:before="0" w:after="140"/>
        <w:rPr/>
      </w:pPr>
      <w:r>
        <w:rPr>
          <w:b w:val="false"/>
          <w:i w:val="false"/>
          <w:color w:val="13232C"/>
          <w:sz w:val="21"/>
        </w:rPr>
        <w:t>A single channel can only ever say "no difference here". A distribution needs many channels, which is what the corpus driver produces.</w:t>
      </w:r>
    </w:p>
    <w:p>
      <w:pPr>
        <w:pStyle w:val="Normal"/>
        <w:shd w:val="clear" w:fill="F2F6F8"/>
        <w:spacing w:before="80" w:after="180"/>
        <w:ind w:start="187"/>
        <w:rPr/>
      </w:pPr>
      <w:r>
        <w:rPr>
          <w:rFonts w:ascii="Consolas" w:hAnsi="Consolas"/>
          <w:color w:val="13232C"/>
          <w:sz w:val="17"/>
        </w:rPr>
        <w:t># estimate cost and list channels without running anything</w:t>
        <w:br/>
        <w:t>python tools/corpus_sweep.py &lt;config.xlsx&gt; --channel-dir &lt;dir&gt; --dry-run</w:t>
        <w:br/>
        <w:br/>
        <w:t># run it</w:t>
        <w:br/>
        <w:t>python tools/corpus_sweep.py &lt;config.xlsx&gt; --channel-dir &lt;dir&gt;</w:t>
        <w:br/>
        <w:br/>
        <w:t># re-aggregate existing results without recomputing</w:t>
        <w:br/>
        <w:t>python tools/corpus_sweep.py --aggregate-only --out corpus_results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Option</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--methods full_grid,adaptive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drop legacy; saves roughly 40% of the time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--probe-top-k 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per-channel probe depth; 0 skips the proxy measurement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--crosstalk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matching FEXT/NEXT files per channel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--threshold 3.0</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pass/fail level used for flip detection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--limit 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only the first N channels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--force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re-run channels already complete</w:t>
            </w:r>
          </w:p>
        </w:tc>
      </w:tr>
    </w:tbl>
    <w:p>
      <w:pPr>
        <w:pStyle w:val="Normal"/>
        <w:spacing w:before="0" w:after="120"/>
        <w:rPr/>
      </w:pPr>
      <w:r>
        <w:rPr/>
      </w:r>
    </w:p>
    <w:p>
      <w:pPr>
        <w:pStyle w:val="Normal"/>
        <w:spacing w:before="0" w:after="140"/>
        <w:rPr/>
      </w:pPr>
      <w:r>
        <w:rPr>
          <w:b w:val="false"/>
          <w:i w:val="false"/>
          <w:color w:val="13232C"/>
          <w:sz w:val="21"/>
        </w:rPr>
        <w:t>Runs are checkpointed per channel, so an interrupted corpus resumes rather than restarting, and a channel that fails is logged and skipped rather than killing a multi-hour run. Expect roughly an hour per channel for all three methods at a realistic grid size.</w:t>
      </w:r>
    </w:p>
    <w:p>
      <w:pPr>
        <w:pStyle w:val="Heading3"/>
        <w:rPr/>
      </w:pPr>
      <w:r>
        <w:rPr/>
        <w:t>What it reports</w:t>
      </w:r>
    </w:p>
    <w:p>
      <w:pPr>
        <w:pStyle w:val="Normal"/>
        <w:spacing w:before="0" w:after="140"/>
        <w:rPr/>
      </w:pPr>
      <w:r>
        <w:rPr>
          <w:b w:val="false"/>
          <w:i w:val="false"/>
          <w:color w:val="13232C"/>
          <w:sz w:val="21"/>
        </w:rPr>
        <w:t>The aggregation deliberately leads with the tail rather than the mean. A good average proves little; a single channel that turns a passing margin into a failing one would sink a proposal.</w:t>
      </w:r>
    </w:p>
    <w:p>
      <w:pPr>
        <w:pStyle w:val="ListBullet"/>
        <w:numPr>
          <w:ilvl w:val="0"/>
          <w:numId w:val="1"/>
        </w:numPr>
        <w:spacing w:before="0" w:after="60"/>
        <w:contextualSpacing/>
        <w:rPr/>
      </w:pPr>
      <w:r>
        <w:rPr>
          <w:b/>
          <w:color w:val="13232C"/>
          <w:sz w:val="21"/>
        </w:rPr>
        <w:t>Delta COM distribution</w:t>
      </w:r>
      <w:r>
        <w:rPr>
          <w:color w:val="13232C"/>
          <w:sz w:val="21"/>
        </w:rPr>
        <w:t xml:space="preserve">  median, P95 and maximum absolute deviation from the full grid, plus a count of channels that matched exactly.</w:t>
      </w:r>
    </w:p>
    <w:p>
      <w:pPr>
        <w:pStyle w:val="ListBullet"/>
        <w:numPr>
          <w:ilvl w:val="0"/>
          <w:numId w:val="1"/>
        </w:numPr>
        <w:spacing w:before="0" w:after="60"/>
        <w:contextualSpacing/>
        <w:rPr/>
      </w:pPr>
      <w:r>
        <w:rPr>
          <w:b/>
          <w:color w:val="13232C"/>
          <w:sz w:val="21"/>
        </w:rPr>
        <w:t>Operating point agreement</w:t>
      </w:r>
      <w:r>
        <w:rPr>
          <w:color w:val="13232C"/>
          <w:sz w:val="21"/>
        </w:rPr>
        <w:t xml:space="preserve">  how many channels selected the identical EQ setting, not merely a similar score.</w:t>
      </w:r>
    </w:p>
    <w:p>
      <w:pPr>
        <w:pStyle w:val="ListBullet"/>
        <w:numPr>
          <w:ilvl w:val="0"/>
          <w:numId w:val="1"/>
        </w:numPr>
        <w:spacing w:before="0" w:after="60"/>
        <w:contextualSpacing/>
        <w:rPr/>
      </w:pPr>
      <w:r>
        <w:rPr>
          <w:b/>
          <w:color w:val="13232C"/>
          <w:sz w:val="21"/>
        </w:rPr>
        <w:t>Pass/fail flips</w:t>
      </w:r>
      <w:r>
        <w:rPr>
          <w:color w:val="13232C"/>
          <w:sz w:val="21"/>
        </w:rPr>
        <w:t xml:space="preserve">  channels where a pruned method lands on the opposite side of the threshold from the exhaustive grid. Reported with the channel named.</w:t>
      </w:r>
    </w:p>
    <w:p>
      <w:pPr>
        <w:pStyle w:val="ListBullet"/>
        <w:numPr>
          <w:ilvl w:val="0"/>
          <w:numId w:val="1"/>
        </w:numPr>
        <w:spacing w:before="0" w:after="60"/>
        <w:contextualSpacing/>
        <w:rPr/>
      </w:pPr>
      <w:r>
        <w:rPr>
          <w:b/>
          <w:color w:val="13232C"/>
          <w:sz w:val="21"/>
        </w:rPr>
        <w:t>Regret and rank correlation</w:t>
      </w:r>
      <w:r>
        <w:rPr>
          <w:color w:val="13232C"/>
          <w:sz w:val="21"/>
        </w:rPr>
        <w:t xml:space="preserve">  the FOM-as-proxy cost, per channel and aggregated.</w:t>
      </w:r>
    </w:p>
    <w:p>
      <w:pPr>
        <w:pStyle w:val="Heading2"/>
        <w:rPr/>
      </w:pPr>
      <w:bookmarkStart w:id="49" w:name="__RefHeading___Toc10478_518488682"/>
      <w:bookmarkEnd w:id="49"/>
      <w:r>
        <w:rPr/>
        <w:t>8.6  Results to date</w:t>
      </w:r>
    </w:p>
    <w:p>
      <w:pPr>
        <w:pStyle w:val="Normal"/>
        <w:spacing w:before="0" w:after="140"/>
        <w:rPr/>
      </w:pPr>
      <w:r>
        <w:rPr>
          <w:b w:val="false"/>
          <w:i w:val="false"/>
          <w:color w:val="13232C"/>
          <w:sz w:val="21"/>
        </w:rPr>
        <w:t>Seven channels spanning 100–1400 mm, three methods, at a reduced but consistent grid:</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Adaptive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Legacy</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with COM identical to full grid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|delta COM|</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Same winning EQ operating point</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speedup</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12.9x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1.27x</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Speedup range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11.75 – 15.10x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1.19 – 1.40x</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Grid actually evaluated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~81%</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flips at 3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r>
    </w:tbl>
    <w:p>
      <w:pPr>
        <w:pStyle w:val="Normal"/>
        <w:spacing w:before="60" w:after="220"/>
        <w:rPr/>
      </w:pPr>
      <w:r>
        <w:rPr>
          <w:b w:val="false"/>
          <w:i/>
          <w:color w:val="5A6B74"/>
          <w:sz w:val="17"/>
        </w:rPr>
        <w:t>Table 3. Corpus result, August 2026. Delta COM is exactly zero — identical to all 17 significant digits, not merely small.</w:t>
      </w:r>
    </w:p>
    <w:p>
      <w:pPr>
        <w:pStyle w:val="Normal"/>
        <w:spacing w:before="0" w:after="140"/>
        <w:rPr/>
      </w:pPr>
      <w:r>
        <w:rPr>
          <w:b w:val="false"/>
          <w:i w:val="false"/>
          <w:color w:val="13232C"/>
          <w:sz w:val="21"/>
        </w:rPr>
        <w:t>The winning EQ setting moves with channel length across the corpus, so the agreement is not an artifact of a constant answer: the pruned search tracks a genuinely shifting optimum while skipping most of the work.</w:t>
      </w:r>
    </w:p>
    <w:p>
      <w:pPr>
        <w:pStyle w:val="Normal"/>
        <w:spacing w:before="0" w:after="140"/>
        <w:rPr/>
      </w:pPr>
      <w:r>
        <w:rPr>
          <w:b w:val="false"/>
          <w:i w:val="false"/>
          <w:color w:val="13232C"/>
          <w:sz w:val="21"/>
        </w:rPr>
        <w:t>Corroborated since on a second, independent corpus. Nine channels spanning all four families — chosen to include every case where this implementation and MATLAB pick a different sampling phase, i.e. the hardest available — were run against an exhaustive full grid. Adaptive local search was bit-identical on FOM, COM and sampling phase, 9 of 9, at a median 113x runtime saving (range 15x–236x). The sanity check FOM(full grid) &gt;= FOM(adaptive) holds 9/9. This also clears pruning of any role in the sampling-phase divergences: on one case the exhaustive grid independently reaches the same tick the pruned search did, where MATLAB reported another. See MATLAB_Correlation_Review.md section 5.</w:t>
      </w:r>
    </w:p>
    <w:p>
      <w:pPr>
        <w:pStyle w:val="Heading3"/>
        <w:rPr/>
      </w:pPr>
      <w:r>
        <w:rPr/>
        <w:t>The proxy measurement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Value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Spearman rho (FOM, COM), range across channels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0.60 – 0.81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where the FOM winner is also the COM winner</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5 / 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COM regret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COM regret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0.035892 dB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Worst case: true COM optimum found at FOM rank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6</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more interesting finding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regret is roughly 28 times larger than any difference between search methods. It is the cost of using FOM as the objective at all, and the exhaustive full grid pays it in full. Pruning adds nothing on top of it.</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What this does not establish</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One channel family (same topology, varying only cable length), one configuration, thru-only, and only one of the seven channels sits above the 3 dB threshold — so the flip test is weakly exercised. These are correlated samples, not seven independent channels.</w:t>
            </w:r>
          </w:p>
        </w:tc>
      </w:tr>
    </w:tbl>
    <w:p>
      <w:pPr>
        <w:pStyle w:val="Normal"/>
        <w:spacing w:before="0" w:after="180"/>
        <w:rPr/>
      </w:pPr>
      <w:r>
        <w:rPr/>
      </w:r>
    </w:p>
    <w:p>
      <w:pPr>
        <w:pStyle w:val="Heading2"/>
        <w:rPr/>
      </w:pPr>
      <w:bookmarkStart w:id="50" w:name="__RefHeading___Toc10480_518488682"/>
      <w:bookmarkEnd w:id="50"/>
      <w:r>
        <w:rPr/>
        <w:t>8.7  Diagnosing history dependence</w:t>
      </w:r>
    </w:p>
    <w:p>
      <w:pPr>
        <w:pStyle w:val="Normal"/>
        <w:spacing w:before="0" w:after="140"/>
        <w:rPr/>
      </w:pPr>
      <w:r>
        <w:rPr>
          <w:rFonts w:ascii="Consolas" w:hAnsi="Consolas"/>
          <w:b w:val="false"/>
          <w:i w:val="false"/>
          <w:color w:val="13232C"/>
          <w:sz w:val="19"/>
        </w:rPr>
        <w:t>tools/hist_dep_repro.py</w:t>
      </w:r>
      <w:r>
        <w:rPr>
          <w:b w:val="false"/>
          <w:i w:val="false"/>
          <w:color w:val="13232C"/>
          <w:sz w:val="21"/>
        </w:rPr>
        <w:t xml:space="preserve"> solves one operating point twice — once with a single candidate evaluated, once with many — and diffs the complete engine state at the moment COM computation begins. If COM ever appears to depend on how many candidates the search happened to visit, this is the tool that localises it.</w:t>
      </w:r>
    </w:p>
    <w:p>
      <w:pPr>
        <w:pStyle w:val="Normal"/>
        <w:spacing w:before="0" w:after="140"/>
        <w:rPr/>
      </w:pPr>
      <w:r>
        <w:rPr>
          <w:b w:val="false"/>
          <w:i w:val="false"/>
          <w:color w:val="13232C"/>
          <w:sz w:val="21"/>
        </w:rPr>
        <w:t>A COM value that changes with search history rather than with the selected operating point is a serious defect: it makes results depend on a path that is invisible in the answer. This harness exists because that class of problem is otherwise very hard to see.</w:t>
      </w:r>
      <w:r>
        <w:br w:type="page"/>
      </w:r>
    </w:p>
    <w:p>
      <w:pPr>
        <w:pStyle w:val="Heading1"/>
        <w:spacing w:before="0" w:after="160"/>
        <w:rPr/>
      </w:pPr>
      <w:bookmarkStart w:id="51" w:name="__RefHeading___Toc10482_518488682"/>
      <w:bookmarkEnd w:id="51"/>
      <w:r>
        <w:rPr/>
        <w:t>9  The R reporting layer</w:t>
      </w:r>
    </w:p>
    <w:p>
      <w:pPr>
        <w:pStyle w:val="Normal"/>
        <w:spacing w:before="0" w:after="140"/>
        <w:rPr/>
      </w:pPr>
      <w:r>
        <w:rPr>
          <w:b w:val="false"/>
          <w:i w:val="false"/>
          <w:color w:val="13232C"/>
          <w:sz w:val="21"/>
        </w:rPr>
        <w:t>Three R scripts turn the outputs into interactive HTML. All use plotly, so every point is hoverable — which matters when the question is "what exact equalizer setting produced that point?".</w:t>
      </w:r>
    </w:p>
    <w:p>
      <w:pPr>
        <w:pStyle w:val="Normal"/>
        <w:shd w:val="clear" w:fill="F2F6F8"/>
        <w:spacing w:before="80" w:after="180"/>
        <w:ind w:start="187"/>
        <w:rPr/>
      </w:pPr>
      <w:r>
        <w:rPr>
          <w:rFonts w:ascii="Consolas" w:hAnsi="Consolas"/>
          <w:color w:val="13232C"/>
          <w:sz w:val="17"/>
        </w:rPr>
        <w:t>install.packages(c("plotly", "htmltools", "jsonlite", "R.matlab"))</w:t>
      </w:r>
    </w:p>
    <w:p>
      <w:pPr>
        <w:pStyle w:val="Heading2"/>
        <w:rPr/>
      </w:pPr>
      <w:bookmarkStart w:id="52" w:name="__RefHeading___Toc10484_518488682"/>
      <w:bookmarkEnd w:id="52"/>
      <w:r>
        <w:rPr/>
        <w:t>9.1  Single-run engineering dashboard</w:t>
      </w:r>
    </w:p>
    <w:p>
      <w:pPr>
        <w:pStyle w:val="Normal"/>
        <w:shd w:val="clear" w:fill="F2F6F8"/>
        <w:spacing w:before="80" w:after="180"/>
        <w:ind w:start="187"/>
        <w:rPr/>
      </w:pPr>
      <w:r>
        <w:rPr>
          <w:rFonts w:ascii="Consolas" w:hAnsi="Consolas"/>
          <w:color w:val="13232C"/>
          <w:sz w:val="17"/>
        </w:rPr>
        <w:t>Rscript R/com_analysis.R results/&lt;...&gt;/&lt;config-name&gt;_case01.mat</w:t>
      </w:r>
    </w:p>
    <w:p>
      <w:pPr>
        <w:pStyle w:val="Normal"/>
        <w:spacing w:before="0" w:after="140"/>
        <w:rPr/>
      </w:pPr>
      <w:r>
        <w:rPr>
          <w:b w:val="false"/>
          <w:i w:val="false"/>
          <w:color w:val="13232C"/>
          <w:sz w:val="21"/>
        </w:rPr>
        <w:t xml:space="preserve">Consumes the </w:t>
      </w:r>
      <w:r>
        <w:rPr>
          <w:rFonts w:ascii="Consolas" w:hAnsi="Consolas"/>
          <w:b w:val="false"/>
          <w:i w:val="false"/>
          <w:color w:val="13232C"/>
          <w:sz w:val="19"/>
        </w:rPr>
        <w:t>--export-mat</w:t>
      </w:r>
      <w:r>
        <w:rPr>
          <w:b w:val="false"/>
          <w:i w:val="false"/>
          <w:color w:val="13232C"/>
          <w:sz w:val="21"/>
        </w:rPr>
        <w:t xml:space="preserve"> snapshot and produces a single HTML page covering the channel frequency response, the CTLE bank and the selected CTLE, impulse and pulse responses, the statistical eye with BER density, the equalizer contribution breakdown, and collapsible tables of the full results and configuration.</w:t>
      </w:r>
    </w:p>
    <w:p>
      <w:pPr>
        <w:pStyle w:val="Normal"/>
        <w:spacing w:before="0" w:after="140"/>
        <w:rPr/>
      </w:pPr>
      <w:r>
        <w:rPr>
          <w:b w:val="false"/>
          <w:i w:val="false"/>
          <w:color w:val="13232C"/>
          <w:sz w:val="21"/>
        </w:rPr>
        <w:t>This is the tool for understanding one run in depth.</w:t>
      </w:r>
    </w:p>
    <w:p>
      <w:pPr>
        <w:pStyle w:val="Heading2"/>
        <w:rPr/>
      </w:pPr>
      <w:bookmarkStart w:id="53" w:name="__RefHeading___Toc10486_518488682"/>
      <w:bookmarkEnd w:id="53"/>
      <w:r>
        <w:rPr/>
        <w:t>9.2  Single-channel search comparison</w:t>
      </w:r>
    </w:p>
    <w:p>
      <w:pPr>
        <w:pStyle w:val="Normal"/>
        <w:shd w:val="clear" w:fill="F2F6F8"/>
        <w:spacing w:before="80" w:after="180"/>
        <w:ind w:start="187"/>
        <w:rPr/>
      </w:pPr>
      <w:r>
        <w:rPr>
          <w:rFonts w:ascii="Consolas" w:hAnsi="Consolas"/>
          <w:color w:val="13232C"/>
          <w:sz w:val="17"/>
        </w:rPr>
        <w:t>Rscript R/sweep_compare.R sweep_results</w:t>
      </w:r>
    </w:p>
    <w:p>
      <w:pPr>
        <w:pStyle w:val="Normal"/>
        <w:spacing w:before="0" w:after="140"/>
        <w:rPr/>
      </w:pPr>
      <w:r>
        <w:rPr>
          <w:b w:val="false"/>
          <w:i w:val="false"/>
          <w:color w:val="13232C"/>
          <w:sz w:val="21"/>
        </w:rPr>
        <w:t>Reads the per-candidate logs and renders the search itself: best-so-far FOM against candidates evaluated, the winning sampling phase, TX-FFE tap-space coverage coloured by FOM, and parallel coordinates over all equalizer dimensions. Sections that need data a run did not produce degrade to an explanatory note rather than failing.</w:t>
      </w:r>
    </w:p>
    <w:p>
      <w:pPr>
        <w:pStyle w:val="Normal"/>
        <w:jc w:val="center"/>
        <w:rPr/>
      </w:pPr>
      <w:r>
        <w:rPr/>
        <w:drawing>
          <wp:inline distT="0" distB="0" distL="0" distR="0">
            <wp:extent cx="5669280" cy="43465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669280" cy="4346575"/>
                    </a:xfrm>
                    <a:prstGeom prst="rect">
                      <a:avLst/>
                    </a:prstGeom>
                    <a:noFill/>
                  </pic:spPr>
                </pic:pic>
              </a:graphicData>
            </a:graphic>
          </wp:inline>
        </w:drawing>
      </w:r>
    </w:p>
    <w:p>
      <w:pPr>
        <w:pStyle w:val="Normal"/>
        <w:spacing w:before="40" w:after="240"/>
        <w:jc w:val="center"/>
        <w:rPr/>
      </w:pPr>
      <w:r>
        <w:rPr>
          <w:b w:val="false"/>
          <w:i/>
          <w:color w:val="5A6B74"/>
          <w:sz w:val="17"/>
        </w:rPr>
        <w:t>Figure 8. Single-channel report. The convergence and coverage panels answer whether a pruned method reached the same optimum, and which regions of tap space it never visited.</w:t>
      </w:r>
    </w:p>
    <w:p>
      <w:pPr>
        <w:pStyle w:val="Heading2"/>
        <w:rPr/>
      </w:pPr>
      <w:bookmarkStart w:id="54" w:name="__RefHeading___Toc10488_518488682"/>
      <w:bookmarkEnd w:id="54"/>
      <w:r>
        <w:rPr/>
        <w:t>9.3  Corpus report</w:t>
      </w:r>
    </w:p>
    <w:p>
      <w:pPr>
        <w:pStyle w:val="Normal"/>
        <w:shd w:val="clear" w:fill="F2F6F8"/>
        <w:spacing w:before="80" w:after="180"/>
        <w:ind w:start="187"/>
        <w:rPr/>
      </w:pPr>
      <w:r>
        <w:rPr>
          <w:rFonts w:ascii="Consolas" w:hAnsi="Consolas"/>
          <w:color w:val="13232C"/>
          <w:sz w:val="17"/>
        </w:rPr>
        <w:t>Rscript R/corpus_report.R corpus_results</w:t>
      </w:r>
    </w:p>
    <w:p>
      <w:pPr>
        <w:pStyle w:val="Normal"/>
        <w:spacing w:before="0" w:after="140"/>
        <w:rPr/>
      </w:pPr>
      <w:r>
        <w:rPr>
          <w:b w:val="false"/>
          <w:i w:val="false"/>
          <w:color w:val="13232C"/>
          <w:sz w:val="21"/>
        </w:rPr>
        <w:t>The N-channel counterpart, organised around the two questions a reviewer actually asks: does pruning change COM, and how bad is the worst case.</w:t>
      </w:r>
    </w:p>
    <w:p>
      <w:pPr>
        <w:pStyle w:val="Normal"/>
        <w:jc w:val="center"/>
        <w:rPr/>
      </w:pPr>
      <w:r>
        <w:rPr/>
        <w:drawing>
          <wp:inline distT="0" distB="0" distL="0" distR="0">
            <wp:extent cx="5669280" cy="43465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669280" cy="4346575"/>
                    </a:xfrm>
                    <a:prstGeom prst="rect">
                      <a:avLst/>
                    </a:prstGeom>
                    <a:noFill/>
                  </pic:spPr>
                </pic:pic>
              </a:graphicData>
            </a:graphic>
          </wp:inline>
        </w:drawing>
      </w:r>
    </w:p>
    <w:p>
      <w:pPr>
        <w:pStyle w:val="Normal"/>
        <w:spacing w:before="40" w:after="240"/>
        <w:jc w:val="center"/>
        <w:rPr/>
      </w:pPr>
      <w:r>
        <w:rPr>
          <w:b w:val="false"/>
          <w:i/>
          <w:color w:val="5A6B74"/>
          <w:sz w:val="17"/>
        </w:rPr>
        <w:t>Figure 9. Corpus report. Two presentation problems are solved deliberately here: the delta-COM panel is banded at the FOM-proxy scale so that "exactly zero" is legible in context, and the COM-by-channel markers are nested so three coincident methods remain visible rather than hiding one another.</w:t>
      </w:r>
    </w:p>
    <w:p>
      <w:pPr>
        <w:pStyle w:val="Heading2"/>
        <w:rPr/>
      </w:pPr>
      <w:bookmarkStart w:id="55" w:name="__RefHeading___Toc10490_518488682"/>
      <w:bookmarkEnd w:id="55"/>
      <w:r>
        <w:rPr/>
        <w:t>9.4  Building the review deck</w:t>
      </w:r>
    </w:p>
    <w:p>
      <w:pPr>
        <w:pStyle w:val="Normal"/>
        <w:shd w:val="clear" w:fill="F2F6F8"/>
        <w:spacing w:before="80" w:after="180"/>
        <w:ind w:start="187"/>
        <w:rPr/>
      </w:pPr>
      <w:r>
        <w:rPr>
          <w:rFonts w:ascii="Consolas" w:hAnsi="Consolas"/>
          <w:color w:val="13232C"/>
          <w:sz w:val="17"/>
        </w:rPr>
        <w:t>python tools/build_pptx.py</w:t>
      </w:r>
    </w:p>
    <w:p>
      <w:pPr>
        <w:pStyle w:val="Normal"/>
        <w:spacing w:before="0" w:after="140"/>
        <w:rPr/>
      </w:pPr>
      <w:r>
        <w:rPr>
          <w:b w:val="false"/>
          <w:i w:val="false"/>
          <w:color w:val="13232C"/>
          <w:sz w:val="21"/>
        </w:rPr>
        <w:t>Generates a slide deck from the corpus artifacts. Because it reads the result files rather than hard-coded values, re-running it after a new corpus updates every number in the deck automatically.</w:t>
      </w:r>
      <w:r>
        <w:br w:type="page"/>
      </w:r>
    </w:p>
    <w:p>
      <w:pPr>
        <w:pStyle w:val="Heading1"/>
        <w:spacing w:before="0" w:after="160"/>
        <w:rPr/>
      </w:pPr>
      <w:bookmarkStart w:id="56" w:name="__RefHeading___Toc10492_518488682"/>
      <w:bookmarkEnd w:id="56"/>
      <w:r>
        <w:rPr/>
        <w:t>10  Development workflow</w:t>
      </w:r>
    </w:p>
    <w:p>
      <w:pPr>
        <w:pStyle w:val="Heading2"/>
        <w:rPr/>
      </w:pPr>
      <w:bookmarkStart w:id="57" w:name="__RefHeading___Toc10494_518488682"/>
      <w:bookmarkEnd w:id="57"/>
      <w:r>
        <w:rPr/>
        <w:t>10.1  Changing behaviour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Never edit com.py directly</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 is generated. An edit there will be silently destroyed the next time anyone runs the assembler.</w:t>
            </w:r>
          </w:p>
        </w:tc>
      </w:tr>
    </w:tbl>
    <w:p>
      <w:pPr>
        <w:pStyle w:val="Normal"/>
        <w:spacing w:before="0" w:after="180"/>
        <w:rPr/>
      </w:pPr>
      <w:r>
        <w:rPr/>
      </w:r>
    </w:p>
    <w:p>
      <w:pPr>
        <w:pStyle w:val="Normal"/>
        <w:shd w:val="clear" w:fill="F2F6F8"/>
        <w:spacing w:before="80" w:after="180"/>
        <w:ind w:start="187"/>
        <w:rPr/>
      </w:pPr>
      <w:r>
        <w:rPr>
          <w:rFonts w:ascii="Consolas" w:hAnsi="Consolas"/>
          <w:color w:val="13232C"/>
          <w:sz w:val="17"/>
        </w:rPr>
        <w:t># 1. edit the per-function source</w:t>
        <w:br/>
        <w:t>#    com_functions/fn/&lt;name&gt;/py_impl.py</w:t>
        <w:br/>
        <w:br/>
        <w:t># 2. test that function alone</w:t>
        <w:br/>
        <w:t>python -m pytest com_functions/fn/&lt;name&gt;/test_verify.py -q</w:t>
        <w:br/>
        <w:br/>
        <w:t># 3. regenerate the engine</w:t>
        <w:br/>
        <w:t>python assemble_com.py</w:t>
        <w:br/>
        <w:br/>
        <w:t># 4. run the full suite</w:t>
        <w:br/>
        <w:t>python -m pytest com_functions/fn -q</w:t>
      </w:r>
    </w:p>
    <w:p>
      <w:pPr>
        <w:pStyle w:val="Heading2"/>
        <w:rPr/>
      </w:pPr>
      <w:bookmarkStart w:id="58" w:name="__RefHeading___Toc10496_518488682"/>
      <w:bookmarkEnd w:id="58"/>
      <w:r>
        <w:rPr/>
        <w:t>10.2  The test suites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Suite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How to run</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-m pytest com_functions/fn -q</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main suite; 876 tests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tests/&lt;name&gt;.py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Mixed: test_smoke.py, test_checkpoints.py and test_end_to_end.py ARE pytest modules; every other file is a standalone script. Do not point pytest at the directory — the scripts call sys.exit() at import, so collection aborts, pytest reports "no tests ran" AND STILL EXITS 0. Nothing runs and nothing complains.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everything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powershell -ExecutionPolicy Bypass -File tests/run_all.ps1</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full harness, and what to run before committing: pre-flight audit, assembly, interface checks, unit tests, then every cross-check script. Dispatches both kinds of file above correctly.</w:t>
            </w:r>
          </w:p>
        </w:tc>
      </w:tr>
    </w:tbl>
    <w:p>
      <w:pPr>
        <w:pStyle w:val="Normal"/>
        <w:spacing w:before="0" w:after="120"/>
        <w:rPr/>
      </w:pPr>
      <w:r>
        <w:rPr/>
      </w:r>
    </w:p>
    <w:p>
      <w:pPr>
        <w:pStyle w:val="Heading2"/>
        <w:rPr/>
      </w:pPr>
      <w:bookmarkStart w:id="59" w:name="__RefHeading___Toc10498_518488682"/>
      <w:bookmarkEnd w:id="59"/>
      <w:r>
        <w:rPr/>
        <w:t>10.3  Conventions worth knowing</w:t>
      </w:r>
    </w:p>
    <w:p>
      <w:pPr>
        <w:pStyle w:val="ListBullet"/>
        <w:numPr>
          <w:ilvl w:val="0"/>
          <w:numId w:val="1"/>
        </w:numPr>
        <w:spacing w:before="0" w:after="60"/>
        <w:contextualSpacing/>
        <w:rPr/>
      </w:pPr>
      <w:r>
        <w:rPr>
          <w:b/>
          <w:color w:val="13232C"/>
          <w:sz w:val="21"/>
        </w:rPr>
        <w:t>MATLAB line references</w:t>
      </w:r>
      <w:r>
        <w:rPr>
          <w:color w:val="13232C"/>
          <w:sz w:val="21"/>
        </w:rPr>
        <w:t xml:space="preserve">  Most functions carry a comment naming the MATLAB source lines they translate. Keep these accurate — they are how the port is reviewed.</w:t>
      </w:r>
    </w:p>
    <w:p>
      <w:pPr>
        <w:pStyle w:val="ListBullet"/>
        <w:numPr>
          <w:ilvl w:val="0"/>
          <w:numId w:val="1"/>
        </w:numPr>
        <w:spacing w:before="0" w:after="60"/>
        <w:contextualSpacing/>
        <w:rPr/>
      </w:pPr>
      <w:r>
        <w:rPr>
          <w:b/>
          <w:color w:val="13232C"/>
          <w:sz w:val="21"/>
        </w:rPr>
        <w:t>One-based versus zero-based</w:t>
      </w:r>
      <w:r>
        <w:rPr>
          <w:color w:val="13232C"/>
          <w:sz w:val="21"/>
        </w:rPr>
        <w:t xml:space="preserve">  Several structures hold MATLAB-style 1-based indices deliberately, to keep the translation legible. Convert at the point of use rather than changing what is stored, and check what a value already is before indexing with it.</w:t>
      </w:r>
    </w:p>
    <w:p>
      <w:pPr>
        <w:pStyle w:val="ListBullet"/>
        <w:numPr>
          <w:ilvl w:val="0"/>
          <w:numId w:val="1"/>
        </w:numPr>
        <w:spacing w:before="0" w:after="60"/>
        <w:contextualSpacing/>
        <w:rPr/>
      </w:pPr>
      <w:r>
        <w:rPr>
          <w:b/>
          <w:color w:val="13232C"/>
          <w:sz w:val="21"/>
        </w:rPr>
        <w:t>Value versus reference semantics</w:t>
      </w:r>
      <w:r>
        <w:rPr>
          <w:color w:val="13232C"/>
          <w:sz w:val="21"/>
        </w:rPr>
        <w:t xml:space="preserve">  MATLAB assigns structs by value; Python assigns references. Where the original relies on copy-on-assign, the port must copy explicitly. This class of difference does not surface in unit tests — and it proved to be the most damaging one in the port: five of the eight engine defects found by the 208-case MATLAB correlation were instances of it. The worst, a by-reference OP leak in process_sxp, let a TDR-only truncation threshold escape into every later stage and biased FOM low on 95.7% of cases while the whole unit suite stayed green.</w:t>
      </w:r>
    </w:p>
    <w:p>
      <w:pPr>
        <w:pStyle w:val="Heading1"/>
        <w:rPr/>
      </w:pPr>
      <w:bookmarkStart w:id="60" w:name="__RefHeading___Toc10500_518488682"/>
      <w:bookmarkEnd w:id="60"/>
      <w:r>
        <w:rPr/>
        <w:t>11  Verification status and limitations</w:t>
      </w:r>
    </w:p>
    <w:p>
      <w:pPr>
        <w:pStyle w:val="Heading2"/>
        <w:rPr/>
      </w:pPr>
      <w:bookmarkStart w:id="61" w:name="__RefHeading___Toc10502_518488682"/>
      <w:bookmarkEnd w:id="61"/>
      <w:r>
        <w:rPr/>
        <w:t>11.1  What has been verified</w:t>
      </w:r>
    </w:p>
    <w:p>
      <w:pPr>
        <w:pStyle w:val="Normal"/>
        <w:spacing w:before="0" w:after="140"/>
        <w:rPr/>
      </w:pPr>
      <w:r>
        <w:rPr>
          <w:b w:val="false"/>
          <w:i w:val="false"/>
          <w:color w:val="13232C"/>
          <w:sz w:val="21"/>
        </w:rPr>
        <w:t>Every major feature is implemented and unit-tested against the MATLAB source: TX-FFE, CTLE, DFE, RX-FFE (MMSE), floating DFE and floating RX-FFE taps, MLSE, crosstalk (FEXT/NEXT and ICN), common-mode modal masks, receiver calibration, frequency-domain processing, ERL/TDR, and TD-ILN/RILN. The unit suite is green at 876 tests, and the bundled 802.3ck configuration runs end to end.</w:t>
      </w:r>
    </w:p>
    <w:p>
      <w:pPr>
        <w:pStyle w:val="Normal"/>
        <w:spacing w:before="0" w:after="140"/>
        <w:rPr/>
      </w:pPr>
      <w:r>
        <w:rPr>
          <w:b w:val="false"/>
          <w:i w:val="false"/>
          <w:color w:val="13232C"/>
          <w:sz w:val="21"/>
        </w:rPr>
        <w:t>A structured conversion audit classified all 157 MATLAB functions (146 equivalent, 11 divergent; docs/AUDIT_FINDINGS.md). That audit is necessary but was not sufficient: the largest defect in the port — the process_sxp reference leak — was not in its ledger, and one EQUIVALENT verdict was later proven wrong. Treat its verdicts as evidence rather than proof.</w:t>
      </w:r>
    </w:p>
    <w:p>
      <w:pPr>
        <w:pStyle w:val="Normal"/>
        <w:spacing w:before="0" w:after="140"/>
        <w:rPr/>
      </w:pPr>
      <w:r>
        <w:rPr>
          <w:b w:val="false"/>
          <w:i w:val="false"/>
          <w:color w:val="13232C"/>
          <w:sz w:val="21"/>
        </w:rPr>
        <w:t>The engine was subsequently optimised to roughly 4.5-5x its previous speed (208-case corpus: 16.1 h of CPU time down to about 3.5 h, versus 14.4 h for the MATLAB reference on its own machine). Accuracy was the gate: every reported COM, VEO and VEC value is bit-identical before and after, verified by re-running the full corpus after each change rather than sampling. Measurement noise on this machine is about 13%, so treat the multiplier as approximate.</w:t>
      </w:r>
    </w:p>
    <w:p>
      <w:pPr>
        <w:pStyle w:val="Heading2"/>
        <w:rPr/>
      </w:pPr>
      <w:bookmarkStart w:id="62" w:name="__RefHeading___Toc10504_518488682"/>
      <w:bookmarkEnd w:id="62"/>
      <w:r>
        <w:rPr/>
        <w:t>11.2  Limitations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End-to-end MATLAB cross-check: done</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208 reference cases from Hansel D’silva’s com_ieee8023_4p15p0 runs were compared case by case. FOM is bit-exact on 198/208, COM on 135/208, and the sampling phase on 200/208; max |delta COM| is 0.176 dB and rms 0.019 dB, with 2 pass/fail disagreements, both within 0.02 dB of the threshold. Eight engine defects were found and fixed in the process. Reproduce with tools/matlab_compare.py; the write-up is MATLAB_Correlation_Review.md.</w:t>
            </w:r>
          </w:p>
        </w:tc>
      </w:tr>
    </w:tbl>
    <w:p>
      <w:pPr>
        <w:pStyle w:val="Normal"/>
        <w:spacing w:before="0" w:after="180"/>
        <w:rPr/>
      </w:pPr>
      <w:r>
        <w:rPr/>
      </w:r>
    </w:p>
    <w:p>
      <w:pPr>
        <w:pStyle w:val="ListBullet"/>
        <w:numPr>
          <w:ilvl w:val="0"/>
          <w:numId w:val="1"/>
        </w:numPr>
        <w:spacing w:before="0" w:after="60"/>
        <w:contextualSpacing/>
        <w:rPr/>
      </w:pPr>
      <w:r>
        <w:rPr>
          <w:b/>
          <w:color w:val="13232C"/>
          <w:sz w:val="21"/>
        </w:rPr>
        <w:t>Coverage of end-to-end paths</w:t>
      </w:r>
      <w:r>
        <w:rPr>
          <w:color w:val="13232C"/>
          <w:sz w:val="21"/>
        </w:rPr>
        <w:t xml:space="preserve">  Only the C2M TX-FFE/CTLE/DFE path is exercised end to end by a bundled configuration. The remaining features are implemented and unit-tested but not covered by a bundled run.</w:t>
      </w:r>
    </w:p>
    <w:p>
      <w:pPr>
        <w:pStyle w:val="ListBullet"/>
        <w:numPr>
          <w:ilvl w:val="0"/>
          <w:numId w:val="1"/>
        </w:numPr>
        <w:spacing w:before="0" w:after="60"/>
        <w:contextualSpacing/>
        <w:rPr/>
      </w:pPr>
      <w:r>
        <w:rPr>
          <w:b/>
          <w:color w:val="13232C"/>
          <w:sz w:val="21"/>
        </w:rPr>
        <w:t>Results predating August 2026</w:t>
      </w:r>
      <w:r>
        <w:rPr>
          <w:color w:val="13232C"/>
          <w:sz w:val="21"/>
        </w:rPr>
        <w:t xml:space="preserve">  The eight engine fixes of August 2026 changed COM materially — the largest removed a systematic FOM bias affecting 95.7% of cases. On the bundled 802.3ck configuration the shift is about 0.1 dB (Case 1 3.5664 → 3.4694 dB), enough to move Case 2 from PASS to FAIL. Regenerate rather than comparing against archived output.</w:t>
      </w:r>
    </w:p>
    <w:p>
      <w:pPr>
        <w:pStyle w:val="ListBullet"/>
        <w:numPr>
          <w:ilvl w:val="0"/>
          <w:numId w:val="1"/>
        </w:numPr>
        <w:spacing w:before="0" w:after="60"/>
        <w:contextualSpacing/>
        <w:rPr/>
      </w:pPr>
      <w:r>
        <w:rPr>
          <w:b/>
          <w:color w:val="13232C"/>
          <w:sz w:val="21"/>
        </w:rPr>
        <w:t>Sampling-phase divergences</w:t>
      </w:r>
      <w:r>
        <w:rPr/>
        <w:t xml:space="preserve">  On 8 of the 208 correlated cases Python cannot reach MATLAB’s FOM at MATLAB’s sampling tick under any equalizer setting, yet the peak values agree — consistent with an anchor-origin offset. Open question with the MATLAB author.</w:t>
      </w:r>
    </w:p>
    <w:p>
      <w:pPr>
        <w:pStyle w:val="ListBullet"/>
        <w:numPr>
          <w:ilvl w:val="0"/>
          <w:numId w:val="1"/>
        </w:numPr>
        <w:spacing w:before="0" w:after="60"/>
        <w:contextualSpacing/>
        <w:rPr/>
      </w:pPr>
      <w:r>
        <w:rPr>
          <w:b/>
          <w:color w:val="13232C"/>
          <w:sz w:val="21"/>
        </w:rPr>
        <w:t>Residual in the COM PDF path</w:t>
      </w:r>
      <w:r>
        <w:rPr/>
        <w:t xml:space="preserve">  A mean +0.002 dB bias remains (max 0.035 dB). It is what produces the two knife-edge pass/fail disagreements.</w:t>
      </w:r>
    </w:p>
    <w:p>
      <w:pPr>
        <w:pStyle w:val="ListBullet"/>
        <w:numPr>
          <w:ilvl w:val="0"/>
          <w:numId w:val="1"/>
        </w:numPr>
        <w:spacing w:before="0" w:after="60"/>
        <w:contextualSpacing/>
        <w:rPr/>
      </w:pPr>
      <w:r>
        <w:rPr>
          <w:b/>
          <w:color w:val="13232C"/>
          <w:sz w:val="21"/>
        </w:rPr>
        <w:t>FFE_OPT_METHOD = 'WIENER-HOPF'</w:t>
      </w:r>
      <w:r>
        <w:rPr>
          <w:color w:val="13232C"/>
          <w:sz w:val="21"/>
        </w:rPr>
        <w:t xml:space="preserve">  Intentionally non-functional; its helper is undefined in the MATLAB reference. Use MMSE.</w:t>
      </w:r>
    </w:p>
    <w:p>
      <w:pPr>
        <w:pStyle w:val="ListBullet"/>
        <w:numPr>
          <w:ilvl w:val="0"/>
          <w:numId w:val="1"/>
        </w:numPr>
        <w:spacing w:before="0" w:after="60"/>
        <w:contextualSpacing/>
        <w:rPr/>
      </w:pPr>
      <w:r>
        <w:rPr>
          <w:b/>
          <w:color w:val="13232C"/>
          <w:sz w:val="21"/>
        </w:rPr>
        <w:t>FAST_NOISE_CONV</w:t>
      </w:r>
      <w:r>
        <w:rPr>
          <w:color w:val="13232C"/>
          <w:sz w:val="21"/>
        </w:rPr>
        <w:t xml:space="preserve">  A speed approximation that lumps small noise taps into a single Gaussian. The exact path is the default and is recommended for reported results.</w:t>
      </w:r>
    </w:p>
    <w:p>
      <w:pPr>
        <w:pStyle w:val="ListBullet"/>
        <w:numPr>
          <w:ilvl w:val="0"/>
          <w:numId w:val="1"/>
        </w:numPr>
        <w:spacing w:before="0" w:after="60"/>
        <w:contextualSpacing/>
        <w:rPr/>
      </w:pPr>
      <w:r>
        <w:rPr>
          <w:b/>
          <w:color w:val="13232C"/>
          <w:sz w:val="21"/>
        </w:rPr>
        <w:t>GUI file pickers</w:t>
      </w:r>
      <w:r>
        <w:rPr>
          <w:color w:val="13232C"/>
          <w:sz w:val="21"/>
        </w:rPr>
        <w:t xml:space="preserve">  Not ported. File lists are always passed on the command line.</w:t>
      </w:r>
    </w:p>
    <w:p>
      <w:pPr>
        <w:pStyle w:val="ListBullet"/>
        <w:numPr>
          <w:ilvl w:val="0"/>
          <w:numId w:val="1"/>
        </w:numPr>
        <w:spacing w:before="0" w:after="60"/>
        <w:contextualSpacing/>
        <w:rPr/>
      </w:pPr>
      <w:r>
        <w:rPr>
          <w:b/>
          <w:color w:val="13232C"/>
          <w:sz w:val="21"/>
        </w:rPr>
        <w:t>Adaptive-search constants</w:t>
      </w:r>
      <w:r>
        <w:rPr>
          <w:color w:val="13232C"/>
          <w:sz w:val="21"/>
        </w:rPr>
        <w:t xml:space="preserve">  The adaptive method carries about ten hand-tuned values — shrink factors, distance weights, the L2/L1 ratio, the CTLE window — whose provenance is not documented in the source. Expect this to be asked about.</w:t>
      </w:r>
      <w:r>
        <w:br w:type="page"/>
      </w:r>
    </w:p>
    <w:p>
      <w:pPr>
        <w:pStyle w:val="Heading1"/>
        <w:spacing w:before="0" w:after="160"/>
        <w:rPr/>
      </w:pPr>
      <w:bookmarkStart w:id="63" w:name="__RefHeading___Toc10506_518488682"/>
      <w:bookmarkEnd w:id="63"/>
      <w:r>
        <w:rPr/>
        <w:t>Appendix A  COM concepts</w:t>
      </w:r>
    </w:p>
    <w:p>
      <w:pPr>
        <w:pStyle w:val="Normal"/>
        <w:spacing w:before="0" w:after="140"/>
        <w:rPr/>
      </w:pPr>
      <w:r>
        <w:rPr>
          <w:b w:val="false"/>
          <w:i w:val="false"/>
          <w:color w:val="13232C"/>
          <w:sz w:val="21"/>
        </w:rPr>
        <w:t>A short refresher for readers who are new to the methodology. Experienced SerDes engineers can skip this.</w:t>
      </w:r>
    </w:p>
    <w:p>
      <w:pPr>
        <w:pStyle w:val="Heading2"/>
        <w:rPr/>
      </w:pPr>
      <w:bookmarkStart w:id="64" w:name="__RefHeading___Toc10508_518488682"/>
      <w:bookmarkEnd w:id="64"/>
      <w:r>
        <w:rPr/>
        <w:t>A.1  What COM measures</w:t>
      </w:r>
    </w:p>
    <w:p>
      <w:pPr>
        <w:pStyle w:val="Normal"/>
        <w:spacing w:before="0" w:after="140"/>
        <w:rPr/>
      </w:pPr>
      <w:r>
        <w:rPr>
          <w:b w:val="false"/>
          <w:i w:val="false"/>
          <w:color w:val="13232C"/>
          <w:sz w:val="21"/>
        </w:rPr>
        <w:t>COM expresses, in decibels, the ratio between the available signal amplitude and the total impairment amplitude at the decision point, evaluated at a target bit error ratio. Above the threshold — conventionally 3 dB — the channel is deemed able to support the link.</w:t>
      </w:r>
    </w:p>
    <w:p>
      <w:pPr>
        <w:pStyle w:val="Normal"/>
        <w:shd w:val="clear" w:fill="F2F6F8"/>
        <w:spacing w:before="80" w:after="180"/>
        <w:ind w:start="187"/>
        <w:rPr/>
      </w:pPr>
      <w:r>
        <w:rPr>
          <w:rFonts w:ascii="Consolas" w:hAnsi="Consolas"/>
          <w:color w:val="13232C"/>
          <w:sz w:val="17"/>
        </w:rPr>
        <w:t>COM = 20 * log10( A_signal / A_noise_and_interference )</w:t>
      </w:r>
    </w:p>
    <w:p>
      <w:pPr>
        <w:pStyle w:val="Normal"/>
        <w:spacing w:before="0" w:after="140"/>
        <w:rPr/>
      </w:pPr>
      <w:r>
        <w:rPr>
          <w:b w:val="false"/>
          <w:i w:val="false"/>
          <w:color w:val="13232C"/>
          <w:sz w:val="21"/>
        </w:rPr>
        <w:t>The denominator is not a simple RMS sum. It is derived from the tail of a convolved probability distribution combining residual inter-symbol interference, crosstalk, jitter-induced noise and receiver noise. That is why a Gaussian approximation understates the impairment, and why the calculation is expensive.</w:t>
      </w:r>
    </w:p>
    <w:p>
      <w:pPr>
        <w:pStyle w:val="Heading2"/>
        <w:rPr/>
      </w:pPr>
      <w:bookmarkStart w:id="65" w:name="__RefHeading___Toc10510_518488682"/>
      <w:bookmarkEnd w:id="65"/>
      <w:r>
        <w:rPr/>
        <w:t>A.2  The equalizer chain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Stage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Where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What it does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TX FFE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pre-distorts the launched pulse to counter downstream loss; taps are swept over a configured grid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CTLE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analog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continuous-time linear boost, selected from a bank of gain/pole/zero settings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 FFE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feed-forward equalization, tap values solved rather than swept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cancels post-cursor ISI using already-decided symbols; cannot help with pre-cursor ISI</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MLSE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sequence estimation applied after the main evaluation</w:t>
            </w:r>
          </w:p>
        </w:tc>
      </w:tr>
    </w:tbl>
    <w:p>
      <w:pPr>
        <w:pStyle w:val="Normal"/>
        <w:spacing w:before="0" w:after="120"/>
        <w:rPr/>
      </w:pPr>
      <w:r>
        <w:rPr/>
      </w:r>
    </w:p>
    <w:p>
      <w:pPr>
        <w:pStyle w:val="Heading2"/>
        <w:rPr/>
      </w:pPr>
      <w:bookmarkStart w:id="66" w:name="__RefHeading___Toc10512_518488682"/>
      <w:bookmarkEnd w:id="66"/>
      <w:r>
        <w:rPr/>
        <w:t>A.3  FOM versus COM</w:t>
      </w:r>
    </w:p>
    <w:p>
      <w:pPr>
        <w:pStyle w:val="Normal"/>
        <w:spacing w:before="0" w:after="140"/>
        <w:rPr/>
      </w:pPr>
      <w:r>
        <w:rPr>
          <w:b w:val="false"/>
          <w:i w:val="false"/>
          <w:color w:val="13232C"/>
          <w:sz w:val="21"/>
        </w:rPr>
        <w:t>Searching the equalizer space directly on COM is impractical, because each evaluation requires the full statistical convolution. The tool therefore optimises a cheaper figure of merit and computes COM once, at the end, for the winning setting.</w:t>
      </w:r>
    </w:p>
    <w:p>
      <w:pPr>
        <w:pStyle w:val="Normal"/>
        <w:spacing w:before="0" w:after="140"/>
        <w:rPr/>
      </w:pPr>
      <w:r>
        <w:rPr>
          <w:b w:val="false"/>
          <w:i w:val="false"/>
          <w:color w:val="13232C"/>
          <w:sz w:val="21"/>
        </w:rPr>
        <w:t>This substitution is the reason Chapter 8 exists. FOM is a proxy, and the measured rank correlation between FOM and COM across channels runs between 0.60 and 0.81 — informative, but not faithful.</w:t>
      </w:r>
    </w:p>
    <w:p>
      <w:pPr>
        <w:pStyle w:val="Heading2"/>
        <w:rPr/>
      </w:pPr>
      <w:bookmarkStart w:id="67" w:name="__RefHeading___Toc10514_518488682"/>
      <w:bookmarkEnd w:id="67"/>
      <w:r>
        <w:rPr/>
        <w:t>A.4  Reading a result</w:t>
      </w:r>
    </w:p>
    <w:p>
      <w:pPr>
        <w:pStyle w:val="ListBullet"/>
        <w:numPr>
          <w:ilvl w:val="0"/>
          <w:numId w:val="1"/>
        </w:numPr>
        <w:spacing w:before="0" w:after="60"/>
        <w:contextualSpacing/>
        <w:rPr/>
      </w:pPr>
      <w:r>
        <w:rPr>
          <w:b/>
          <w:color w:val="13232C"/>
          <w:sz w:val="21"/>
        </w:rPr>
        <w:t>COM_dB</w:t>
      </w:r>
      <w:r>
        <w:rPr>
          <w:color w:val="13232C"/>
          <w:sz w:val="21"/>
        </w:rPr>
        <w:t xml:space="preserve">  the margin. Compared against COM Pass threshold.</w:t>
      </w:r>
    </w:p>
    <w:p>
      <w:pPr>
        <w:pStyle w:val="ListBullet"/>
        <w:numPr>
          <w:ilvl w:val="0"/>
          <w:numId w:val="1"/>
        </w:numPr>
        <w:spacing w:before="0" w:after="60"/>
        <w:contextualSpacing/>
        <w:rPr/>
      </w:pPr>
      <w:r>
        <w:rPr>
          <w:b/>
          <w:color w:val="13232C"/>
          <w:sz w:val="21"/>
        </w:rPr>
        <w:t>VEO / VEC</w:t>
      </w:r>
      <w:r>
        <w:rPr>
          <w:color w:val="13232C"/>
          <w:sz w:val="21"/>
        </w:rPr>
        <w:t xml:space="preserve">  vertical eye opening and closure; C2M configurations gate on these in addition to COM.</w:t>
      </w:r>
    </w:p>
    <w:p>
      <w:pPr>
        <w:pStyle w:val="ListBullet"/>
        <w:numPr>
          <w:ilvl w:val="0"/>
          <w:numId w:val="1"/>
        </w:numPr>
        <w:spacing w:before="0" w:after="60"/>
        <w:contextualSpacing/>
        <w:rPr/>
      </w:pPr>
      <w:r>
        <w:rPr>
          <w:b/>
          <w:color w:val="13232C"/>
          <w:sz w:val="21"/>
        </w:rPr>
        <w:t>ICN</w:t>
      </w:r>
      <w:r>
        <w:rPr>
          <w:color w:val="13232C"/>
          <w:sz w:val="21"/>
        </w:rPr>
        <w:t xml:space="preserve">  integrated crosstalk noise. Zero when no aggressor files were supplied — which means a run without crosstalk is not a crosstalk-free result, it is an unevaluated one.</w:t>
      </w:r>
    </w:p>
    <w:p>
      <w:pPr>
        <w:pStyle w:val="ListBullet"/>
        <w:numPr>
          <w:ilvl w:val="0"/>
          <w:numId w:val="1"/>
        </w:numPr>
        <w:spacing w:before="0" w:after="60"/>
        <w:contextualSpacing/>
        <w:rPr/>
      </w:pPr>
      <w:r>
        <w:rPr>
          <w:b/>
          <w:color w:val="13232C"/>
          <w:sz w:val="21"/>
        </w:rPr>
        <w:t>Package cases</w:t>
      </w:r>
      <w:r>
        <w:rPr>
          <w:color w:val="13232C"/>
          <w:sz w:val="21"/>
        </w:rPr>
        <w:t xml:space="preserve">  a configuration may define several; each is solved and reported independently, and all must pass.</w:t>
      </w:r>
      <w:r>
        <w:br w:type="page"/>
      </w:r>
    </w:p>
    <w:p>
      <w:pPr>
        <w:pStyle w:val="Heading1"/>
        <w:spacing w:before="0" w:after="160"/>
        <w:rPr/>
      </w:pPr>
      <w:bookmarkStart w:id="68" w:name="__RefHeading___Toc10516_518488682"/>
      <w:bookmarkEnd w:id="68"/>
      <w:r>
        <w:rPr/>
        <w:t>Appendix B  Complete configuration parameter index</w:t>
      </w:r>
    </w:p>
    <w:p>
      <w:pPr>
        <w:pStyle w:val="Normal"/>
        <w:spacing w:before="0" w:after="140"/>
        <w:rPr/>
      </w:pPr>
      <w:r>
        <w:rPr>
          <w:b w:val="false"/>
          <w:i w:val="false"/>
          <w:color w:val="13232C"/>
          <w:sz w:val="21"/>
        </w:rPr>
        <w:t>Every keyword the engine reads from the configuration spreadsheet, extracted directly from the source so that it cannot drift from the implementation. Grouped by function; within each group, alphabetical.</w:t>
      </w:r>
    </w:p>
    <w:p>
      <w:pPr>
        <w:pStyle w:val="Normal"/>
        <w:spacing w:before="0" w:after="140"/>
        <w:rPr/>
      </w:pPr>
      <w:r>
        <w:rPr>
          <w:b/>
          <w:i w:val="false"/>
          <w:color w:val="13232C"/>
          <w:sz w:val="21"/>
        </w:rPr>
        <w:t>Mandatory</w:t>
      </w:r>
      <w:r>
        <w:rPr>
          <w:b w:val="false"/>
          <w:i w:val="false"/>
          <w:color w:val="13232C"/>
          <w:sz w:val="21"/>
        </w:rPr>
        <w:t xml:space="preserve"> keywords have no default: the run stops if they are absent from the sheet. Everything else falls back to the listed </w:t>
      </w:r>
      <w:r>
        <w:rPr>
          <w:b/>
          <w:i w:val="false"/>
          <w:color w:val="13232C"/>
          <w:sz w:val="21"/>
        </w:rPr>
        <w:t>Default</w:t>
      </w:r>
      <w:r>
        <w:rPr>
          <w:b w:val="false"/>
          <w:i w:val="false"/>
          <w:color w:val="13232C"/>
          <w:sz w:val="21"/>
        </w:rPr>
        <w:t xml:space="preserve">, so an absent row and a row set to that value behave identically. </w:t>
      </w:r>
      <w:r>
        <w:rPr>
          <w:b/>
          <w:i w:val="false"/>
          <w:color w:val="13232C"/>
          <w:sz w:val="21"/>
        </w:rPr>
        <w:t>Attribute</w:t>
      </w:r>
      <w:r>
        <w:rPr>
          <w:b w:val="false"/>
          <w:i w:val="false"/>
          <w:color w:val="13232C"/>
          <w:sz w:val="21"/>
        </w:rPr>
        <w:t xml:space="preserve"> is where the value lands internally — search for it when tracing behaviour through the code. A </w:t>
      </w:r>
      <w:r>
        <w:rPr>
          <w:rFonts w:ascii="Consolas" w:hAnsi="Consolas"/>
          <w:b w:val="false"/>
          <w:i w:val="false"/>
          <w:color w:val="13232C"/>
          <w:sz w:val="19"/>
        </w:rPr>
        <w:t>*</w:t>
      </w:r>
      <w:r>
        <w:rPr>
          <w:b w:val="false"/>
          <w:i w:val="false"/>
          <w:color w:val="13232C"/>
          <w:sz w:val="21"/>
        </w:rPr>
        <w:t xml:space="preserve"> in the Eval column means a text cell is evaluated as a MATLAB expression, so entries such as </w:t>
      </w:r>
      <w:r>
        <w:rPr>
          <w:rFonts w:ascii="Consolas" w:hAnsi="Consolas"/>
          <w:b w:val="false"/>
          <w:i w:val="false"/>
          <w:color w:val="13232C"/>
          <w:sz w:val="19"/>
        </w:rPr>
        <w:t>[1 3 2 4]</w:t>
      </w:r>
      <w:r>
        <w:rPr>
          <w:b w:val="false"/>
          <w:i w:val="false"/>
          <w:color w:val="13232C"/>
          <w:sz w:val="21"/>
        </w:rPr>
        <w:t xml:space="preserve"> or </w:t>
      </w:r>
      <w:r>
        <w:rPr>
          <w:rFonts w:ascii="Consolas" w:hAnsi="Consolas"/>
          <w:b w:val="false"/>
          <w:i w:val="false"/>
          <w:color w:val="13232C"/>
          <w:sz w:val="19"/>
        </w:rPr>
        <w:t>1e9*[1:5]</w:t>
      </w:r>
      <w:r>
        <w:rPr>
          <w:b w:val="false"/>
          <w:i w:val="false"/>
          <w:color w:val="13232C"/>
          <w:sz w:val="21"/>
        </w:rPr>
        <w:t xml:space="preserve"> are accepted.</w:t>
      </w:r>
    </w:p>
    <w:p>
      <w:pPr>
        <w:pStyle w:val="Normal"/>
        <w:spacing w:before="0" w:after="140"/>
        <w:rPr/>
      </w:pPr>
      <w:r>
        <w:rPr>
          <w:b w:val="false"/>
          <w:i/>
          <w:color w:val="5A6B74"/>
          <w:sz w:val="19"/>
        </w:rPr>
        <w:t>Mandatory keywords are listed first within their group and marked in bold.</w:t>
      </w:r>
    </w:p>
    <w:p>
      <w:pPr>
        <w:pStyle w:val="Heading2"/>
        <w:rPr/>
      </w:pPr>
      <w:bookmarkStart w:id="69" w:name="__RefHeading___Toc10518_518488682"/>
      <w:bookmarkEnd w:id="69"/>
      <w:r>
        <w:rPr/>
        <w:t>Signalling &amp; test limits  (23)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DER_0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param.levels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Clip 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param.clip_method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DER_CDR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param.DER_CDR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np.inf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param.Max_VEO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param.ERL_pass_threshold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32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param.samples_per_ui</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Max burst length calculated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OP.nburst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Min_VEO_Test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PHY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OP.PHY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PMD_type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 BBN step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OP.sigma_bn_STEP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T_O</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OP.transmitter_transition_time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T_r_filter_type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OP.T_r_filter_type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T_r_meas_point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OP.T_r_meas_point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VEC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param.VEC_pass_threshold</w:t>
            </w:r>
          </w:p>
        </w:tc>
      </w:tr>
    </w:tbl>
    <w:p>
      <w:pPr>
        <w:pStyle w:val="Normal"/>
        <w:spacing w:before="0" w:after="120"/>
        <w:rPr/>
      </w:pPr>
      <w:r>
        <w:rPr/>
      </w:r>
    </w:p>
    <w:p>
      <w:pPr>
        <w:pStyle w:val="Heading2"/>
        <w:rPr/>
      </w:pPr>
      <w:bookmarkStart w:id="70" w:name="__RefHeading___Toc10520_518488682"/>
      <w:bookmarkEnd w:id="70"/>
      <w:r>
        <w:rPr/>
        <w:t>EQ search control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Local Search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param.LOCAL_SEARCH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Non-zero Local Search 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param.NonZeroLSMethod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Optimize_loop_speed_up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OP.Optimize_loop_speed_up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sample_adjustment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 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param.ts_sample_adj_range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TS_SRCH_MODE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'full-sweep'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OP.TS_SRCH_MODE</w:t>
            </w:r>
          </w:p>
        </w:tc>
      </w:tr>
    </w:tbl>
    <w:p>
      <w:pPr>
        <w:pStyle w:val="Normal"/>
        <w:spacing w:before="0" w:after="120"/>
        <w:rPr/>
      </w:pPr>
      <w:r>
        <w:rPr/>
      </w:r>
    </w:p>
    <w:p>
      <w:pPr>
        <w:pStyle w:val="Heading2"/>
        <w:rPr/>
      </w:pPr>
      <w:bookmarkStart w:id="71" w:name="__RefHeading___Toc10522_518488682"/>
      <w:bookmarkEnd w:id="71"/>
      <w:r>
        <w:rPr/>
        <w:t>Equalization — TX FFE  (12)</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c(0)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param.tx_ffe_c0_min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param.tx_ffe_cm1_values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param.tx_ffe_cm2_values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param.tx_ffe_cm3_values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param.tx_ffe_cm4_values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param.tx_ffe_cp1_values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param.tx_ffe_cp2_values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param.tx_ffe_cp3_values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crusor_gain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param.cursor_gain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Dynamic TXFFE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OP.dynamic_txffe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ffe_main_cursor_min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param.ffe_main_cursor_min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r>
    </w:tbl>
    <w:p>
      <w:pPr>
        <w:pStyle w:val="Normal"/>
        <w:spacing w:before="0" w:after="120"/>
        <w:rPr/>
      </w:pPr>
      <w:r>
        <w:rPr/>
      </w:r>
    </w:p>
    <w:p>
      <w:pPr>
        <w:pStyle w:val="Heading2"/>
        <w:rPr/>
      </w:pPr>
      <w:bookmarkStart w:id="72" w:name="__RefHeading___Toc10524_518488682"/>
      <w:bookmarkEnd w:id="72"/>
      <w:r>
        <w:rPr/>
        <w:t>Equalization — CTLE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g_DC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param.ctle_gdc_values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CTLE_type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'CL93'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param.f_hp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G2_Qual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g2qual_raw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g_DC_HP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param.g_DC_HP_values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G_Qual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gqual_raw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GDC_MIN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param.GDC_MIN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INCLUDE_CTLE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OP.INCLUDE_CTLE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param.kappa2</w:t>
            </w:r>
          </w:p>
        </w:tc>
      </w:tr>
    </w:tbl>
    <w:p>
      <w:pPr>
        <w:pStyle w:val="Normal"/>
        <w:spacing w:before="0" w:after="120"/>
        <w:rPr/>
      </w:pPr>
      <w:r>
        <w:rPr/>
      </w:r>
    </w:p>
    <w:p>
      <w:pPr>
        <w:pStyle w:val="Heading2"/>
        <w:rPr/>
      </w:pPr>
      <w:bookmarkStart w:id="73" w:name="__RefHeading___Toc10526_518488682"/>
      <w:bookmarkEnd w:id="73"/>
      <w:r>
        <w:rPr/>
        <w:t>Equalization — DFE &amp; MLSE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B_float_RSS_MAX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param.B_float_RSS_MAX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b_max(2..N_b)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b_min(2..N_b)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-float(bmax2_arr[0])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FloatingDFE_Development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OP.FloatingDFE_Development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LIMIT_JITTER_CONTRIB_TO_DFE_SPAN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OP.LIMIT_JITTER_CONTRIB_TO_DFE_SPAN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N_b_step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param.dfe_delta</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bl>
    <w:p>
      <w:pPr>
        <w:pStyle w:val="Normal"/>
        <w:spacing w:before="0" w:after="120"/>
        <w:rPr/>
      </w:pPr>
      <w:r>
        <w:rPr/>
      </w:r>
    </w:p>
    <w:p>
      <w:pPr>
        <w:pStyle w:val="Heading2"/>
        <w:rPr/>
      </w:pPr>
      <w:bookmarkStart w:id="74" w:name="__RefHeading___Toc10528_518488682"/>
      <w:bookmarkEnd w:id="74"/>
      <w:r>
        <w:rPr/>
        <w:t>Equalization — RX FFE  (10)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ffe_backoff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param.ffe_backoff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FFE_OPT_METHOD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OP.FFE_OPT_METHOD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ffe_post_tap1_max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param.ffe_post_tap1_max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ffe_post_tap_len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param.ffe_post_tap_len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ffe_pre_tap1_max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param.ffe_pre_tap1_max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ffe_pre_tap_len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param.ffe_pre_tap_len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ffe_tap_step_size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param.ffe_tap_step_size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ffe_tapn_max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param.ffe_tapn_max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FLOAT CTL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OP.RXFFE_FLOAT_CTL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TAP CONSTRAINT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'Unity Cursor'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OP.RXFFE_TAP_CONSTRAINT</w:t>
            </w:r>
          </w:p>
        </w:tc>
      </w:tr>
    </w:tbl>
    <w:p>
      <w:pPr>
        <w:pStyle w:val="Normal"/>
        <w:spacing w:before="0" w:after="120"/>
        <w:rPr/>
      </w:pPr>
      <w:r>
        <w:rPr/>
      </w:r>
    </w:p>
    <w:p>
      <w:pPr>
        <w:pStyle w:val="Heading2"/>
        <w:rPr/>
      </w:pPr>
      <w:bookmarkStart w:id="75" w:name="__RefHeading___Toc10530_518488682"/>
      <w:bookmarkEnd w:id="75"/>
      <w:r>
        <w:rPr/>
        <w:t>Receiver filter &amp; windowing  (11)</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Bessel_Thomson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OP.Bessel_Thomson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BTorder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param.BTorder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Butterworth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OP.Butterworth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INCLUDE_TX_RX_FILTER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OP.INCLUDE_FILTER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RC_end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param.f_r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param.RC_end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RC_Start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param.RC_Start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TDR_Butterworth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OP.TDR_Butterworth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Tukey_Window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param.Tukey_Window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OP.ZERO_PAD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zero_pad_tukey_window_in_fb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param.zero_pad_tukey_window_in_fb</w:t>
            </w:r>
          </w:p>
        </w:tc>
      </w:tr>
    </w:tbl>
    <w:p>
      <w:pPr>
        <w:pStyle w:val="Normal"/>
        <w:spacing w:before="0" w:after="120"/>
        <w:rPr/>
      </w:pPr>
      <w:r>
        <w:rPr/>
      </w:r>
    </w:p>
    <w:p>
      <w:pPr>
        <w:pStyle w:val="Heading2"/>
        <w:rPr/>
      </w:pPr>
      <w:bookmarkStart w:id="76" w:name="__RefHeading___Toc10532_518488682"/>
      <w:bookmarkEnd w:id="76"/>
      <w:r>
        <w:rPr/>
        <w:t>Noise, jitter &amp; crosstalk  (19)</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A_DD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param.A_DD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eta_0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param.eta_0</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sigma_RJ</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param.sigma_RJ</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param.a_thru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AC_CM_RMS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param.AC_CM_RMS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ACCM_MAX_Freq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param.ACCM_MAX_Freq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add_rx_noise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param.add_rx_noise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Do_Colored_Noise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OP.Do_Colored_Noise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Do_White_Noise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OP.Do_White_Noise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Do_XT_Noise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OP.Do_XT_Noise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FFE_SNR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OP.FFE_SNR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Noise_Crest_Factor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param.Noise_Crest_Factor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num_ui_RXFF_noise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2048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param.num_ui_RXFF_noise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0.020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SNR_TXwC0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OP.SNR_TXwC0</w:t>
            </w:r>
          </w:p>
        </w:tc>
      </w:tr>
    </w:tbl>
    <w:p>
      <w:pPr>
        <w:pStyle w:val="Normal"/>
        <w:spacing w:before="0" w:after="120"/>
        <w:rPr/>
      </w:pPr>
      <w:r>
        <w:rPr/>
      </w:r>
    </w:p>
    <w:p>
      <w:pPr>
        <w:pStyle w:val="Heading2"/>
        <w:rPr/>
      </w:pPr>
      <w:bookmarkStart w:id="77" w:name="__RefHeading___Toc10534_518488682"/>
      <w:bookmarkEnd w:id="77"/>
      <w:r>
        <w:rPr/>
        <w:t>Package, die &amp; termination  (30)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board_tl_gamma0_a1_a2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4.114e-4, 2.547e...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param.brd_gamma0_a1_a2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board_tl_tau</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6.191e-3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param.brd_tau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board_Z_c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109.8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param.brd_Z_c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param.C_bump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param.C_diepad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param.C_pkg_board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param.D_p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IDEAL_RX_TERM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OP.IDEAL_RX_TERM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IDEAL_TX_TERM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OP.IDEAL_TX_TERM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imb_C_fctr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param.imb_C_fctr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imb_Z_fctr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param.imb_Z_fctr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INC_PACKAGE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OP.INC_PACKAGE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inc_reflect_board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OP.inc_reflect_board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L_s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param.L_comp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package_tl_gamma0_a1_a2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1.734e-3, 1.455e...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param.pkg_gamma0_a1_a2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package_tl_tau</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6.141e-3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param.pkg_tau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package_Z_c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_default_Zc_str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raw_zc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PKG_NAME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param.PKG_NAME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PKG_Tx_FFE_preset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param.PKG_Tx_FFE_preset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 50]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param.R_diepad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TDR_duration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OP.TDR_duration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TDR_W_TXPKG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OP.TDR_W_TXPKG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(FEXT)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(NEXT)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(RX)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param.z_bp_rx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(TX)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param.z_bp_tx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z_p select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OP.pkg_len_select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param.Z_t</w:t>
            </w:r>
          </w:p>
        </w:tc>
      </w:tr>
    </w:tbl>
    <w:p>
      <w:pPr>
        <w:pStyle w:val="Normal"/>
        <w:spacing w:before="0" w:after="120"/>
        <w:rPr/>
      </w:pPr>
      <w:r>
        <w:rPr/>
      </w:r>
    </w:p>
    <w:p>
      <w:pPr>
        <w:pStyle w:val="Heading2"/>
        <w:rPr/>
      </w:pPr>
      <w:bookmarkStart w:id="78" w:name="__RefHeading___Toc10536_518488682"/>
      <w:bookmarkEnd w:id="78"/>
      <w:r>
        <w:rPr/>
        <w:t>Channel / S-parameter handling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Delta_f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param.max_freq_step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AUTO_TFX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OP.AUTO_TFX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OP.ENFORCE_CAUSALITY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DIFF_TOL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OP.EC_DIFF_TOL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pulse start tolerance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OP.EC_PULSE_TOL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REL_TOL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OP.EC_REL_TOL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fixture delay time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param.tfx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1000e9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FORCE_TR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fraction_of_F_range_start_extrap_from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OP.fraction_of_F_range_start_extrap_from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Port Order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 3, 2, 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param.snpPortsOrder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Report_Modal_ERL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OP.Report_Modal_ERL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magnitude extrapolation policy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'linear_trend_to_DC'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OP.interp_sparam_mag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phase extrapolation policy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'extrap_cubic_to_dc_linear_to_inf'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OP.interp_sparam_phase</w:t>
            </w:r>
          </w:p>
        </w:tc>
      </w:tr>
    </w:tbl>
    <w:p>
      <w:pPr>
        <w:pStyle w:val="Normal"/>
        <w:spacing w:before="0" w:after="120"/>
        <w:rPr/>
      </w:pPr>
      <w:r>
        <w:rPr/>
      </w:r>
    </w:p>
    <w:p>
      <w:pPr>
        <w:pStyle w:val="Heading2"/>
        <w:rPr/>
      </w:pPr>
      <w:bookmarkStart w:id="79" w:name="__RefHeading___Toc10538_518488682"/>
      <w:bookmarkEnd w:id="79"/>
      <w:r>
        <w:rPr/>
        <w:t>Frequency-domain metrics (ILD/ICN)  (8)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delta_IL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param.delta_IL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 frequency domain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f_2_ILD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param.f2_ild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param.f_v</w:t>
            </w:r>
          </w:p>
        </w:tc>
      </w:tr>
    </w:tbl>
    <w:p>
      <w:pPr>
        <w:pStyle w:val="Normal"/>
        <w:spacing w:before="0" w:after="120"/>
        <w:rPr/>
      </w:pPr>
      <w:r>
        <w:rPr/>
      </w:r>
    </w:p>
    <w:p>
      <w:pPr>
        <w:pStyle w:val="Heading2"/>
        <w:rPr/>
      </w:pPr>
      <w:bookmarkStart w:id="80" w:name="__RefHeading___Toc10540_518488682"/>
      <w:bookmarkEnd w:id="80"/>
      <w:r>
        <w:rPr/>
        <w:t>ERL / TDR / reflection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beta_x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param.beta_x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COMPUTE_RILN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COMPUTE_TDILN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OP.COMPUTE_TDILN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ERL_FOM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OP.RL_norm_test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ERL_ONLY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OP.ERL_ONLY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Grr_limit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rho_x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0.618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param.rho_x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TDR_f_BT_3db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0.4730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param.fb_BT_cutoff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TR_TDR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param.TR_TDR</w:t>
            </w:r>
          </w:p>
        </w:tc>
      </w:tr>
    </w:tbl>
    <w:p>
      <w:pPr>
        <w:pStyle w:val="Normal"/>
        <w:spacing w:before="0" w:after="120"/>
        <w:rPr/>
      </w:pPr>
      <w:r>
        <w:rPr/>
      </w:r>
    </w:p>
    <w:p>
      <w:pPr>
        <w:pStyle w:val="Heading2"/>
        <w:rPr/>
      </w:pPr>
      <w:bookmarkStart w:id="81" w:name="__RefHeading___Toc10542_518488682"/>
      <w:bookmarkEnd w:id="81"/>
      <w:r>
        <w:rPr/>
        <w:t>Statistical / PDF construction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BBN Q 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OP.BBN_Q_factor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BBN Q 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OP.force_BBN_Q_factor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PDF bin 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OP.force_pdf_bin_size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Histogram_Window_Weight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'rectangle'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OP.Histogram_Window_Weight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Impulse response truncation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OP.impulse_response_truncation_threshold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N_qb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param.N_qb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N_tail_start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param.N_tail_start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P_peak</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param.P_peak</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P_qc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 * param.specBER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param.P_qc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PDF bin 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OP.BinSize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Q_budget_adj</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param.Q_budget_adj</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_ql_default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trunc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128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bl>
    <w:p>
      <w:pPr>
        <w:pStyle w:val="Normal"/>
        <w:spacing w:before="0" w:after="120"/>
        <w:rPr/>
      </w:pPr>
      <w:r>
        <w:rPr/>
      </w:r>
    </w:p>
    <w:p>
      <w:pPr>
        <w:pStyle w:val="Heading2"/>
        <w:rPr/>
      </w:pPr>
      <w:bookmarkStart w:id="82" w:name="__RefHeading___Toc10544_518488682"/>
      <w:bookmarkEnd w:id="82"/>
      <w:r>
        <w:rPr/>
        <w:t>Error propagation  (3)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Error propagation COM margin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OP.COM_EP_margin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 simple error propagation model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OP.use_simple_EP_model</w:t>
            </w:r>
          </w:p>
        </w:tc>
      </w:tr>
    </w:tbl>
    <w:p>
      <w:pPr>
        <w:pStyle w:val="Normal"/>
        <w:spacing w:before="0" w:after="120"/>
        <w:rPr/>
      </w:pPr>
      <w:r>
        <w:rPr/>
      </w:r>
    </w:p>
    <w:p>
      <w:pPr>
        <w:pStyle w:val="Heading2"/>
        <w:rPr/>
      </w:pPr>
      <w:bookmarkStart w:id="83" w:name="__RefHeading___Toc10546_518488682"/>
      <w:bookmarkEnd w:id="83"/>
      <w:r>
        <w:rPr/>
        <w:t>RX calibration  (4)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SNR_TX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PSDRXCAL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OP.PSDRXCAL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RX_CALIBRATION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OP.RX_CALIBRATION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SNDR_REF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OP.SNDR_REF</w:t>
            </w:r>
          </w:p>
        </w:tc>
      </w:tr>
    </w:tbl>
    <w:p>
      <w:pPr>
        <w:pStyle w:val="Normal"/>
        <w:spacing w:before="0" w:after="120"/>
        <w:rPr/>
      </w:pPr>
      <w:r>
        <w:rPr/>
      </w:r>
    </w:p>
    <w:p>
      <w:pPr>
        <w:pStyle w:val="Heading2"/>
        <w:rPr/>
      </w:pPr>
      <w:bookmarkStart w:id="84" w:name="__RefHeading___Toc10548_518488682"/>
      <w:bookmarkEnd w:id="84"/>
      <w:r>
        <w:rPr/>
        <w:t>Skew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Rxnskew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param.Rxnskew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Rxpskew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param.Rxpskew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skew_ps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param.skew_ps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Txnskew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param.Txnskew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Txpskew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param.Txpskew</w:t>
            </w:r>
          </w:p>
        </w:tc>
      </w:tr>
    </w:tbl>
    <w:p>
      <w:pPr>
        <w:pStyle w:val="Normal"/>
        <w:spacing w:before="0" w:after="120"/>
        <w:rPr/>
      </w:pPr>
      <w:r>
        <w:rPr/>
      </w:r>
    </w:p>
    <w:p>
      <w:pPr>
        <w:pStyle w:val="Heading2"/>
        <w:rPr/>
      </w:pPr>
      <w:bookmarkStart w:id="85" w:name="__RefHeading___Toc10550_518488682"/>
      <w:bookmarkEnd w:id="85"/>
      <w:r>
        <w:rPr/>
        <w:t>Output, reporting &amp; execution  (28)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BREAD_CRUMBS_FIELDS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OP.BREAD_CRUMBS_FIELDS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CM_MASK_REPORT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OP.CM_MASK_REPORT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COM_CONTRIBUTION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OP.COM_CONTRIBUTION_CURVES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CSV_REPORT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OP.CSV_REPORT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DIAGNOSTICS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OP.DEBUG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DISPLAY_WINDOW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OP.DISPLAY_WINDOW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DO_NOT_COMPUTE_COM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EXE_MODE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OP.EXE_MODE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exit if deployed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OP.exit_if_deployed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FT_COOP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OP.FT_COOP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PLOT_CM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OP.PLOT_CM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RIT_REF_PTR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'clause_179'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OP.RIT_REF_PTR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RUNTAG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OP.RUNTAG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SAVE_CONFIG2MAT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OP.SAVE_CONFIG2MAT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SAVE_FIGURE_to_CSV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OP.SAVE_FIGURE_to_CSV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SAVE_KEYWORD_FILE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OP.SAVE_KEYWORD_FILE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SAVE_TD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OP.SAVE_TD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SHOW_BRD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OP.SHOW_BRD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TDECQ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OP.TDECQ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TIME_AXIS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'UI'</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OP.TIME_AXIS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TIMESTAMP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OP.TIMESTAMP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WRITE_CSV_TRANSPOSED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OP.WRITE_CSV_TRANSPOSED</w:t>
            </w:r>
          </w:p>
        </w:tc>
      </w:tr>
    </w:tbl>
    <w:p>
      <w:pPr>
        <w:pStyle w:val="Normal"/>
        <w:spacing w:before="0" w:after="120"/>
        <w:rPr/>
      </w:pPr>
      <w:r>
        <w:rPr/>
      </w:r>
    </w:p>
    <w:p>
      <w:pPr>
        <w:pStyle w:val="Heading2"/>
        <w:rPr/>
      </w:pPr>
      <w:bookmarkStart w:id="86" w:name="__RefHeading___Toc10552_518488682"/>
      <w:bookmarkEnd w:id="86"/>
      <w:r>
        <w:rPr/>
        <w:t>Other / advanced  (15)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b_max(1)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Include PCB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OP.include_pcb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R_LM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param.R_LM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400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Raised_Cosine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OP.Raised_Cosine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S_tn_w_AM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param.S_tn_w_AM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samples_for_C2M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param.samples_for_C2M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T_k</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OP.T_k</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ts_anchor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param.ts_anchor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USE_ETA0_PSD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OP.USE_ETA0_PSD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WC_PORTZ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OP.WC_PORTZ</w:t>
            </w:r>
          </w:p>
        </w:tc>
      </w:tr>
    </w:tbl>
    <w:p>
      <w:pPr>
        <w:pStyle w:val="Normal"/>
        <w:spacing w:before="0" w:after="120"/>
        <w:rPr/>
      </w:pPr>
      <w:r>
        <w:rPr/>
      </w:r>
    </w:p>
    <w:p>
      <w:pPr>
        <w:pStyle w:val="Normal"/>
        <w:spacing w:before="0" w:after="140"/>
        <w:rPr/>
      </w:pPr>
      <w:r>
        <w:rPr>
          <w:b w:val="false"/>
          <w:i/>
          <w:color w:val="5A6B74"/>
          <w:sz w:val="19"/>
        </w:rPr>
        <w:t>247 keywords in total, 15 of them mandatory (marked ●).</w:t>
      </w:r>
      <w:r>
        <w:br w:type="page"/>
      </w:r>
    </w:p>
    <w:p>
      <w:pPr>
        <w:pStyle w:val="Heading1"/>
        <w:spacing w:before="0" w:after="160"/>
        <w:rPr/>
      </w:pPr>
      <w:bookmarkStart w:id="87" w:name="__RefHeading___Toc10554_518488682"/>
      <w:bookmarkEnd w:id="87"/>
      <w:r>
        <w:rPr/>
        <w:t>Appendix C  Command reference</w:t>
      </w:r>
    </w:p>
    <w:p>
      <w:pPr>
        <w:pStyle w:val="Heading2"/>
        <w:rPr/>
      </w:pPr>
      <w:bookmarkStart w:id="88" w:name="__RefHeading___Toc10556_518488682"/>
      <w:bookmarkEnd w:id="88"/>
      <w:r>
        <w:rPr/>
        <w:t>C.1  Running COM</w:t>
      </w:r>
    </w:p>
    <w:p>
      <w:pPr>
        <w:pStyle w:val="Normal"/>
        <w:shd w:val="clear" w:fill="F2F6F8"/>
        <w:spacing w:before="80" w:after="180"/>
        <w:ind w:start="187"/>
        <w:rPr/>
      </w:pPr>
      <w:r>
        <w:rPr>
          <w:rFonts w:ascii="Consolas" w:hAnsi="Consolas"/>
          <w:color w:val="13232C"/>
          <w:sz w:val="17"/>
        </w:rPr>
        <w:t># basic run</w:t>
        <w:br/>
        <w:t>python com.py &lt;config.xlsx&gt; &lt;thru.s4p&gt;</w:t>
        <w:br/>
        <w:br/>
        <w:t># with crosstalk aggressors</w:t>
        <w:br/>
        <w:t>python com.py &lt;config.xlsx&gt; &lt;thru.s4p&gt; --fext f1.s4p f2.s4p --next n1.s4p</w:t>
        <w:br/>
        <w:br/>
        <w:t># with the engineering .mat snapshot for R analysis</w:t>
        <w:br/>
        <w:t>python com.py &lt;config.xlsx&gt; &lt;thru.s4p&gt; --export-mat</w:t>
      </w:r>
    </w:p>
    <w:p>
      <w:pPr>
        <w:pStyle w:val="Heading2"/>
        <w:rPr/>
      </w:pPr>
      <w:bookmarkStart w:id="89" w:name="__RefHeading___Toc10558_518488682"/>
      <w:bookmarkEnd w:id="89"/>
      <w:r>
        <w:rPr/>
        <w:t>C.2  The search study</w:t>
      </w:r>
    </w:p>
    <w:p>
      <w:pPr>
        <w:pStyle w:val="Normal"/>
        <w:shd w:val="clear" w:fill="F2F6F8"/>
        <w:spacing w:before="80" w:after="180"/>
        <w:ind w:start="187"/>
        <w:rPr/>
      </w:pPr>
      <w:r>
        <w:rPr>
          <w:rFonts w:ascii="Consolas" w:hAnsi="Consolas"/>
          <w:color w:val="13232C"/>
          <w:sz w:val="17"/>
        </w:rPr>
        <w:t># three methods on one channel</w:t>
        <w:br/>
        <w:t>python tools/sweep_compare.py &lt;config.xlsx&gt; &lt;thru.s4p&gt; \</w:t>
        <w:br/>
        <w:t xml:space="preserve">       --local-search 2 --max-ctle 3 --max-tap-vals 3</w:t>
        <w:br/>
        <w:br/>
        <w:t># true COM for the top-20 FOM candidates</w:t>
        <w:br/>
        <w:t>python tools/fom_com_probe.py &lt;config.xlsx&gt; &lt;thru.s4p&gt; \</w:t>
        <w:br/>
        <w:t xml:space="preserve">       --sweep-dir sweep_results --top-k 20</w:t>
        <w:br/>
        <w:br/>
        <w:t># corpus: estimate first, then run</w:t>
        <w:br/>
        <w:t>python tools/corpus_sweep.py &lt;config.xlsx&gt; --channel-dir &lt;dir&gt; --dry-run</w:t>
        <w:br/>
        <w:t>python tools/corpus_sweep.py &lt;config.xlsx&gt; --channel-dir &lt;dir&gt;</w:t>
        <w:br/>
        <w:br/>
        <w:t># re-aggregate without recomputing</w:t>
        <w:br/>
        <w:t>python tools/corpus_sweep.py --aggregate-only --out corpus_results</w:t>
        <w:br/>
        <w:br/>
        <w:t># diagnose COM that depends on search history</w:t>
        <w:br/>
        <w:t>python tools/hist_dep_repro.py</w:t>
      </w:r>
    </w:p>
    <w:p>
      <w:pPr>
        <w:pStyle w:val="Heading2"/>
        <w:rPr/>
      </w:pPr>
      <w:bookmarkStart w:id="90" w:name="__RefHeading___Toc10560_518488682"/>
      <w:bookmarkEnd w:id="90"/>
      <w:r>
        <w:rPr/>
        <w:t>C.3  Reports</w:t>
      </w:r>
    </w:p>
    <w:p>
      <w:pPr>
        <w:pStyle w:val="Normal"/>
        <w:shd w:val="clear" w:fill="F2F6F8"/>
        <w:spacing w:before="80" w:after="180"/>
        <w:ind w:start="187"/>
        <w:rPr/>
      </w:pPr>
      <w:r>
        <w:rPr>
          <w:rFonts w:ascii="Consolas" w:hAnsi="Consolas"/>
          <w:color w:val="13232C"/>
          <w:sz w:val="17"/>
        </w:rPr>
        <w:t>Rscript R/com_analysis.R results/&lt;...&gt;/&lt;name&gt;_case01.mat   # single run, from .mat</w:t>
        <w:br/>
        <w:t>Rscript R/sweep_compare.R sweep_results                    # one channel, 3 methods</w:t>
        <w:br/>
        <w:t>Rscript R/corpus_report.R corpus_results                   # N channels</w:t>
        <w:br/>
        <w:t>python  tools/build_pptx.py                                # review deck</w:t>
      </w:r>
    </w:p>
    <w:p>
      <w:pPr>
        <w:pStyle w:val="Normal"/>
        <w:spacing w:before="0" w:after="140"/>
        <w:rPr/>
      </w:pPr>
      <w:r>
        <w:rPr>
          <w:b w:val="false"/>
          <w:i w:val="false"/>
          <w:color w:val="5A6B74"/>
          <w:sz w:val="19"/>
        </w:rPr>
        <w:t>Rscript may not be on PATH. If it is not, invoke it by full path, for example "C:\Program Files\R\R-4.4.1\bin\Rscript.exe".</w:t>
      </w:r>
    </w:p>
    <w:p>
      <w:pPr>
        <w:pStyle w:val="Heading2"/>
        <w:rPr/>
      </w:pPr>
      <w:bookmarkStart w:id="91" w:name="__RefHeading___Toc10562_518488682"/>
      <w:bookmarkEnd w:id="91"/>
      <w:r>
        <w:rPr/>
        <w:t>C.4  Development</w:t>
      </w:r>
    </w:p>
    <w:p>
      <w:pPr>
        <w:pStyle w:val="Normal"/>
        <w:shd w:val="clear" w:fill="F2F6F8"/>
        <w:spacing w:before="80" w:after="180"/>
        <w:ind w:start="187"/>
        <w:rPr/>
      </w:pPr>
      <w:r>
        <w:rPr>
          <w:rFonts w:ascii="Consolas" w:hAnsi="Consolas"/>
          <w:color w:val="13232C"/>
          <w:sz w:val="17"/>
        </w:rPr>
        <w:t>python -m pytest com_functions/fn/&lt;name&gt;/test_verify.py -q   # one function</w:t>
        <w:br/>
        <w:t>python assemble_com.py                                       # regenerate com.py</w:t>
        <w:br/>
        <w:t>python -m pytest com_functions/fn -q                         # full suite (876)</w:t>
        <w:br/>
        <w:t>python tests/&lt;name&gt;.py                                       # standalone checks</w:t>
      </w:r>
    </w:p>
    <w:sectPr>
      <w:footerReference w:type="even" r:id="rId11"/>
      <w:footerReference w:type="default" r:id="rId12"/>
      <w:footerReference w:type="first" r:id="rId13"/>
      <w:type w:val="nextPage"/>
      <w:pgSz w:w="12240" w:h="15840"/>
      <w:pgMar w:left="1368" w:right="1368" w:gutter="0" w:header="0" w:top="1224" w:footer="720" w:bottom="12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Segoe UI">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Consola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COM — Channel Operating Margin (Python)</w:t>
      <w:tab/>
      <w:tab/>
    </w:r>
    <w:r>
      <w:rPr/>
      <w:fldChar w:fldCharType="begin"/>
    </w:r>
    <w:r>
      <w:rPr/>
      <w:instrText xml:space="preserve"> PAGE </w:instrText>
    </w:r>
    <w:r>
      <w:rPr/>
      <w:fldChar w:fldCharType="separate"/>
    </w:r>
    <w:r>
      <w:rPr/>
      <w:t>44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COM — Channel Operating Margin (Python)</w:t>
      <w:tab/>
      <w:tab/>
    </w:r>
    <w:r>
      <w:rPr/>
      <w:fldChar w:fldCharType="begin"/>
    </w:r>
    <w:r>
      <w:rPr/>
      <w:instrText xml:space="preserve"> PAGE </w:instrText>
    </w:r>
    <w:r>
      <w:rPr/>
      <w:fldChar w:fldCharType="separate"/>
    </w:r>
    <w:r>
      <w:rPr/>
      <w:t>44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1" w:before="0" w:after="140"/>
      <w:jc w:val="start"/>
    </w:pPr>
    <w:rPr>
      <w:rFonts w:ascii="Segoe UI" w:hAnsi="Segoe UI" w:eastAsia="ＭＳ 明朝" w:cs=""/>
      <w:color w:val="13232C"/>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40" w:after="160"/>
      <w:outlineLvl w:val="0"/>
    </w:pPr>
    <w:rPr>
      <w:rFonts w:ascii="Calibri" w:hAnsi="Calibri" w:eastAsia="" w:cs="" w:asciiTheme="majorHAnsi" w:cstheme="majorBidi" w:eastAsiaTheme="majorEastAsia" w:hAnsiTheme="majorHAnsi"/>
      <w:b/>
      <w:bCs/>
      <w:color w:val="0A6E94"/>
      <w:sz w:val="38"/>
      <w:szCs w:val="28"/>
    </w:rPr>
  </w:style>
  <w:style w:type="paragraph" w:styleId="Heading2">
    <w:name w:val="heading 2"/>
    <w:basedOn w:val="Normal"/>
    <w:next w:val="Normal"/>
    <w:link w:val="Heading2Char"/>
    <w:uiPriority w:val="9"/>
    <w:unhideWhenUsed/>
    <w:qFormat/>
    <w:rsid w:val="00fc693f"/>
    <w:pPr>
      <w:keepNext w:val="true"/>
      <w:keepLines/>
      <w:spacing w:before="300" w:after="120"/>
      <w:outlineLvl w:val="1"/>
    </w:pPr>
    <w:rPr>
      <w:rFonts w:ascii="Calibri" w:hAnsi="Calibri" w:eastAsia="" w:cs="" w:asciiTheme="majorHAnsi" w:cstheme="majorBidi" w:eastAsiaTheme="majorEastAsia" w:hAnsiTheme="majorHAnsi"/>
      <w:b/>
      <w:bCs/>
      <w:color w:val="0A6E94"/>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3232C"/>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40"/>
      <w:ind w:hanging="360" w:start="720"/>
      <w:contextualSpacing/>
    </w:pPr>
    <w:rPr/>
  </w:style>
  <w:style w:type="paragraph" w:styleId="List3">
    <w:name w:val="List 3"/>
    <w:basedOn w:val="Normal"/>
    <w:uiPriority w:val="99"/>
    <w:unhideWhenUsed/>
    <w:qFormat/>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504" w:leader="dot"/>
      </w:tabs>
      <w:ind w:hanging="0" w:start="0"/>
    </w:pPr>
    <w:rPr/>
  </w:style>
  <w:style w:type="paragraph" w:styleId="TOC2">
    <w:name w:val="toc 2"/>
    <w:basedOn w:val="Index"/>
    <w:pPr>
      <w:tabs>
        <w:tab w:val="clear" w:pos="720"/>
        <w:tab w:val="right" w:pos="9221"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LibreOffice/26.2.5.2$Windows_X86_64 LibreOffice_project/cd7284b4cbbfeb507e630c1aac019f4157393acb</Application>
  <AppVersion>15.0000</AppVersion>
  <Pages>44</Pages>
  <Words>7981</Words>
  <Characters>46401</Characters>
  <CharactersWithSpaces>53544</CharactersWithSpaces>
  <Paragraphs>1643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2026-08-18T21:35:25Z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