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80"/>
        <w:rPr/>
      </w:pPr>
      <w:r>
        <w:rPr/>
      </w:r>
    </w:p>
    <w:p>
      <w:pPr>
        <w:pStyle w:val="Normal"/>
        <w:spacing w:before="0" w:after="40"/>
        <w:jc w:val="center"/>
        <w:rPr/>
      </w:pPr>
      <w:r>
        <w:rPr>
          <w:rFonts w:ascii="Georgia" w:hAnsi="Georgia"/>
          <w:b/>
          <w:i w:val="false"/>
          <w:color w:val="0A6E94"/>
          <w:sz w:val="92"/>
        </w:rPr>
        <w:t>SiCoPR</w:t>
      </w:r>
    </w:p>
    <w:p>
      <w:pPr>
        <w:pStyle w:val="Normal"/>
        <w:spacing w:before="0" w:after="520"/>
        <w:jc w:val="center"/>
        <w:rPr/>
      </w:pPr>
      <w:r>
        <w:rPr>
          <w:rFonts w:ascii="Georgia" w:hAnsi="Georgia"/>
          <w:b w:val="false"/>
          <w:i w:val="false"/>
          <w:color w:val="13232C"/>
          <w:sz w:val="34"/>
        </w:rPr>
        <w:t>(pronounced si-copper)  ·  Si (Signal Integrity), Co (COM), P (Python), and R</w:t>
      </w:r>
    </w:p>
    <w:p>
      <w:pPr>
        <w:pStyle w:val="Normal"/>
        <w:spacing w:before="0" w:after="1080"/>
        <w:jc w:val="center"/>
        <w:rPr/>
      </w:pPr>
      <w:r>
        <w:rPr>
          <w:b w:val="false"/>
          <w:i/>
          <w:color w:val="5A6B74"/>
          <w:sz w:val="26"/>
        </w:rPr>
        <w:t>Channel Operating Margin in Python — a complete tutorial and reference</w:t>
      </w:r>
    </w:p>
    <w:p>
      <w:pPr>
        <w:pStyle w:val="Normal"/>
        <w:spacing w:before="0" w:after="1800"/>
        <w:jc w:val="center"/>
        <w:rPr/>
      </w:pPr>
      <w:r>
        <w:rPr>
          <w:b w:val="false"/>
          <w:i w:val="false"/>
          <w:color w:val="5A6B74"/>
          <w:sz w:val="22"/>
        </w:rPr>
        <w:t>A Python port of the IEEE 802.3ck/dj COM (Channel Operating Margin) MATLAB reference tool with R programming extensions for reports and visualizations. Covering the COM engine, its configuration surface, the equalizer-search study layer, and the R reporting tools.</w:t>
      </w:r>
    </w:p>
    <w:p>
      <w:pPr>
        <w:pStyle w:val="Normal"/>
        <w:spacing w:before="0" w:after="80"/>
        <w:jc w:val="center"/>
        <w:rPr/>
      </w:pPr>
      <w:r>
        <w:rPr>
          <w:rFonts w:ascii="Consolas" w:hAnsi="Consolas"/>
          <w:b w:val="false"/>
          <w:i w:val="false"/>
          <w:color w:val="5A6B74"/>
          <w:sz w:val="20"/>
        </w:rPr>
        <w:t>Version 1.2  ·  30 August 2026</w:t>
      </w:r>
    </w:p>
    <w:p>
      <w:pPr>
        <w:pStyle w:val="Normal"/>
        <w:spacing w:before="0" w:after="140"/>
        <w:jc w:val="center"/>
        <w:rPr/>
      </w:pPr>
      <w:r>
        <w:rPr>
          <w:rFonts w:ascii="Consolas" w:hAnsi="Consolas"/>
          <w:b w:val="false"/>
          <w:i w:val="false"/>
          <w:color w:val="5A6B74"/>
          <w:sz w:val="20"/>
        </w:rPr>
        <w:t>IEEE 802.3ck / 802.3dj  ·  port of com_ieee8023_4p15p0.m, with 4p16p0 supported behind a version switch</w:t>
      </w:r>
    </w:p>
    <w:p>
      <w:pPr>
        <w:pStyle w:val="Normal"/>
        <w:rPr/>
      </w:pPr>
      <w:r>
        <w:rPr/>
      </w:r>
      <w:r>
        <w:br w:type="page"/>
      </w:r>
    </w:p>
    <w:p>
      <w:pPr>
        <w:pStyle w:val="Heading1"/>
        <w:spacing w:before="0" w:after="160"/>
        <w:rPr/>
      </w:pPr>
      <w:bookmarkStart w:id="0" w:name="__RefHeading___Toc10380_518488682"/>
      <w:bookmarkEnd w:id="0"/>
      <w:r>
        <w:rPr/>
        <w:t>Contents</w:t>
      </w:r>
    </w:p>
    <w:sdt>
      <w:sdtPr>
        <w:docPartObj>
          <w:docPartGallery w:val="Table of Contents"/>
          <w:docPartUnique w:val="true"/>
        </w:docPartObj>
      </w:sdtPr>
      <w:sdtContent>
        <w:p>
          <w:pPr>
            <w:pStyle w:val="TOC1"/>
            <w:tabs>
              <w:tab w:val="clear" w:pos="9504"/>
              <w:tab w:val="right" w:pos="9503" w:leader="dot"/>
            </w:tabs>
            <w:rPr/>
          </w:pPr>
          <w:r>
            <w:fldChar w:fldCharType="begin"/>
          </w:r>
          <w:r>
            <w:rPr>
              <w:rStyle w:val="IndexLink"/>
              <w:webHidden/>
            </w:rPr>
            <w:instrText xml:space="preserve"> TOC \z \o "1-2" \u \h</w:instrText>
          </w:r>
          <w:r>
            <w:rPr>
              <w:rStyle w:val="IndexLink"/>
              <w:webHidden/>
            </w:rPr>
            <w:fldChar w:fldCharType="separate"/>
          </w:r>
          <w:hyperlink w:anchor="__RefHeading___Toc10380_518488682" w:tooltip="Contents">
            <w:r>
              <w:rPr>
                <w:rStyle w:val="IndexLink"/>
                <w:webHidden/>
              </w:rPr>
              <w:t>Contents</w:t>
              <w:tab/>
              <w:t>2</w:t>
            </w:r>
          </w:hyperlink>
        </w:p>
        <w:p>
          <w:pPr>
            <w:pStyle w:val="TOC1"/>
            <w:tabs>
              <w:tab w:val="clear" w:pos="9504"/>
              <w:tab w:val="right" w:pos="9503" w:leader="dot"/>
            </w:tabs>
            <w:rPr/>
          </w:pPr>
          <w:hyperlink w:anchor="__RefHeading___Toc10382_518488682" w:tooltip="1 Introduction">
            <w:r>
              <w:rPr>
                <w:rStyle w:val="IndexLink"/>
                <w:webHidden/>
              </w:rPr>
              <w:t>1 Introduction</w:t>
              <w:tab/>
              <w:t>6</w:t>
            </w:r>
          </w:hyperlink>
        </w:p>
        <w:p>
          <w:pPr>
            <w:pStyle w:val="TOC2"/>
            <w:tabs>
              <w:tab w:val="clear" w:pos="9221"/>
              <w:tab w:val="right" w:pos="9503" w:leader="dot"/>
            </w:tabs>
            <w:rPr/>
          </w:pPr>
          <w:hyperlink w:anchor="__RefHeading___Toc10384_518488682" w:tooltip="1.1 What this is">
            <w:r>
              <w:rPr>
                <w:rStyle w:val="IndexLink"/>
                <w:webHidden/>
              </w:rPr>
              <w:t>1.1 What this is</w:t>
              <w:tab/>
              <w:t>6</w:t>
            </w:r>
          </w:hyperlink>
        </w:p>
        <w:p>
          <w:pPr>
            <w:pStyle w:val="TOC2"/>
            <w:tabs>
              <w:tab w:val="clear" w:pos="9221"/>
              <w:tab w:val="right" w:pos="9503" w:leader="dot"/>
            </w:tabs>
            <w:rPr/>
          </w:pPr>
          <w:hyperlink w:anchor="__RefHeading___Toc10386_518488682" w:tooltip="1.2 What it adds beyond the MATLAB tool">
            <w:r>
              <w:rPr>
                <w:rStyle w:val="IndexLink"/>
                <w:webHidden/>
              </w:rPr>
              <w:t>1.2 What it adds beyond the MATLAB tool</w:t>
              <w:tab/>
              <w:t>6</w:t>
            </w:r>
          </w:hyperlink>
        </w:p>
        <w:p>
          <w:pPr>
            <w:pStyle w:val="TOC2"/>
            <w:tabs>
              <w:tab w:val="clear" w:pos="9221"/>
              <w:tab w:val="right" w:pos="9503" w:leader="dot"/>
            </w:tabs>
            <w:rPr/>
          </w:pPr>
          <w:hyperlink w:anchor="__RefHeading___Toc10388_518488682" w:tooltip="1.3 How to read this document">
            <w:r>
              <w:rPr>
                <w:rStyle w:val="IndexLink"/>
                <w:webHidden/>
              </w:rPr>
              <w:t>1.3 How to read this document</w:t>
              <w:tab/>
              <w:t>6</w:t>
            </w:r>
          </w:hyperlink>
        </w:p>
        <w:p>
          <w:pPr>
            <w:pStyle w:val="TOC1"/>
            <w:tabs>
              <w:tab w:val="clear" w:pos="9504"/>
              <w:tab w:val="right" w:pos="9503" w:leader="dot"/>
            </w:tabs>
            <w:rPr/>
          </w:pPr>
          <w:hyperlink w:anchor="__RefHeading___Toc10390_518488682" w:tooltip="2 Installation and first run">
            <w:r>
              <w:rPr>
                <w:rStyle w:val="IndexLink"/>
                <w:webHidden/>
              </w:rPr>
              <w:t>2 Installation and first run</w:t>
              <w:tab/>
              <w:t>8</w:t>
            </w:r>
          </w:hyperlink>
        </w:p>
        <w:p>
          <w:pPr>
            <w:pStyle w:val="TOC2"/>
            <w:tabs>
              <w:tab w:val="clear" w:pos="9221"/>
              <w:tab w:val="right" w:pos="9503" w:leader="dot"/>
            </w:tabs>
            <w:rPr/>
          </w:pPr>
          <w:hyperlink w:anchor="__RefHeading___Toc10392_518488682" w:tooltip="2.1 Requirements">
            <w:r>
              <w:rPr>
                <w:rStyle w:val="IndexLink"/>
                <w:webHidden/>
              </w:rPr>
              <w:t>2.1 Requirements</w:t>
              <w:tab/>
              <w:t>8</w:t>
            </w:r>
          </w:hyperlink>
        </w:p>
        <w:p>
          <w:pPr>
            <w:pStyle w:val="TOC2"/>
            <w:tabs>
              <w:tab w:val="clear" w:pos="9221"/>
              <w:tab w:val="right" w:pos="9503" w:leader="dot"/>
            </w:tabs>
            <w:rPr/>
          </w:pPr>
          <w:hyperlink w:anchor="__RefHeading___Toc10394_518488682" w:tooltip="2.2 What ships, and what does not">
            <w:r>
              <w:rPr>
                <w:rStyle w:val="IndexLink"/>
                <w:webHidden/>
              </w:rPr>
              <w:t>2.2 What ships, and what does not</w:t>
              <w:tab/>
              <w:t>8</w:t>
            </w:r>
          </w:hyperlink>
        </w:p>
        <w:p>
          <w:pPr>
            <w:pStyle w:val="TOC2"/>
            <w:tabs>
              <w:tab w:val="clear" w:pos="9221"/>
              <w:tab w:val="right" w:pos="9503" w:leader="dot"/>
            </w:tabs>
            <w:rPr/>
          </w:pPr>
          <w:hyperlink w:anchor="__RefHeading___Toc10396_518488682" w:tooltip="2.3 Running COM">
            <w:r>
              <w:rPr>
                <w:rStyle w:val="IndexLink"/>
                <w:webHidden/>
              </w:rPr>
              <w:t>2.3 Running COM</w:t>
              <w:tab/>
              <w:t>8</w:t>
            </w:r>
          </w:hyperlink>
        </w:p>
        <w:p>
          <w:pPr>
            <w:pStyle w:val="TOC2"/>
            <w:tabs>
              <w:tab w:val="clear" w:pos="9221"/>
              <w:tab w:val="right" w:pos="9503" w:leader="dot"/>
            </w:tabs>
            <w:rPr/>
          </w:pPr>
          <w:hyperlink w:anchor="__RefHeading___Toc10398_518488682" w:tooltip="2.4 Where output goes">
            <w:r>
              <w:rPr>
                <w:rStyle w:val="IndexLink"/>
                <w:webHidden/>
              </w:rPr>
              <w:t>2.4 Where output goes</w:t>
              <w:tab/>
              <w:t>10</w:t>
            </w:r>
          </w:hyperlink>
        </w:p>
        <w:p>
          <w:pPr>
            <w:pStyle w:val="TOC1"/>
            <w:tabs>
              <w:tab w:val="clear" w:pos="9504"/>
              <w:tab w:val="right" w:pos="9503" w:leader="dot"/>
            </w:tabs>
            <w:rPr/>
          </w:pPr>
          <w:hyperlink w:anchor="__RefHeading___Toc10400_518488682" w:tooltip="3 Architecture">
            <w:r>
              <w:rPr>
                <w:rStyle w:val="IndexLink"/>
                <w:webHidden/>
              </w:rPr>
              <w:t>3 Architecture</w:t>
              <w:tab/>
              <w:t>11</w:t>
            </w:r>
          </w:hyperlink>
        </w:p>
        <w:p>
          <w:pPr>
            <w:pStyle w:val="TOC2"/>
            <w:tabs>
              <w:tab w:val="clear" w:pos="9221"/>
              <w:tab w:val="right" w:pos="9503" w:leader="dot"/>
            </w:tabs>
            <w:rPr/>
          </w:pPr>
          <w:hyperlink w:anchor="__RefHeading___Toc10402_518488682" w:tooltip="3.1 The assembly model">
            <w:r>
              <w:rPr>
                <w:rStyle w:val="IndexLink"/>
                <w:webHidden/>
              </w:rPr>
              <w:t>3.1 The assembly model</w:t>
              <w:tab/>
              <w:t>11</w:t>
            </w:r>
          </w:hyperlink>
        </w:p>
        <w:p>
          <w:pPr>
            <w:pStyle w:val="TOC2"/>
            <w:tabs>
              <w:tab w:val="clear" w:pos="9221"/>
              <w:tab w:val="right" w:pos="9503" w:leader="dot"/>
            </w:tabs>
            <w:rPr/>
          </w:pPr>
          <w:hyperlink w:anchor="__RefHeading___Toc10404_518488682" w:tooltip="3.2 Dependency injection">
            <w:r>
              <w:rPr>
                <w:rStyle w:val="IndexLink"/>
                <w:webHidden/>
              </w:rPr>
              <w:t>3.2 Dependency injection</w:t>
              <w:tab/>
              <w:t>11</w:t>
            </w:r>
          </w:hyperlink>
        </w:p>
        <w:p>
          <w:pPr>
            <w:pStyle w:val="TOC2"/>
            <w:tabs>
              <w:tab w:val="clear" w:pos="9221"/>
              <w:tab w:val="right" w:pos="9503" w:leader="dot"/>
            </w:tabs>
            <w:rPr/>
          </w:pPr>
          <w:hyperlink w:anchor="__RefHeading___Toc10406_518488682" w:tooltip="3.3 Search instrumentation">
            <w:r>
              <w:rPr>
                <w:rStyle w:val="IndexLink"/>
                <w:webHidden/>
              </w:rPr>
              <w:t>3.3 Search instrumentation</w:t>
              <w:tab/>
              <w:t>11</w:t>
            </w:r>
          </w:hyperlink>
        </w:p>
        <w:p>
          <w:pPr>
            <w:pStyle w:val="TOC2"/>
            <w:tabs>
              <w:tab w:val="clear" w:pos="9221"/>
              <w:tab w:val="right" w:pos="9503" w:leader="dot"/>
            </w:tabs>
            <w:rPr/>
          </w:pPr>
          <w:hyperlink w:anchor="__RefHeading___Toc10408_518488682" w:tooltip="3.4 Modules that sit beside the engine">
            <w:r>
              <w:rPr>
                <w:rStyle w:val="IndexLink"/>
                <w:webHidden/>
              </w:rPr>
              <w:t>3.4 Modules that sit beside the engine</w:t>
              <w:tab/>
              <w:t>12</w:t>
            </w:r>
          </w:hyperlink>
        </w:p>
        <w:p>
          <w:pPr>
            <w:pStyle w:val="TOC2"/>
            <w:tabs>
              <w:tab w:val="clear" w:pos="9221"/>
              <w:tab w:val="right" w:pos="9503" w:leader="dot"/>
            </w:tabs>
            <w:rPr/>
          </w:pPr>
          <w:hyperlink w:anchor="__RefHeading___Toc10410_518488682" w:tooltip="3.5 Repository layout">
            <w:r>
              <w:rPr>
                <w:rStyle w:val="IndexLink"/>
                <w:webHidden/>
              </w:rPr>
              <w:t>3.5 Repository layout</w:t>
              <w:tab/>
              <w:t>12</w:t>
            </w:r>
          </w:hyperlink>
        </w:p>
        <w:p>
          <w:pPr>
            <w:pStyle w:val="TOC1"/>
            <w:tabs>
              <w:tab w:val="clear" w:pos="9504"/>
              <w:tab w:val="right" w:pos="9503" w:leader="dot"/>
            </w:tabs>
            <w:rPr/>
          </w:pPr>
          <w:hyperlink w:anchor="__RefHeading___Toc10412_518488682" w:tooltip="4 Inputs">
            <w:r>
              <w:rPr>
                <w:rStyle w:val="IndexLink"/>
                <w:webHidden/>
              </w:rPr>
              <w:t>4 Inputs</w:t>
              <w:tab/>
              <w:t>13</w:t>
            </w:r>
          </w:hyperlink>
        </w:p>
        <w:p>
          <w:pPr>
            <w:pStyle w:val="TOC2"/>
            <w:tabs>
              <w:tab w:val="clear" w:pos="9221"/>
              <w:tab w:val="right" w:pos="9503" w:leader="dot"/>
            </w:tabs>
            <w:rPr/>
          </w:pPr>
          <w:hyperlink w:anchor="__RefHeading___Toc10414_518488682" w:tooltip="4.1 The configuration spreadsheet">
            <w:r>
              <w:rPr>
                <w:rStyle w:val="IndexLink"/>
                <w:webHidden/>
              </w:rPr>
              <w:t>4.1 The configuration spreadsheet</w:t>
              <w:tab/>
              <w:t>13</w:t>
            </w:r>
          </w:hyperlink>
        </w:p>
        <w:p>
          <w:pPr>
            <w:pStyle w:val="TOC2"/>
            <w:tabs>
              <w:tab w:val="clear" w:pos="9221"/>
              <w:tab w:val="right" w:pos="9503" w:leader="dot"/>
            </w:tabs>
            <w:rPr/>
          </w:pPr>
          <w:hyperlink w:anchor="__RefHeading___Toc10416_518488682" w:tooltip="4.2 S-parameter files">
            <w:r>
              <w:rPr>
                <w:rStyle w:val="IndexLink"/>
                <w:webHidden/>
              </w:rPr>
              <w:t>4.2 S-parameter files</w:t>
              <w:tab/>
              <w:t>13</w:t>
            </w:r>
          </w:hyperlink>
        </w:p>
        <w:p>
          <w:pPr>
            <w:pStyle w:val="TOC2"/>
            <w:tabs>
              <w:tab w:val="clear" w:pos="9221"/>
              <w:tab w:val="right" w:pos="9503" w:leader="dot"/>
            </w:tabs>
            <w:rPr/>
          </w:pPr>
          <w:hyperlink w:anchor="__RefHeading___Toc10418_518488682" w:tooltip="4.3 Package cases">
            <w:r>
              <w:rPr>
                <w:rStyle w:val="IndexLink"/>
                <w:webHidden/>
              </w:rPr>
              <w:t>4.3 Package cases</w:t>
              <w:tab/>
              <w:t>14</w:t>
            </w:r>
          </w:hyperlink>
        </w:p>
        <w:p>
          <w:pPr>
            <w:pStyle w:val="TOC1"/>
            <w:tabs>
              <w:tab w:val="clear" w:pos="9504"/>
              <w:tab w:val="right" w:pos="9503" w:leader="dot"/>
            </w:tabs>
            <w:rPr/>
          </w:pPr>
          <w:hyperlink w:anchor="__RefHeading___Toc10420_518488682" w:tooltip="5 Configuration: the parameters that matter">
            <w:r>
              <w:rPr>
                <w:rStyle w:val="IndexLink"/>
                <w:webHidden/>
              </w:rPr>
              <w:t>5 Configuration: the parameters that matter</w:t>
              <w:tab/>
              <w:t>15</w:t>
            </w:r>
          </w:hyperlink>
        </w:p>
        <w:p>
          <w:pPr>
            <w:pStyle w:val="TOC2"/>
            <w:tabs>
              <w:tab w:val="clear" w:pos="9221"/>
              <w:tab w:val="right" w:pos="9503" w:leader="dot"/>
            </w:tabs>
            <w:rPr/>
          </w:pPr>
          <w:hyperlink w:anchor="__RefHeading___Toc10422_518488682" w:tooltip="5.1 Signalling and test limits">
            <w:r>
              <w:rPr>
                <w:rStyle w:val="IndexLink"/>
                <w:webHidden/>
              </w:rPr>
              <w:t>5.1 Signalling and test limits</w:t>
              <w:tab/>
              <w:t>15</w:t>
            </w:r>
          </w:hyperlink>
        </w:p>
        <w:p>
          <w:pPr>
            <w:pStyle w:val="TOC2"/>
            <w:tabs>
              <w:tab w:val="clear" w:pos="9221"/>
              <w:tab w:val="right" w:pos="9503" w:leader="dot"/>
            </w:tabs>
            <w:rPr/>
          </w:pPr>
          <w:hyperlink w:anchor="__RefHeading___Toc10424_518488682" w:tooltip="5.2 Equalizer sweeps">
            <w:r>
              <w:rPr>
                <w:rStyle w:val="IndexLink"/>
                <w:webHidden/>
              </w:rPr>
              <w:t>5.2 Equalizer sweeps</w:t>
              <w:tab/>
              <w:t>15</w:t>
            </w:r>
          </w:hyperlink>
        </w:p>
        <w:p>
          <w:pPr>
            <w:pStyle w:val="TOC2"/>
            <w:tabs>
              <w:tab w:val="clear" w:pos="9221"/>
              <w:tab w:val="right" w:pos="9503" w:leader="dot"/>
            </w:tabs>
            <w:rPr/>
          </w:pPr>
          <w:hyperlink w:anchor="__RefHeading___Toc10426_518488682" w:tooltip="5.3 Noise, jitter and crosstalk">
            <w:r>
              <w:rPr>
                <w:rStyle w:val="IndexLink"/>
                <w:webHidden/>
              </w:rPr>
              <w:t>5.3 Noise, jitter and crosstalk</w:t>
              <w:tab/>
              <w:t>15</w:t>
            </w:r>
          </w:hyperlink>
        </w:p>
        <w:p>
          <w:pPr>
            <w:pStyle w:val="TOC2"/>
            <w:tabs>
              <w:tab w:val="clear" w:pos="9221"/>
              <w:tab w:val="right" w:pos="9503" w:leader="dot"/>
            </w:tabs>
            <w:rPr/>
          </w:pPr>
          <w:hyperlink w:anchor="__RefHeading___Toc10428_518488682" w:tooltip="5.4 Package, die and termination">
            <w:r>
              <w:rPr>
                <w:rStyle w:val="IndexLink"/>
                <w:webHidden/>
              </w:rPr>
              <w:t>5.4 Package, die and termination</w:t>
              <w:tab/>
              <w:t>16</w:t>
            </w:r>
          </w:hyperlink>
        </w:p>
        <w:p>
          <w:pPr>
            <w:pStyle w:val="TOC2"/>
            <w:tabs>
              <w:tab w:val="clear" w:pos="9221"/>
              <w:tab w:val="right" w:pos="9503" w:leader="dot"/>
            </w:tabs>
            <w:rPr/>
          </w:pPr>
          <w:hyperlink w:anchor="__RefHeading___Toc10430_518488682" w:tooltip="5.5 Output flags">
            <w:r>
              <w:rPr>
                <w:rStyle w:val="IndexLink"/>
                <w:webHidden/>
              </w:rPr>
              <w:t>5.5 Output flags</w:t>
              <w:tab/>
              <w:t>16</w:t>
            </w:r>
          </w:hyperlink>
        </w:p>
        <w:p>
          <w:pPr>
            <w:pStyle w:val="TOC1"/>
            <w:tabs>
              <w:tab w:val="clear" w:pos="9504"/>
              <w:tab w:val="right" w:pos="9503" w:leader="dot"/>
            </w:tabs>
            <w:rPr/>
          </w:pPr>
          <w:hyperlink w:anchor="__RefHeading___Toc10432_518488682" w:tooltip="6 Feature reference">
            <w:r>
              <w:rPr>
                <w:rStyle w:val="IndexLink"/>
                <w:webHidden/>
              </w:rPr>
              <w:t>6 Feature reference</w:t>
              <w:tab/>
              <w:t>17</w:t>
            </w:r>
          </w:hyperlink>
        </w:p>
        <w:p>
          <w:pPr>
            <w:pStyle w:val="TOC2"/>
            <w:tabs>
              <w:tab w:val="clear" w:pos="9221"/>
              <w:tab w:val="right" w:pos="9503" w:leader="dot"/>
            </w:tabs>
            <w:rPr/>
          </w:pPr>
          <w:hyperlink w:anchor="__RefHeading___Toc10434_518488682" w:tooltip="6.1 Transmit FFE">
            <w:r>
              <w:rPr>
                <w:rStyle w:val="IndexLink"/>
                <w:webHidden/>
              </w:rPr>
              <w:t>6.1 Transmit FFE</w:t>
              <w:tab/>
              <w:t>17</w:t>
            </w:r>
          </w:hyperlink>
        </w:p>
        <w:p>
          <w:pPr>
            <w:pStyle w:val="TOC2"/>
            <w:tabs>
              <w:tab w:val="clear" w:pos="9221"/>
              <w:tab w:val="right" w:pos="9503" w:leader="dot"/>
            </w:tabs>
            <w:rPr/>
          </w:pPr>
          <w:hyperlink w:anchor="__RefHeading___Toc10436_518488682" w:tooltip="6.2 CTLE">
            <w:r>
              <w:rPr>
                <w:rStyle w:val="IndexLink"/>
                <w:webHidden/>
              </w:rPr>
              <w:t>6.2 CTLE</w:t>
              <w:tab/>
              <w:t>17</w:t>
            </w:r>
          </w:hyperlink>
        </w:p>
        <w:p>
          <w:pPr>
            <w:pStyle w:val="TOC2"/>
            <w:tabs>
              <w:tab w:val="clear" w:pos="9221"/>
              <w:tab w:val="right" w:pos="9503" w:leader="dot"/>
            </w:tabs>
            <w:rPr/>
          </w:pPr>
          <w:hyperlink w:anchor="__RefHeading___Toc10438_518488682" w:tooltip="6.3 Decision feedback equalization">
            <w:r>
              <w:rPr>
                <w:rStyle w:val="IndexLink"/>
                <w:webHidden/>
              </w:rPr>
              <w:t>6.3 Decision feedback equalization</w:t>
              <w:tab/>
              <w:t>17</w:t>
            </w:r>
          </w:hyperlink>
        </w:p>
        <w:p>
          <w:pPr>
            <w:pStyle w:val="TOC2"/>
            <w:tabs>
              <w:tab w:val="clear" w:pos="9221"/>
              <w:tab w:val="right" w:pos="9503" w:leader="dot"/>
            </w:tabs>
            <w:rPr/>
          </w:pPr>
          <w:hyperlink w:anchor="__RefHeading___Toc10440_518488682" w:tooltip="6.4 Receive FFE (MMSE)">
            <w:r>
              <w:rPr>
                <w:rStyle w:val="IndexLink"/>
                <w:webHidden/>
              </w:rPr>
              <w:t>6.4 Receive FFE (MMSE)</w:t>
              <w:tab/>
              <w:t>17</w:t>
            </w:r>
          </w:hyperlink>
        </w:p>
        <w:p>
          <w:pPr>
            <w:pStyle w:val="TOC2"/>
            <w:tabs>
              <w:tab w:val="clear" w:pos="9221"/>
              <w:tab w:val="right" w:pos="9503" w:leader="dot"/>
            </w:tabs>
            <w:rPr/>
          </w:pPr>
          <w:hyperlink w:anchor="__RefHeading___Toc10442_518488682" w:tooltip="6.5 MLSE">
            <w:r>
              <w:rPr>
                <w:rStyle w:val="IndexLink"/>
                <w:webHidden/>
              </w:rPr>
              <w:t>6.5 MLSE</w:t>
              <w:tab/>
              <w:t>18</w:t>
            </w:r>
          </w:hyperlink>
        </w:p>
        <w:p>
          <w:pPr>
            <w:pStyle w:val="TOC2"/>
            <w:tabs>
              <w:tab w:val="clear" w:pos="9221"/>
              <w:tab w:val="right" w:pos="9503" w:leader="dot"/>
            </w:tabs>
            <w:rPr/>
          </w:pPr>
          <w:hyperlink w:anchor="__RefHeading___Toc10444_518488682" w:tooltip="6.6 Crosstalk">
            <w:r>
              <w:rPr>
                <w:rStyle w:val="IndexLink"/>
                <w:webHidden/>
              </w:rPr>
              <w:t>6.6 Crosstalk</w:t>
              <w:tab/>
              <w:t>18</w:t>
            </w:r>
          </w:hyperlink>
        </w:p>
        <w:p>
          <w:pPr>
            <w:pStyle w:val="TOC2"/>
            <w:tabs>
              <w:tab w:val="clear" w:pos="9221"/>
              <w:tab w:val="right" w:pos="9503" w:leader="dot"/>
            </w:tabs>
            <w:rPr/>
          </w:pPr>
          <w:hyperlink w:anchor="__RefHeading___Toc10446_518488682" w:tooltip="6.7 ERL and TDR">
            <w:r>
              <w:rPr>
                <w:rStyle w:val="IndexLink"/>
                <w:webHidden/>
              </w:rPr>
              <w:t>6.7 ERL and TDR</w:t>
              <w:tab/>
              <w:t>18</w:t>
            </w:r>
          </w:hyperlink>
        </w:p>
        <w:p>
          <w:pPr>
            <w:pStyle w:val="TOC2"/>
            <w:tabs>
              <w:tab w:val="clear" w:pos="9221"/>
              <w:tab w:val="right" w:pos="9503" w:leader="dot"/>
            </w:tabs>
            <w:rPr/>
          </w:pPr>
          <w:hyperlink w:anchor="__RefHeading___Toc10448_518488682" w:tooltip="6.8 Frequency-domain metrics">
            <w:r>
              <w:rPr>
                <w:rStyle w:val="IndexLink"/>
                <w:webHidden/>
              </w:rPr>
              <w:t>6.8 Frequency-domain metrics</w:t>
              <w:tab/>
              <w:t>18</w:t>
            </w:r>
          </w:hyperlink>
        </w:p>
        <w:p>
          <w:pPr>
            <w:pStyle w:val="TOC2"/>
            <w:tabs>
              <w:tab w:val="clear" w:pos="9221"/>
              <w:tab w:val="right" w:pos="9503" w:leader="dot"/>
            </w:tabs>
            <w:rPr/>
          </w:pPr>
          <w:hyperlink w:anchor="__RefHeading___Toc10450_518488682" w:tooltip="6.9 Receiver calibration">
            <w:r>
              <w:rPr>
                <w:rStyle w:val="IndexLink"/>
                <w:webHidden/>
              </w:rPr>
              <w:t>6.9 Receiver calibration</w:t>
              <w:tab/>
              <w:t>18</w:t>
            </w:r>
          </w:hyperlink>
        </w:p>
        <w:p>
          <w:pPr>
            <w:pStyle w:val="TOC2"/>
            <w:tabs>
              <w:tab w:val="clear" w:pos="9221"/>
              <w:tab w:val="right" w:pos="9503" w:leader="dot"/>
            </w:tabs>
            <w:rPr/>
          </w:pPr>
          <w:hyperlink w:anchor="__RefHeading___Toc10452_518488682" w:tooltip="6.10 C2M: VEO and VEC">
            <w:r>
              <w:rPr>
                <w:rStyle w:val="IndexLink"/>
                <w:webHidden/>
              </w:rPr>
              <w:t>6.10 C2M: VEO and VEC</w:t>
              <w:tab/>
              <w:t>18</w:t>
            </w:r>
          </w:hyperlink>
        </w:p>
        <w:p>
          <w:pPr>
            <w:pStyle w:val="TOC2"/>
            <w:tabs>
              <w:tab w:val="clear" w:pos="9221"/>
              <w:tab w:val="right" w:pos="9503" w:leader="dot"/>
            </w:tabs>
            <w:rPr/>
          </w:pPr>
          <w:hyperlink w:anchor="__RefHeading___Toc10454_518488682" w:tooltip="6.11 Error propagation">
            <w:r>
              <w:rPr>
                <w:rStyle w:val="IndexLink"/>
                <w:webHidden/>
              </w:rPr>
              <w:t>6.11 Error propagation</w:t>
              <w:tab/>
              <w:t>18</w:t>
            </w:r>
          </w:hyperlink>
        </w:p>
        <w:p>
          <w:pPr>
            <w:pStyle w:val="TOC1"/>
            <w:tabs>
              <w:tab w:val="clear" w:pos="9504"/>
              <w:tab w:val="right" w:pos="9503" w:leader="dot"/>
            </w:tabs>
            <w:rPr/>
          </w:pPr>
          <w:hyperlink w:anchor="__RefHeading___Toc10456_518488682" w:tooltip="7 Outputs">
            <w:r>
              <w:rPr>
                <w:rStyle w:val="IndexLink"/>
                <w:webHidden/>
              </w:rPr>
              <w:t>7 Outputs</w:t>
              <w:tab/>
              <w:t>19</w:t>
            </w:r>
          </w:hyperlink>
        </w:p>
        <w:p>
          <w:pPr>
            <w:pStyle w:val="TOC2"/>
            <w:tabs>
              <w:tab w:val="clear" w:pos="9221"/>
              <w:tab w:val="right" w:pos="9503" w:leader="dot"/>
            </w:tabs>
            <w:rPr/>
          </w:pPr>
          <w:hyperlink w:anchor="__RefHeading___Toc10458_518488682" w:tooltip="7.1 The result block">
            <w:r>
              <w:rPr>
                <w:rStyle w:val="IndexLink"/>
                <w:webHidden/>
              </w:rPr>
              <w:t>7.1 The result block</w:t>
              <w:tab/>
              <w:t>19</w:t>
            </w:r>
          </w:hyperlink>
        </w:p>
        <w:p>
          <w:pPr>
            <w:pStyle w:val="TOC2"/>
            <w:tabs>
              <w:tab w:val="clear" w:pos="9221"/>
              <w:tab w:val="right" w:pos="9503" w:leader="dot"/>
            </w:tabs>
            <w:rPr/>
          </w:pPr>
          <w:hyperlink w:anchor="__RefHeading___Toc10460_518488682" w:tooltip="7.2 results.csv">
            <w:r>
              <w:rPr>
                <w:rStyle w:val="IndexLink"/>
                <w:webHidden/>
              </w:rPr>
              <w:t>7.2 results.csv</w:t>
              <w:tab/>
              <w:t>19</w:t>
            </w:r>
          </w:hyperlink>
        </w:p>
        <w:p>
          <w:pPr>
            <w:pStyle w:val="TOC2"/>
            <w:tabs>
              <w:tab w:val="clear" w:pos="9221"/>
              <w:tab w:val="right" w:pos="9503" w:leader="dot"/>
            </w:tabs>
            <w:rPr/>
          </w:pPr>
          <w:hyperlink w:anchor="__RefHeading___Toc10462_518488682" w:tooltip="7.3 Figures">
            <w:r>
              <w:rPr>
                <w:rStyle w:val="IndexLink"/>
                <w:webHidden/>
              </w:rPr>
              <w:t>7.3 Figures</w:t>
              <w:tab/>
              <w:t>19</w:t>
            </w:r>
          </w:hyperlink>
        </w:p>
        <w:p>
          <w:pPr>
            <w:pStyle w:val="TOC2"/>
            <w:tabs>
              <w:tab w:val="clear" w:pos="9221"/>
              <w:tab w:val="right" w:pos="9503" w:leader="dot"/>
            </w:tabs>
            <w:rPr/>
          </w:pPr>
          <w:hyperlink w:anchor="__RefHeading___Toc10464_518488682" w:tooltip="7.4 Engineering .mat export">
            <w:r>
              <w:rPr>
                <w:rStyle w:val="IndexLink"/>
                <w:webHidden/>
              </w:rPr>
              <w:t>7.4 Engineering .mat export</w:t>
              <w:tab/>
              <w:t>23</w:t>
            </w:r>
          </w:hyperlink>
        </w:p>
        <w:p>
          <w:pPr>
            <w:pStyle w:val="TOC1"/>
            <w:tabs>
              <w:tab w:val="clear" w:pos="9504"/>
              <w:tab w:val="right" w:pos="9503" w:leader="dot"/>
            </w:tabs>
            <w:rPr/>
          </w:pPr>
          <w:hyperlink w:anchor="__RefHeading___Toc10466_518488682" w:tooltip="8 The equalizer-search study">
            <w:r>
              <w:rPr>
                <w:rStyle w:val="IndexLink"/>
                <w:webHidden/>
              </w:rPr>
              <w:t>8 The equalizer-search study</w:t>
              <w:tab/>
              <w:t>24</w:t>
            </w:r>
          </w:hyperlink>
        </w:p>
        <w:p>
          <w:pPr>
            <w:pStyle w:val="TOC2"/>
            <w:tabs>
              <w:tab w:val="clear" w:pos="9221"/>
              <w:tab w:val="right" w:pos="9503" w:leader="dot"/>
            </w:tabs>
            <w:rPr/>
          </w:pPr>
          <w:hyperlink w:anchor="__RefHeading___Toc10468_518488682" w:tooltip="8.1 Three search methods">
            <w:r>
              <w:rPr>
                <w:rStyle w:val="IndexLink"/>
                <w:webHidden/>
              </w:rPr>
              <w:t>8.1 Three search methods</w:t>
              <w:tab/>
              <w:t>24</w:t>
            </w:r>
          </w:hyperlink>
        </w:p>
        <w:p>
          <w:pPr>
            <w:pStyle w:val="TOC2"/>
            <w:tabs>
              <w:tab w:val="clear" w:pos="9221"/>
              <w:tab w:val="right" w:pos="9503" w:leader="dot"/>
            </w:tabs>
            <w:rPr/>
          </w:pPr>
          <w:hyperlink w:anchor="__RefHeading___Toc10470_518488682" w:tooltip="8.2 Why FOM is not the whole story">
            <w:r>
              <w:rPr>
                <w:rStyle w:val="IndexLink"/>
                <w:webHidden/>
              </w:rPr>
              <w:t>8.2 Why FOM is not the whole story</w:t>
              <w:tab/>
              <w:t>24</w:t>
            </w:r>
          </w:hyperlink>
        </w:p>
        <w:p>
          <w:pPr>
            <w:pStyle w:val="TOC2"/>
            <w:tabs>
              <w:tab w:val="clear" w:pos="9221"/>
              <w:tab w:val="right" w:pos="9503" w:leader="dot"/>
            </w:tabs>
            <w:rPr/>
          </w:pPr>
          <w:hyperlink w:anchor="__RefHeading___Toc10472_518488682" w:tooltip="8.3 Comparing methods on one channel">
            <w:r>
              <w:rPr>
                <w:rStyle w:val="IndexLink"/>
                <w:webHidden/>
              </w:rPr>
              <w:t>8.3 Comparing methods on one channel</w:t>
              <w:tab/>
              <w:t>24</w:t>
            </w:r>
          </w:hyperlink>
        </w:p>
        <w:p>
          <w:pPr>
            <w:pStyle w:val="TOC2"/>
            <w:tabs>
              <w:tab w:val="clear" w:pos="9221"/>
              <w:tab w:val="right" w:pos="9503" w:leader="dot"/>
            </w:tabs>
            <w:rPr/>
          </w:pPr>
          <w:hyperlink w:anchor="__RefHeading___Toc10474_518488682" w:tooltip="8.4 Recomputing true COM near the optimum">
            <w:r>
              <w:rPr>
                <w:rStyle w:val="IndexLink"/>
                <w:webHidden/>
              </w:rPr>
              <w:t>8.4 Recomputing true COM near the optimum</w:t>
              <w:tab/>
              <w:t>25</w:t>
            </w:r>
          </w:hyperlink>
        </w:p>
        <w:p>
          <w:pPr>
            <w:pStyle w:val="TOC2"/>
            <w:tabs>
              <w:tab w:val="clear" w:pos="9221"/>
              <w:tab w:val="right" w:pos="9503" w:leader="dot"/>
            </w:tabs>
            <w:rPr/>
          </w:pPr>
          <w:hyperlink w:anchor="__RefHeading___Toc10476_518488682" w:tooltip="8.5 Running a corpus">
            <w:r>
              <w:rPr>
                <w:rStyle w:val="IndexLink"/>
                <w:webHidden/>
              </w:rPr>
              <w:t>8.5 Running a corpus</w:t>
              <w:tab/>
              <w:t>25</w:t>
            </w:r>
          </w:hyperlink>
        </w:p>
        <w:p>
          <w:pPr>
            <w:pStyle w:val="TOC2"/>
            <w:tabs>
              <w:tab w:val="clear" w:pos="9221"/>
              <w:tab w:val="right" w:pos="9503" w:leader="dot"/>
            </w:tabs>
            <w:rPr/>
          </w:pPr>
          <w:hyperlink w:anchor="__RefHeading___Toc10478_518488682" w:tooltip="8.6 Results to date">
            <w:r>
              <w:rPr>
                <w:rStyle w:val="IndexLink"/>
                <w:webHidden/>
              </w:rPr>
              <w:t>8.6 Results to date</w:t>
              <w:tab/>
              <w:t>26</w:t>
            </w:r>
          </w:hyperlink>
        </w:p>
        <w:p>
          <w:pPr>
            <w:pStyle w:val="TOC2"/>
            <w:tabs>
              <w:tab w:val="clear" w:pos="9221"/>
              <w:tab w:val="right" w:pos="9503" w:leader="dot"/>
            </w:tabs>
            <w:rPr/>
          </w:pPr>
          <w:hyperlink w:anchor="__RefHeading___Toc10480_518488682" w:tooltip="8.7 Diagnosing history dependence">
            <w:r>
              <w:rPr>
                <w:rStyle w:val="IndexLink"/>
                <w:webHidden/>
              </w:rPr>
              <w:t>8.7 Diagnosing history dependence</w:t>
              <w:tab/>
              <w:t>27</w:t>
            </w:r>
          </w:hyperlink>
        </w:p>
        <w:p>
          <w:pPr>
            <w:pStyle w:val="TOC1"/>
            <w:tabs>
              <w:tab w:val="clear" w:pos="9504"/>
              <w:tab w:val="right" w:pos="9503" w:leader="dot"/>
            </w:tabs>
            <w:rPr/>
          </w:pPr>
          <w:hyperlink w:anchor="__RefHeading___Toc10482_518488682" w:tooltip="9 The R reporting layer">
            <w:r>
              <w:rPr>
                <w:rStyle w:val="IndexLink"/>
                <w:webHidden/>
              </w:rPr>
              <w:t>9 The R reporting layer</w:t>
              <w:tab/>
              <w:t>28</w:t>
            </w:r>
          </w:hyperlink>
        </w:p>
        <w:p>
          <w:pPr>
            <w:pStyle w:val="TOC2"/>
            <w:tabs>
              <w:tab w:val="clear" w:pos="9221"/>
              <w:tab w:val="right" w:pos="9503" w:leader="dot"/>
            </w:tabs>
            <w:rPr/>
          </w:pPr>
          <w:hyperlink w:anchor="__RefHeading___Toc10484_518488682" w:tooltip="9.1 Single-run engineering dashboard">
            <w:r>
              <w:rPr>
                <w:rStyle w:val="IndexLink"/>
                <w:webHidden/>
              </w:rPr>
              <w:t>9.1 Single-run engineering dashboard</w:t>
              <w:tab/>
              <w:t>28</w:t>
            </w:r>
          </w:hyperlink>
        </w:p>
        <w:p>
          <w:pPr>
            <w:pStyle w:val="TOC2"/>
            <w:tabs>
              <w:tab w:val="clear" w:pos="9221"/>
              <w:tab w:val="right" w:pos="9503" w:leader="dot"/>
            </w:tabs>
            <w:rPr/>
          </w:pPr>
          <w:hyperlink w:anchor="__RefHeading___Toc10486_518488682" w:tooltip="9.2 Single-channel search comparison">
            <w:r>
              <w:rPr>
                <w:rStyle w:val="IndexLink"/>
                <w:webHidden/>
              </w:rPr>
              <w:t>9.2 Single-channel search comparison</w:t>
              <w:tab/>
              <w:t>28</w:t>
            </w:r>
          </w:hyperlink>
        </w:p>
        <w:p>
          <w:pPr>
            <w:pStyle w:val="TOC2"/>
            <w:tabs>
              <w:tab w:val="clear" w:pos="9221"/>
              <w:tab w:val="right" w:pos="9503" w:leader="dot"/>
            </w:tabs>
            <w:rPr/>
          </w:pPr>
          <w:hyperlink w:anchor="__RefHeading___Toc10488_518488682" w:tooltip="9.3 Corpus report">
            <w:r>
              <w:rPr>
                <w:rStyle w:val="IndexLink"/>
                <w:webHidden/>
              </w:rPr>
              <w:t>9.3 Corpus report</w:t>
              <w:tab/>
              <w:t>29</w:t>
            </w:r>
          </w:hyperlink>
        </w:p>
        <w:p>
          <w:pPr>
            <w:pStyle w:val="TOC2"/>
            <w:tabs>
              <w:tab w:val="clear" w:pos="9221"/>
              <w:tab w:val="right" w:pos="9503" w:leader="dot"/>
            </w:tabs>
            <w:rPr/>
          </w:pPr>
          <w:hyperlink w:anchor="__RefHeading___Toc10490_518488682" w:tooltip="9.4 Building the review deck">
            <w:r>
              <w:rPr>
                <w:rStyle w:val="IndexLink"/>
                <w:webHidden/>
              </w:rPr>
              <w:t>9.4 Building the review deck</w:t>
              <w:tab/>
              <w:t>30</w:t>
            </w:r>
          </w:hyperlink>
        </w:p>
        <w:p>
          <w:pPr>
            <w:pStyle w:val="TOC1"/>
            <w:tabs>
              <w:tab w:val="clear" w:pos="9504"/>
              <w:tab w:val="right" w:pos="9503" w:leader="dot"/>
            </w:tabs>
            <w:rPr/>
          </w:pPr>
          <w:hyperlink w:anchor="__RefHeading___Toc10492_518488682" w:tooltip="10 Development workflow">
            <w:r>
              <w:rPr>
                <w:rStyle w:val="IndexLink"/>
                <w:webHidden/>
              </w:rPr>
              <w:t>10 Development workflow</w:t>
              <w:tab/>
              <w:t>31</w:t>
            </w:r>
          </w:hyperlink>
        </w:p>
        <w:p>
          <w:pPr>
            <w:pStyle w:val="TOC2"/>
            <w:tabs>
              <w:tab w:val="clear" w:pos="9221"/>
              <w:tab w:val="right" w:pos="9503" w:leader="dot"/>
            </w:tabs>
            <w:rPr/>
          </w:pPr>
          <w:hyperlink w:anchor="__RefHeading___Toc10494_518488682" w:tooltip="10.1 Changing behaviour">
            <w:r>
              <w:rPr>
                <w:rStyle w:val="IndexLink"/>
                <w:webHidden/>
              </w:rPr>
              <w:t>10.1 Changing behaviour</w:t>
              <w:tab/>
              <w:t>31</w:t>
            </w:r>
          </w:hyperlink>
        </w:p>
        <w:p>
          <w:pPr>
            <w:pStyle w:val="TOC2"/>
            <w:tabs>
              <w:tab w:val="clear" w:pos="9221"/>
              <w:tab w:val="right" w:pos="9503" w:leader="dot"/>
            </w:tabs>
            <w:rPr/>
          </w:pPr>
          <w:hyperlink w:anchor="__RefHeading___Toc10496_518488682" w:tooltip="10.2 The test suites">
            <w:r>
              <w:rPr>
                <w:rStyle w:val="IndexLink"/>
                <w:webHidden/>
              </w:rPr>
              <w:t>10.2 The test suites</w:t>
              <w:tab/>
              <w:t>31</w:t>
            </w:r>
          </w:hyperlink>
        </w:p>
        <w:p>
          <w:pPr>
            <w:pStyle w:val="TOC2"/>
            <w:tabs>
              <w:tab w:val="clear" w:pos="9221"/>
              <w:tab w:val="right" w:pos="9503" w:leader="dot"/>
            </w:tabs>
            <w:rPr/>
          </w:pPr>
          <w:hyperlink w:anchor="__RefHeading___Toc10498_518488682" w:tooltip="10.3 Conventions worth knowing">
            <w:r>
              <w:rPr>
                <w:rStyle w:val="IndexLink"/>
                <w:webHidden/>
              </w:rPr>
              <w:t>10.3 Conventions worth knowing</w:t>
              <w:tab/>
              <w:t>31</w:t>
            </w:r>
          </w:hyperlink>
        </w:p>
        <w:p>
          <w:pPr>
            <w:pStyle w:val="TOC1"/>
            <w:tabs>
              <w:tab w:val="clear" w:pos="9504"/>
              <w:tab w:val="right" w:pos="9503" w:leader="dot"/>
            </w:tabs>
            <w:rPr/>
          </w:pPr>
          <w:hyperlink w:anchor="__RefHeading___Toc10500_518488682" w:tooltip="11 Verification status and limitations">
            <w:r>
              <w:rPr>
                <w:rStyle w:val="IndexLink"/>
                <w:webHidden/>
              </w:rPr>
              <w:t>11 Verification status and limitations</w:t>
              <w:tab/>
              <w:t>32</w:t>
            </w:r>
          </w:hyperlink>
        </w:p>
        <w:p>
          <w:pPr>
            <w:pStyle w:val="TOC2"/>
            <w:tabs>
              <w:tab w:val="clear" w:pos="9221"/>
              <w:tab w:val="right" w:pos="9503" w:leader="dot"/>
            </w:tabs>
            <w:rPr/>
          </w:pPr>
          <w:hyperlink w:anchor="__RefHeading___Toc10502_518488682" w:tooltip="11.1 What has been verified">
            <w:r>
              <w:rPr>
                <w:rStyle w:val="IndexLink"/>
                <w:webHidden/>
              </w:rPr>
              <w:t>11.1 What has been verified</w:t>
              <w:tab/>
              <w:t>32</w:t>
            </w:r>
          </w:hyperlink>
        </w:p>
        <w:p>
          <w:pPr>
            <w:pStyle w:val="TOC2"/>
            <w:tabs>
              <w:tab w:val="clear" w:pos="9221"/>
              <w:tab w:val="right" w:pos="9503" w:leader="dot"/>
            </w:tabs>
            <w:rPr/>
          </w:pPr>
          <w:hyperlink w:anchor="__RefHeading___Toc10504_518488682" w:tooltip="11.2 Limitations">
            <w:r>
              <w:rPr>
                <w:rStyle w:val="IndexLink"/>
                <w:webHidden/>
              </w:rPr>
              <w:t>11.2 Limitations</w:t>
              <w:tab/>
              <w:t>32</w:t>
            </w:r>
          </w:hyperlink>
        </w:p>
        <w:p>
          <w:pPr>
            <w:pStyle w:val="TOC1"/>
            <w:tabs>
              <w:tab w:val="clear" w:pos="9504"/>
              <w:tab w:val="right" w:pos="9503" w:leader="dot"/>
            </w:tabs>
            <w:rPr/>
          </w:pPr>
          <w:hyperlink w:anchor="__RefHeading___Toc10506_518488682" w:tooltip="Appendix A COM concepts">
            <w:r>
              <w:rPr>
                <w:rStyle w:val="IndexLink"/>
                <w:webHidden/>
              </w:rPr>
              <w:t>Appendix A COM concepts</w:t>
              <w:tab/>
              <w:t>34</w:t>
            </w:r>
          </w:hyperlink>
        </w:p>
        <w:p>
          <w:pPr>
            <w:pStyle w:val="TOC2"/>
            <w:tabs>
              <w:tab w:val="clear" w:pos="9221"/>
              <w:tab w:val="right" w:pos="9503" w:leader="dot"/>
            </w:tabs>
            <w:rPr/>
          </w:pPr>
          <w:hyperlink w:anchor="__RefHeading___Toc10508_518488682" w:tooltip="A.1 What COM measures">
            <w:r>
              <w:rPr>
                <w:rStyle w:val="IndexLink"/>
                <w:webHidden/>
              </w:rPr>
              <w:t>A.1 What COM measures</w:t>
              <w:tab/>
              <w:t>34</w:t>
            </w:r>
          </w:hyperlink>
        </w:p>
        <w:p>
          <w:pPr>
            <w:pStyle w:val="TOC2"/>
            <w:tabs>
              <w:tab w:val="clear" w:pos="9221"/>
              <w:tab w:val="right" w:pos="9503" w:leader="dot"/>
            </w:tabs>
            <w:rPr/>
          </w:pPr>
          <w:hyperlink w:anchor="__RefHeading___Toc10510_518488682" w:tooltip="A.2 The equalizer chain">
            <w:r>
              <w:rPr>
                <w:rStyle w:val="IndexLink"/>
                <w:webHidden/>
              </w:rPr>
              <w:t>A.2 The equalizer chain</w:t>
              <w:tab/>
              <w:t>34</w:t>
            </w:r>
          </w:hyperlink>
        </w:p>
        <w:p>
          <w:pPr>
            <w:pStyle w:val="TOC2"/>
            <w:tabs>
              <w:tab w:val="clear" w:pos="9221"/>
              <w:tab w:val="right" w:pos="9503" w:leader="dot"/>
            </w:tabs>
            <w:rPr/>
          </w:pPr>
          <w:hyperlink w:anchor="__RefHeading___Toc10512_518488682" w:tooltip="A.3 FOM versus COM">
            <w:r>
              <w:rPr>
                <w:rStyle w:val="IndexLink"/>
                <w:webHidden/>
              </w:rPr>
              <w:t>A.3 FOM versus COM</w:t>
              <w:tab/>
              <w:t>34</w:t>
            </w:r>
          </w:hyperlink>
        </w:p>
        <w:p>
          <w:pPr>
            <w:pStyle w:val="TOC2"/>
            <w:tabs>
              <w:tab w:val="clear" w:pos="9221"/>
              <w:tab w:val="right" w:pos="9503" w:leader="dot"/>
            </w:tabs>
            <w:rPr/>
          </w:pPr>
          <w:hyperlink w:anchor="__RefHeading___Toc10514_518488682" w:tooltip="A.4 Reading a result">
            <w:r>
              <w:rPr>
                <w:rStyle w:val="IndexLink"/>
                <w:webHidden/>
              </w:rPr>
              <w:t>A.4 Reading a result</w:t>
              <w:tab/>
              <w:t>34</w:t>
            </w:r>
          </w:hyperlink>
        </w:p>
        <w:p>
          <w:pPr>
            <w:pStyle w:val="TOC1"/>
            <w:tabs>
              <w:tab w:val="clear" w:pos="9504"/>
              <w:tab w:val="right" w:pos="9503" w:leader="dot"/>
            </w:tabs>
            <w:rPr/>
          </w:pPr>
          <w:hyperlink w:anchor="__RefHeading___Toc10516_518488682" w:tooltip="Appendix B Complete configuration parameter index">
            <w:r>
              <w:rPr>
                <w:rStyle w:val="IndexLink"/>
                <w:webHidden/>
              </w:rPr>
              <w:t>Appendix B Complete configuration parameter index</w:t>
              <w:tab/>
              <w:t>36</w:t>
            </w:r>
          </w:hyperlink>
        </w:p>
        <w:p>
          <w:pPr>
            <w:pStyle w:val="TOC2"/>
            <w:tabs>
              <w:tab w:val="clear" w:pos="9221"/>
              <w:tab w:val="right" w:pos="9503" w:leader="dot"/>
            </w:tabs>
            <w:rPr/>
          </w:pPr>
          <w:hyperlink w:anchor="__RefHeading___Toc10518_518488682" w:tooltip="Signalling &amp; test limits (23)">
            <w:r>
              <w:rPr>
                <w:rStyle w:val="IndexLink"/>
                <w:webHidden/>
              </w:rPr>
              <w:t>Signalling &amp; test limits (23)</w:t>
              <w:tab/>
              <w:t>36</w:t>
            </w:r>
          </w:hyperlink>
        </w:p>
        <w:p>
          <w:pPr>
            <w:pStyle w:val="TOC2"/>
            <w:tabs>
              <w:tab w:val="clear" w:pos="9221"/>
              <w:tab w:val="right" w:pos="9503" w:leader="dot"/>
            </w:tabs>
            <w:rPr/>
          </w:pPr>
          <w:hyperlink w:anchor="__RefHeading___Toc10520_518488682" w:tooltip="EQ search control (5)">
            <w:r>
              <w:rPr>
                <w:rStyle w:val="IndexLink"/>
                <w:webHidden/>
              </w:rPr>
              <w:t>EQ search control (5)</w:t>
              <w:tab/>
              <w:t>37</w:t>
            </w:r>
          </w:hyperlink>
        </w:p>
        <w:p>
          <w:pPr>
            <w:pStyle w:val="TOC2"/>
            <w:tabs>
              <w:tab w:val="clear" w:pos="9221"/>
              <w:tab w:val="right" w:pos="9503" w:leader="dot"/>
            </w:tabs>
            <w:rPr/>
          </w:pPr>
          <w:hyperlink w:anchor="__RefHeading___Toc10522_518488682" w:tooltip="Equalization — TX FFE (12)">
            <w:r>
              <w:rPr>
                <w:rStyle w:val="IndexLink"/>
                <w:webHidden/>
              </w:rPr>
              <w:t>Equalization — TX FFE (12)</w:t>
              <w:tab/>
              <w:t>37</w:t>
            </w:r>
          </w:hyperlink>
        </w:p>
        <w:p>
          <w:pPr>
            <w:pStyle w:val="TOC2"/>
            <w:tabs>
              <w:tab w:val="clear" w:pos="9221"/>
              <w:tab w:val="right" w:pos="9503" w:leader="dot"/>
            </w:tabs>
            <w:rPr/>
          </w:pPr>
          <w:hyperlink w:anchor="__RefHeading___Toc10524_518488682" w:tooltip="Equalization — CTLE (14)">
            <w:r>
              <w:rPr>
                <w:rStyle w:val="IndexLink"/>
                <w:webHidden/>
              </w:rPr>
              <w:t>Equalization — CTLE (14)</w:t>
              <w:tab/>
              <w:t>37</w:t>
            </w:r>
          </w:hyperlink>
        </w:p>
        <w:p>
          <w:pPr>
            <w:pStyle w:val="TOC2"/>
            <w:tabs>
              <w:tab w:val="clear" w:pos="9221"/>
              <w:tab w:val="right" w:pos="9503" w:leader="dot"/>
            </w:tabs>
            <w:rPr/>
          </w:pPr>
          <w:hyperlink w:anchor="__RefHeading___Toc10526_518488682" w:tooltip="Equalization — DFE &amp; MLSE (14)">
            <w:r>
              <w:rPr>
                <w:rStyle w:val="IndexLink"/>
                <w:webHidden/>
              </w:rPr>
              <w:t>Equalization — DFE &amp; MLSE (14)</w:t>
              <w:tab/>
              <w:t>38</w:t>
            </w:r>
          </w:hyperlink>
        </w:p>
        <w:p>
          <w:pPr>
            <w:pStyle w:val="TOC2"/>
            <w:tabs>
              <w:tab w:val="clear" w:pos="9221"/>
              <w:tab w:val="right" w:pos="9503" w:leader="dot"/>
            </w:tabs>
            <w:rPr/>
          </w:pPr>
          <w:hyperlink w:anchor="__RefHeading___Toc10528_518488682" w:tooltip="Equalization — RX FFE (10)">
            <w:r>
              <w:rPr>
                <w:rStyle w:val="IndexLink"/>
                <w:webHidden/>
              </w:rPr>
              <w:t>Equalization — RX FFE (10)</w:t>
              <w:tab/>
              <w:t>38</w:t>
            </w:r>
          </w:hyperlink>
        </w:p>
        <w:p>
          <w:pPr>
            <w:pStyle w:val="TOC2"/>
            <w:tabs>
              <w:tab w:val="clear" w:pos="9221"/>
              <w:tab w:val="right" w:pos="9503" w:leader="dot"/>
            </w:tabs>
            <w:rPr/>
          </w:pPr>
          <w:hyperlink w:anchor="__RefHeading___Toc10530_518488682" w:tooltip="Receiver filter &amp; windowing (11)">
            <w:r>
              <w:rPr>
                <w:rStyle w:val="IndexLink"/>
                <w:webHidden/>
              </w:rPr>
              <w:t>Receiver filter &amp; windowing (11)</w:t>
              <w:tab/>
              <w:t>38</w:t>
            </w:r>
          </w:hyperlink>
        </w:p>
        <w:p>
          <w:pPr>
            <w:pStyle w:val="TOC2"/>
            <w:tabs>
              <w:tab w:val="clear" w:pos="9221"/>
              <w:tab w:val="right" w:pos="9503" w:leader="dot"/>
            </w:tabs>
            <w:rPr/>
          </w:pPr>
          <w:hyperlink w:anchor="__RefHeading___Toc10532_518488682" w:tooltip="Noise, jitter &amp; crosstalk (19)">
            <w:r>
              <w:rPr>
                <w:rStyle w:val="IndexLink"/>
                <w:webHidden/>
              </w:rPr>
              <w:t>Noise, jitter &amp; crosstalk (19)</w:t>
              <w:tab/>
              <w:t>39</w:t>
            </w:r>
          </w:hyperlink>
        </w:p>
        <w:p>
          <w:pPr>
            <w:pStyle w:val="TOC2"/>
            <w:tabs>
              <w:tab w:val="clear" w:pos="9221"/>
              <w:tab w:val="right" w:pos="9503" w:leader="dot"/>
            </w:tabs>
            <w:rPr/>
          </w:pPr>
          <w:hyperlink w:anchor="__RefHeading___Toc10534_518488682" w:tooltip="Package, die &amp; termination (30)">
            <w:r>
              <w:rPr>
                <w:rStyle w:val="IndexLink"/>
                <w:webHidden/>
              </w:rPr>
              <w:t>Package, die &amp; termination (30)</w:t>
              <w:tab/>
              <w:t>39</w:t>
            </w:r>
          </w:hyperlink>
        </w:p>
        <w:p>
          <w:pPr>
            <w:pStyle w:val="TOC2"/>
            <w:tabs>
              <w:tab w:val="clear" w:pos="9221"/>
              <w:tab w:val="right" w:pos="9503" w:leader="dot"/>
            </w:tabs>
            <w:rPr/>
          </w:pPr>
          <w:hyperlink w:anchor="__RefHeading___Toc10536_518488682" w:tooltip="Channel / S-parameter handling (16)">
            <w:r>
              <w:rPr>
                <w:rStyle w:val="IndexLink"/>
                <w:webHidden/>
              </w:rPr>
              <w:t>Channel / S-parameter handling (16)</w:t>
              <w:tab/>
              <w:t>40</w:t>
            </w:r>
          </w:hyperlink>
        </w:p>
        <w:p>
          <w:pPr>
            <w:pStyle w:val="TOC2"/>
            <w:tabs>
              <w:tab w:val="clear" w:pos="9221"/>
              <w:tab w:val="right" w:pos="9503" w:leader="dot"/>
            </w:tabs>
            <w:rPr/>
          </w:pPr>
          <w:hyperlink w:anchor="__RefHeading___Toc10538_518488682" w:tooltip="Frequency-domain metrics (ILD/ICN) (8)">
            <w:r>
              <w:rPr>
                <w:rStyle w:val="IndexLink"/>
                <w:webHidden/>
              </w:rPr>
              <w:t>Frequency-domain metrics (ILD/ICN) (8)</w:t>
              <w:tab/>
              <w:t>40</w:t>
            </w:r>
          </w:hyperlink>
        </w:p>
        <w:p>
          <w:pPr>
            <w:pStyle w:val="TOC2"/>
            <w:tabs>
              <w:tab w:val="clear" w:pos="9221"/>
              <w:tab w:val="right" w:pos="9503" w:leader="dot"/>
            </w:tabs>
            <w:rPr/>
          </w:pPr>
          <w:hyperlink w:anchor="__RefHeading___Toc10540_518488682" w:tooltip="ERL / TDR / reflection (14)">
            <w:r>
              <w:rPr>
                <w:rStyle w:val="IndexLink"/>
                <w:webHidden/>
              </w:rPr>
              <w:t>ERL / TDR / reflection (14)</w:t>
              <w:tab/>
              <w:t>41</w:t>
            </w:r>
          </w:hyperlink>
        </w:p>
        <w:p>
          <w:pPr>
            <w:pStyle w:val="TOC2"/>
            <w:tabs>
              <w:tab w:val="clear" w:pos="9221"/>
              <w:tab w:val="right" w:pos="9503" w:leader="dot"/>
            </w:tabs>
            <w:rPr/>
          </w:pPr>
          <w:hyperlink w:anchor="__RefHeading___Toc10542_518488682" w:tooltip="Statistical / PDF construction (16)">
            <w:r>
              <w:rPr>
                <w:rStyle w:val="IndexLink"/>
                <w:webHidden/>
              </w:rPr>
              <w:t>Statistical / PDF construction (16)</w:t>
              <w:tab/>
              <w:t>41</w:t>
            </w:r>
          </w:hyperlink>
        </w:p>
        <w:p>
          <w:pPr>
            <w:pStyle w:val="TOC2"/>
            <w:tabs>
              <w:tab w:val="clear" w:pos="9221"/>
              <w:tab w:val="right" w:pos="9503" w:leader="dot"/>
            </w:tabs>
            <w:rPr/>
          </w:pPr>
          <w:hyperlink w:anchor="__RefHeading___Toc10544_518488682" w:tooltip="Error propagation (3)">
            <w:r>
              <w:rPr>
                <w:rStyle w:val="IndexLink"/>
                <w:webHidden/>
              </w:rPr>
              <w:t>Error propagation (3)</w:t>
              <w:tab/>
              <w:t>42</w:t>
            </w:r>
          </w:hyperlink>
        </w:p>
        <w:p>
          <w:pPr>
            <w:pStyle w:val="TOC2"/>
            <w:tabs>
              <w:tab w:val="clear" w:pos="9221"/>
              <w:tab w:val="right" w:pos="9503" w:leader="dot"/>
            </w:tabs>
            <w:rPr/>
          </w:pPr>
          <w:hyperlink w:anchor="__RefHeading___Toc10546_518488682" w:tooltip="RX calibration (4)">
            <w:r>
              <w:rPr>
                <w:rStyle w:val="IndexLink"/>
                <w:webHidden/>
              </w:rPr>
              <w:t>RX calibration (4)</w:t>
              <w:tab/>
              <w:t>42</w:t>
            </w:r>
          </w:hyperlink>
        </w:p>
        <w:p>
          <w:pPr>
            <w:pStyle w:val="TOC2"/>
            <w:tabs>
              <w:tab w:val="clear" w:pos="9221"/>
              <w:tab w:val="right" w:pos="9503" w:leader="dot"/>
            </w:tabs>
            <w:rPr/>
          </w:pPr>
          <w:hyperlink w:anchor="__RefHeading___Toc10548_518488682" w:tooltip="Skew (5)">
            <w:r>
              <w:rPr>
                <w:rStyle w:val="IndexLink"/>
                <w:webHidden/>
              </w:rPr>
              <w:t>Skew (5)</w:t>
              <w:tab/>
              <w:t>42</w:t>
            </w:r>
          </w:hyperlink>
        </w:p>
        <w:p>
          <w:pPr>
            <w:pStyle w:val="TOC2"/>
            <w:tabs>
              <w:tab w:val="clear" w:pos="9221"/>
              <w:tab w:val="right" w:pos="9503" w:leader="dot"/>
            </w:tabs>
            <w:rPr/>
          </w:pPr>
          <w:hyperlink w:anchor="__RefHeading___Toc10550_518488682" w:tooltip="Output, reporting &amp; execution (28)">
            <w:r>
              <w:rPr>
                <w:rStyle w:val="IndexLink"/>
                <w:webHidden/>
              </w:rPr>
              <w:t>Output, reporting &amp; execution (28)</w:t>
              <w:tab/>
              <w:t>42</w:t>
            </w:r>
          </w:hyperlink>
        </w:p>
        <w:p>
          <w:pPr>
            <w:pStyle w:val="TOC2"/>
            <w:tabs>
              <w:tab w:val="clear" w:pos="9221"/>
              <w:tab w:val="right" w:pos="9503" w:leader="dot"/>
            </w:tabs>
            <w:rPr/>
          </w:pPr>
          <w:hyperlink w:anchor="__RefHeading___Toc10552_518488682" w:tooltip="Other / advanced (15)">
            <w:r>
              <w:rPr>
                <w:rStyle w:val="IndexLink"/>
                <w:webHidden/>
              </w:rPr>
              <w:t>Other / advanced (15)</w:t>
              <w:tab/>
              <w:t>43</w:t>
            </w:r>
          </w:hyperlink>
        </w:p>
        <w:p>
          <w:pPr>
            <w:pStyle w:val="TOC1"/>
            <w:tabs>
              <w:tab w:val="clear" w:pos="9504"/>
              <w:tab w:val="right" w:pos="9503" w:leader="dot"/>
            </w:tabs>
            <w:rPr/>
          </w:pPr>
          <w:hyperlink w:anchor="__RefHeading___Toc10554_518488682" w:tooltip="Appendix C Command reference">
            <w:r>
              <w:rPr>
                <w:rStyle w:val="IndexLink"/>
                <w:webHidden/>
              </w:rPr>
              <w:t>Appendix C Command reference</w:t>
              <w:tab/>
              <w:t>44</w:t>
            </w:r>
          </w:hyperlink>
        </w:p>
        <w:p>
          <w:pPr>
            <w:pStyle w:val="TOC2"/>
            <w:tabs>
              <w:tab w:val="clear" w:pos="9221"/>
              <w:tab w:val="right" w:pos="9503" w:leader="dot"/>
            </w:tabs>
            <w:rPr/>
          </w:pPr>
          <w:hyperlink w:anchor="__RefHeading___Toc10556_518488682" w:tooltip="C.1 Running COM">
            <w:r>
              <w:rPr>
                <w:rStyle w:val="IndexLink"/>
                <w:webHidden/>
              </w:rPr>
              <w:t>C.1 Running COM</w:t>
              <w:tab/>
              <w:t>44</w:t>
            </w:r>
          </w:hyperlink>
        </w:p>
        <w:p>
          <w:pPr>
            <w:pStyle w:val="TOC2"/>
            <w:tabs>
              <w:tab w:val="clear" w:pos="9221"/>
              <w:tab w:val="right" w:pos="9503" w:leader="dot"/>
            </w:tabs>
            <w:rPr/>
          </w:pPr>
          <w:hyperlink w:anchor="__RefHeading___Toc10558_518488682" w:tooltip="C.2 The search study">
            <w:r>
              <w:rPr>
                <w:rStyle w:val="IndexLink"/>
                <w:webHidden/>
              </w:rPr>
              <w:t>C.2 The search study</w:t>
              <w:tab/>
              <w:t>44</w:t>
            </w:r>
          </w:hyperlink>
        </w:p>
        <w:p>
          <w:pPr>
            <w:pStyle w:val="TOC2"/>
            <w:tabs>
              <w:tab w:val="clear" w:pos="9221"/>
              <w:tab w:val="right" w:pos="9503" w:leader="dot"/>
            </w:tabs>
            <w:rPr/>
          </w:pPr>
          <w:hyperlink w:anchor="__RefHeading___Toc10560_518488682" w:tooltip="C.3 Reports">
            <w:r>
              <w:rPr>
                <w:rStyle w:val="IndexLink"/>
                <w:webHidden/>
              </w:rPr>
              <w:t>C.3 Reports</w:t>
              <w:tab/>
              <w:t>44</w:t>
            </w:r>
          </w:hyperlink>
        </w:p>
        <w:p>
          <w:pPr>
            <w:pStyle w:val="TOC2"/>
            <w:tabs>
              <w:tab w:val="clear" w:pos="9221"/>
              <w:tab w:val="right" w:pos="9503" w:leader="dot"/>
            </w:tabs>
            <w:rPr/>
          </w:pPr>
          <w:hyperlink w:anchor="__RefHeading___Toc10562_518488682" w:tooltip="C.4 Development">
            <w:r>
              <w:rPr>
                <w:rStyle w:val="IndexLink"/>
                <w:webHidden/>
              </w:rPr>
              <w:t>C.4 Development</w:t>
              <w:tab/>
              <w:t>44</w:t>
            </w:r>
          </w:hyperlink>
          <w:r>
            <w:rPr>
              <w:rStyle w:val="IndexLink"/>
            </w:rPr>
            <w:fldChar w:fldCharType="end"/>
          </w:r>
        </w:p>
      </w:sdtContent>
    </w:sdt>
    <w:p>
      <w:pPr>
        <w:pStyle w:val="Heading1"/>
        <w:rPr/>
      </w:pPr>
      <w:r>
        <w:br w:type="page"/>
      </w:r>
      <w:bookmarkStart w:id="1" w:name="__RefHeading___Toc10382_518488682"/>
      <w:bookmarkEnd w:id="1"/>
      <w:r>
        <w:rPr/>
        <w:t>1  Introduction</w:t>
      </w:r>
    </w:p>
    <w:p>
      <w:pPr>
        <w:pStyle w:val="Normal"/>
        <w:spacing w:before="0" w:after="140"/>
        <w:rPr/>
      </w:pPr>
      <w:r>
        <w:rPr>
          <w:b w:val="false"/>
          <w:i w:val="false"/>
          <w:color w:val="13232C"/>
          <w:sz w:val="21"/>
        </w:rPr>
        <w:t>This document describes a Python implementation of the IEEE 802.3 COM (Channel Operating Margin) reference tool, together with a study layer and reporting tools built on top of it.</w:t>
      </w:r>
    </w:p>
    <w:p>
      <w:pPr>
        <w:pStyle w:val="Heading2"/>
        <w:rPr/>
      </w:pPr>
      <w:bookmarkStart w:id="2" w:name="__RefHeading___Toc10384_518488682"/>
      <w:bookmarkEnd w:id="2"/>
      <w:r>
        <w:rPr/>
        <w:t>1.1  What this is</w:t>
      </w:r>
    </w:p>
    <w:p>
      <w:pPr>
        <w:pStyle w:val="Normal"/>
        <w:spacing w:before="0" w:after="140"/>
        <w:rPr/>
      </w:pPr>
      <w:r>
        <w:rPr>
          <w:b w:val="false"/>
          <w:i w:val="false"/>
          <w:color w:val="13232C"/>
          <w:sz w:val="21"/>
        </w:rPr>
        <w:t xml:space="preserve">The engine is a </w:t>
      </w:r>
      <w:r>
        <w:rPr>
          <w:b/>
          <w:i w:val="false"/>
          <w:color w:val="13232C"/>
          <w:sz w:val="21"/>
        </w:rPr>
        <w:t>function-for-function translation</w:t>
      </w:r>
      <w:r>
        <w:rPr>
          <w:b w:val="false"/>
          <w:i w:val="false"/>
          <w:color w:val="13232C"/>
          <w:sz w:val="21"/>
        </w:rPr>
        <w:t xml:space="preserve"> of </w:t>
      </w:r>
      <w:r>
        <w:rPr>
          <w:rFonts w:ascii="Consolas" w:hAnsi="Consolas"/>
          <w:b w:val="false"/>
          <w:i w:val="false"/>
          <w:color w:val="13232C"/>
          <w:sz w:val="19"/>
        </w:rPr>
        <w:t>com_ieee8023_4p15p0.m</w:t>
      </w:r>
      <w:r>
        <w:rPr>
          <w:b w:val="false"/>
          <w:i w:val="false"/>
          <w:color w:val="13232C"/>
          <w:sz w:val="21"/>
        </w:rPr>
        <w:t xml:space="preserve"> and the adaptive-local-search branch. It is not a reimplementation, a simplification, or an approximation. It takes the same inputs — the same </w:t>
      </w:r>
      <w:r>
        <w:rPr>
          <w:rFonts w:ascii="Consolas" w:hAnsi="Consolas"/>
          <w:b w:val="false"/>
          <w:i w:val="false"/>
          <w:color w:val="13232C"/>
          <w:sz w:val="19"/>
        </w:rPr>
        <w:t>.xlsx</w:t>
      </w:r>
      <w:r>
        <w:rPr>
          <w:b w:val="false"/>
          <w:i w:val="false"/>
          <w:color w:val="13232C"/>
          <w:sz w:val="21"/>
        </w:rPr>
        <w:t xml:space="preserve"> configuration spreadsheet and the same </w:t>
      </w:r>
      <w:r>
        <w:rPr>
          <w:rFonts w:ascii="Consolas" w:hAnsi="Consolas"/>
          <w:b w:val="false"/>
          <w:i w:val="false"/>
          <w:color w:val="13232C"/>
          <w:sz w:val="19"/>
        </w:rPr>
        <w:t>.s4p</w:t>
      </w:r>
      <w:r>
        <w:rPr>
          <w:b w:val="false"/>
          <w:i w:val="false"/>
          <w:color w:val="13232C"/>
          <w:sz w:val="21"/>
        </w:rPr>
        <w:t xml:space="preserve"> Touchstone files — and produces the same outputs.</w:t>
      </w:r>
    </w:p>
    <w:p>
      <w:pPr>
        <w:pStyle w:val="Normal"/>
        <w:spacing w:before="0" w:after="140"/>
        <w:rPr/>
      </w:pPr>
      <w:r>
        <w:rPr>
          <w:b w:val="false"/>
          <w:i w:val="false"/>
          <w:color w:val="13232C"/>
          <w:sz w:val="21"/>
        </w:rPr>
        <w:t>The translation is close enough that the Python source can be navigated by MATLAB line number: 311 comments in the engine carry explicit MATLAB line references back to their source function.</w:t>
      </w:r>
    </w:p>
    <w:p>
      <w:pPr>
        <w:pStyle w:val="Heading2"/>
        <w:rPr/>
      </w:pPr>
      <w:bookmarkStart w:id="3" w:name="__RefHeading___Toc10386_518488682"/>
      <w:bookmarkEnd w:id="3"/>
      <w:r>
        <w:rPr/>
        <w:t>1.2  What it adds beyond the MATLAB tool</w:t>
      </w:r>
    </w:p>
    <w:p>
      <w:pPr>
        <w:pStyle w:val="Normal"/>
        <w:spacing w:before="0" w:after="140"/>
        <w:rPr/>
      </w:pPr>
      <w:r>
        <w:rPr>
          <w:b w:val="false"/>
          <w:i w:val="false"/>
          <w:color w:val="13232C"/>
          <w:sz w:val="21"/>
        </w:rPr>
        <w:t>Four things exist here that have no MATLAB counterpart:</w:t>
      </w:r>
    </w:p>
    <w:p>
      <w:pPr>
        <w:pStyle w:val="ListBullet"/>
        <w:numPr>
          <w:ilvl w:val="0"/>
          <w:numId w:val="1"/>
        </w:numPr>
        <w:spacing w:before="0" w:after="60"/>
        <w:contextualSpacing/>
        <w:rPr/>
      </w:pPr>
      <w:r>
        <w:rPr>
          <w:b/>
          <w:color w:val="13232C"/>
          <w:sz w:val="21"/>
        </w:rPr>
        <w:t>Per-function verification.</w:t>
      </w:r>
      <w:r>
        <w:rPr>
          <w:color w:val="13232C"/>
          <w:sz w:val="21"/>
        </w:rPr>
        <w:t xml:space="preserve">  Each translated function has its own implementation file and its own test, run against MATLAB behaviour. 890 tests.</w:t>
      </w:r>
    </w:p>
    <w:p>
      <w:pPr>
        <w:pStyle w:val="ListBullet"/>
        <w:numPr>
          <w:ilvl w:val="0"/>
          <w:numId w:val="1"/>
        </w:numPr>
        <w:spacing w:before="0" w:after="60"/>
        <w:contextualSpacing/>
        <w:rPr/>
      </w:pPr>
      <w:r>
        <w:rPr>
          <w:b/>
          <w:color w:val="13232C"/>
          <w:sz w:val="21"/>
        </w:rPr>
        <w:t>Search instrumentation.</w:t>
      </w:r>
      <w:r>
        <w:rPr>
          <w:color w:val="13232C"/>
          <w:sz w:val="21"/>
        </w:rPr>
        <w:t xml:space="preserve">  The equalizer optimiser can log every candidate it considers or prunes, opt-in and with no effect on any COM result. This makes the search itself measurable.</w:t>
      </w:r>
    </w:p>
    <w:p>
      <w:pPr>
        <w:pStyle w:val="ListBullet"/>
        <w:numPr>
          <w:ilvl w:val="0"/>
          <w:numId w:val="1"/>
        </w:numPr>
        <w:spacing w:before="0" w:after="60"/>
        <w:contextualSpacing/>
        <w:rPr/>
      </w:pPr>
      <w:r>
        <w:rPr>
          <w:b/>
          <w:color w:val="13232C"/>
          <w:sz w:val="21"/>
        </w:rPr>
        <w:t>A study and reporting layer.</w:t>
      </w:r>
      <w:r>
        <w:rPr>
          <w:color w:val="13232C"/>
          <w:sz w:val="21"/>
        </w:rPr>
        <w:t xml:space="preserve">  Tools that compare equalizer-search methods across channels, recompute true COM for near-optimal candidates, and render interactive HTML reports.</w:t>
      </w:r>
    </w:p>
    <w:p>
      <w:pPr>
        <w:pStyle w:val="ListBullet"/>
        <w:numPr>
          <w:ilvl w:val="0"/>
          <w:numId w:val="1"/>
        </w:numPr>
        <w:spacing w:before="0" w:after="60"/>
        <w:contextualSpacing/>
        <w:rPr/>
      </w:pPr>
      <w:r>
        <w:rPr>
          <w:b/>
          <w:color w:val="13232C"/>
          <w:sz w:val="21"/>
        </w:rPr>
        <w:t>A configuration editor.</w:t>
      </w:r>
      <w:r>
        <w:rPr>
          <w:color w:val="13232C"/>
          <w:sz w:val="21"/>
        </w:rPr>
        <w:t xml:space="preserve">  A local web application (python gui/app.py) that shows a configuration as a channel schematic, edits it, picks the input channels, runs the engine with its output streamed live, and displays the results — including the interactive R dashboard. It writes workbooks without disturbing their formulas or package blocks. See gui/README.md.</w:t>
      </w:r>
    </w:p>
    <w:p>
      <w:pPr>
        <w:pStyle w:val="Heading2"/>
        <w:rPr/>
      </w:pPr>
      <w:bookmarkStart w:id="4" w:name="__RefHeading___Toc10388_518488682"/>
      <w:bookmarkEnd w:id="4"/>
      <w:r>
        <w:rPr/>
        <w:t>1.3  How to read this document</w:t>
      </w:r>
    </w:p>
    <w:p>
      <w:pPr>
        <w:pStyle w:val="Normal"/>
        <w:spacing w:before="0" w:after="140"/>
        <w:rPr/>
      </w:pPr>
      <w:r>
        <w:rPr>
          <w:b w:val="false"/>
          <w:i w:val="false"/>
          <w:color w:val="13232C"/>
          <w:sz w:val="21"/>
        </w:rPr>
        <w:t>The main body assumes you are comfortable with SerDes equalization and the COM methodology. It concerns itself with the software: how it is built, how to drive it, and what every feature does.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If you want…</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Go to</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 refresher on what COM actually measures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Appendix A</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To install and run something immediately</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Chapter 2</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To understand how the code is organised before editing it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Chapter 3</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To set up a configuration correctly</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Chapters 4–5, Appendix B</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To know what a specific feature does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Chapter 6</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To interpret the outputs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Chapter 7</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equalizer-search comparison work</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Chapters 8–9</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To change the code</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Chapter 10</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To know how far to trust the numbers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Chapter 11</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Every configuration keyword the engine reads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Appendix B</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 one-page command cheat sheet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Appendix C</w:t>
            </w:r>
          </w:p>
        </w:tc>
      </w:tr>
    </w:tbl>
    <w:p>
      <w:pPr>
        <w:pStyle w:val="Normal"/>
        <w:spacing w:before="0" w:after="120"/>
        <w:rPr/>
      </w:pPr>
      <w:r>
        <w:rPr/>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B3261E"/>
                <w:kern w:val="0"/>
                <w:sz w:val="20"/>
                <w:szCs w:val="22"/>
                <w:lang w:val="en-US" w:eastAsia="en-US" w:bidi="ar-SA"/>
              </w:rPr>
              <w:t>A note on trust</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COM is a pass/fail criterion. Chapter 11 states plainly what has and has not been verified in this implementation. Read it before relying on a number in a submission.</w:t>
            </w:r>
          </w:p>
        </w:tc>
      </w:tr>
    </w:tbl>
    <w:p>
      <w:pPr>
        <w:pStyle w:val="Normal"/>
        <w:spacing w:before="0" w:after="180"/>
        <w:rPr/>
      </w:pPr>
      <w:r>
        <w:rPr/>
      </w:r>
      <w:r>
        <w:br w:type="page"/>
      </w:r>
    </w:p>
    <w:p>
      <w:pPr>
        <w:pStyle w:val="Heading1"/>
        <w:spacing w:before="0" w:after="160"/>
        <w:rPr/>
      </w:pPr>
      <w:bookmarkStart w:id="5" w:name="__RefHeading___Toc10390_518488682"/>
      <w:bookmarkEnd w:id="5"/>
      <w:r>
        <w:rPr/>
        <w:t>2  Installation and first run</w:t>
      </w:r>
    </w:p>
    <w:p>
      <w:pPr>
        <w:pStyle w:val="Heading2"/>
        <w:rPr/>
      </w:pPr>
      <w:bookmarkStart w:id="6" w:name="__RefHeading___Toc10392_518488682"/>
      <w:bookmarkEnd w:id="6"/>
      <w:r>
        <w:rPr/>
        <w:t>2.1  Requirements</w:t>
      </w:r>
    </w:p>
    <w:p>
      <w:pPr>
        <w:pStyle w:val="Normal"/>
        <w:spacing w:before="0" w:after="140"/>
        <w:rPr/>
      </w:pPr>
      <w:r>
        <w:rPr>
          <w:b w:val="false"/>
          <w:i w:val="false"/>
          <w:color w:val="13232C"/>
          <w:sz w:val="21"/>
        </w:rPr>
        <w:t>Python 3.9 or newer (developed and tested on 3.14). Dependencies: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68"/>
        <w:gridCol w:w="3168"/>
        <w:gridCol w:w="3168"/>
      </w:tblGrid>
      <w:tr>
        <w:trPr/>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Package</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Required</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Used for</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numpy</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yes</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all numerical computation</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scipy</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yes</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signal processing, interpolation, special functions, linear algebra</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openpyxl</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yes</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reading the .xlsx configuration spreadsheet</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matplotlib</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figures only</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plots, written when SAVE_FIGURES is enabled</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python-pptx</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tools only</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building the review deck from corpus results</w:t>
            </w:r>
          </w:p>
        </w:tc>
      </w:tr>
    </w:tbl>
    <w:p>
      <w:pPr>
        <w:pStyle w:val="Normal"/>
        <w:spacing w:before="0" w:after="120"/>
        <w:rPr/>
      </w:pPr>
      <w:r>
        <w:rPr/>
      </w:r>
    </w:p>
    <w:p>
      <w:pPr>
        <w:pStyle w:val="Normal"/>
        <w:shd w:val="clear" w:fill="F2F6F8"/>
        <w:spacing w:before="80" w:after="180"/>
        <w:ind w:start="187"/>
        <w:rPr/>
      </w:pPr>
      <w:r>
        <w:rPr>
          <w:rFonts w:ascii="Consolas" w:hAnsi="Consolas"/>
          <w:color w:val="13232C"/>
          <w:sz w:val="17"/>
        </w:rPr>
        <w:t>python -m venv .venv</w:t>
        <w:br/>
        <w:t>.venv\Scripts\Activate.ps1          # Windows PowerShell</w:t>
        <w:br/>
        <w:t># source .venv/bin/activate         # macOS / Linux</w:t>
        <w:br/>
        <w:t>pip install -r requirements.txt</w:t>
      </w:r>
    </w:p>
    <w:p>
      <w:pPr>
        <w:pStyle w:val="Normal"/>
        <w:spacing w:before="0" w:after="140"/>
        <w:rPr/>
      </w:pPr>
      <w:r>
        <w:rPr>
          <w:b w:val="false"/>
          <w:i w:val="false"/>
          <w:color w:val="13232C"/>
          <w:sz w:val="21"/>
        </w:rPr>
        <w:t>The R reporting layer (Chapter 9) additionally needs, inside R:</w:t>
      </w:r>
    </w:p>
    <w:p>
      <w:pPr>
        <w:pStyle w:val="Normal"/>
        <w:shd w:val="clear" w:fill="F2F6F8"/>
        <w:spacing w:before="80" w:after="180"/>
        <w:ind w:start="187"/>
        <w:rPr/>
      </w:pPr>
      <w:r>
        <w:rPr>
          <w:rFonts w:ascii="Consolas" w:hAnsi="Consolas"/>
          <w:color w:val="13232C"/>
          <w:sz w:val="17"/>
        </w:rPr>
        <w:t>install.packages(c("plotly", "htmltools", "jsonlite", "R.matlab"))</w:t>
      </w:r>
    </w:p>
    <w:p>
      <w:pPr>
        <w:pStyle w:val="Normal"/>
        <w:spacing w:before="0" w:after="140"/>
        <w:rPr/>
      </w:pPr>
      <w:r>
        <w:rPr>
          <w:b w:val="false"/>
          <w:i w:val="false"/>
          <w:color w:val="13232C"/>
          <w:sz w:val="21"/>
        </w:rPr>
        <w:t>There is nothing to build. The tool runs directly from the assembled engine.</w:t>
      </w:r>
    </w:p>
    <w:p>
      <w:pPr>
        <w:pStyle w:val="Heading2"/>
        <w:rPr/>
      </w:pPr>
      <w:bookmarkStart w:id="7" w:name="__RefHeading___Toc10394_518488682"/>
      <w:bookmarkEnd w:id="7"/>
      <w:r>
        <w:rPr/>
        <w:t>2.2  What ships, and what does not</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B3261E"/>
                <w:kern w:val="0"/>
                <w:sz w:val="20"/>
                <w:szCs w:val="22"/>
                <w:lang w:val="en-US" w:eastAsia="en-US" w:bidi="ar-SA"/>
              </w:rPr>
              <w:t>What ships, and what does not</w:t>
              <w:br/>
              <w:t>The port ships; the correlation data does not. The engine, its tests, the tooling and the BSD-3-Clause MATLAB reference sources under matlab/ are all in the repository. NOT included are the channel S-parameters (tests/0_...), the COM configuration workbooks (tests/1_... and tests/ALS_test_configs/) and the MATLAB reference result workbooks (tests/2_...). Those are IEEE 802.3 contributions and are not ours to redistribute -- and neither are the two places their numbers had been distilled into, so tests/oracles/ (per-stage MATLAB values) and report_data/ (the comparison tables) are excluded as well. Generated outputs are also absent: report_figs/, com_python_results/, report_docs/ and the data files under corpus_results/ and sweep_results/ are all reproducible from the code.</w:t>
              <w:br/>
              <w:t>A fresh clone is fully functional without them: the unit suite runs and passes, and the tests that need correlation data skip cleanly and say so. The data is only needed to reproduce the 208-case correlation.</w:t>
              <w:br/>
              <w:t>Every input is publicly available. The channels come from the IEEE 802.3dj public-area contributions weaver_3dj_02_2311 (Arista), akinwale_3dj_01_2310 and akinwale_3dj_02_2311 (Intel), lim_3dj_07_2309 (Intel/Molex), lim_3dj_04_230629 (Intel/TE Connectivity) and lim_3dj_03_230629 (Intel/Amphenol). README.md section 1 gives the directory each one unpacks into. The COM configuration workbooks and the MATLAB reference results come from the COM ad hoc rather than a numbered contribution; you can also substitute your own configuration and your own MATLAB run, since the harness only needs a config per package case and a result workbook in the standard column layout.</w:t>
              <w:br/>
              <w:t>Run python tools/matlab_compare.py --validate first: it reports which of the 208 cases it can and cannot resolve, so a partial download tells you what is missing before you spend hours running.</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r>
          </w:p>
        </w:tc>
      </w:tr>
    </w:tbl>
    <w:p>
      <w:pPr>
        <w:pStyle w:val="Normal"/>
        <w:spacing w:before="0" w:after="180"/>
        <w:rPr/>
      </w:pPr>
      <w:r>
        <w:rPr/>
      </w:r>
    </w:p>
    <w:p>
      <w:pPr>
        <w:pStyle w:val="Heading2"/>
        <w:rPr/>
      </w:pPr>
      <w:bookmarkStart w:id="8" w:name="__RefHeading___Toc10396_518488682"/>
      <w:bookmarkEnd w:id="8"/>
      <w:r>
        <w:rPr/>
        <w:t>2.3  Running COM</w:t>
      </w:r>
    </w:p>
    <w:p>
      <w:pPr>
        <w:pStyle w:val="Normal"/>
        <w:shd w:val="clear" w:fill="F2F6F8"/>
        <w:spacing w:before="80" w:after="180"/>
        <w:ind w:start="187"/>
        <w:rPr/>
      </w:pPr>
      <w:r>
        <w:rPr>
          <w:rFonts w:ascii="Consolas" w:hAnsi="Consolas"/>
          <w:color w:val="13232C"/>
          <w:sz w:val="17"/>
        </w:rPr>
        <w:t>python sicopr.py &lt;config.xlsx&gt; &lt;thru.s4p&gt; [--fext f1.s4p ...] [--next n1.s4p ...] [--export-mat]</w:t>
        <w:br/>
        <w:t xml:space="preserve">              [--matlab-version {4p15p0,4p16p0}] [--eye-under-mlse]</w:t>
      </w:r>
    </w:p>
    <w:p>
      <w:pPr>
        <w:pStyle w:val="Normal"/>
        <w:spacing w:before="0" w:after="140"/>
        <w:rPr/>
      </w:pPr>
      <w:r>
        <w:rPr>
          <w:b w:val="false"/>
          <w:i w:val="false"/>
          <w:color w:val="13232C"/>
          <w:sz w:val="21"/>
        </w:rPr>
        <w:t>The THRU (victim) channel is required. Crosstalk aggressors are optional: use --fext for FEXT and --next for NEXT, each accepting multiple files. Add --export-mat to also write an engineering snapshot for R analysis (Section 7.4).</w:t>
      </w:r>
    </w:p>
    <w:p>
      <w:pPr>
        <w:pStyle w:val="Heading3"/>
        <w:rPr/>
      </w:pPr>
      <w:r>
        <w:rPr/>
        <w:t>The canonical example</w:t>
      </w:r>
    </w:p>
    <w:p>
      <w:pPr>
        <w:pStyle w:val="Normal"/>
        <w:spacing w:before="0" w:after="140"/>
        <w:rPr/>
      </w:pPr>
      <w:r>
        <w:rPr>
          <w:b w:val="false"/>
          <w:i w:val="false"/>
          <w:color w:val="13232C"/>
          <w:sz w:val="21"/>
        </w:rPr>
        <w:t>The 802.3ck C2M configuration run against its reference channel. Neither file is in the repository (see "What ships, and what does not" above); the command has the same shape for any configuration and channel pair:</w:t>
      </w:r>
    </w:p>
    <w:p>
      <w:pPr>
        <w:pStyle w:val="Normal"/>
        <w:shd w:val="clear" w:fill="F2F6F8"/>
        <w:spacing w:before="80" w:after="180"/>
        <w:ind w:start="187"/>
        <w:rPr/>
      </w:pPr>
      <w:r>
        <w:rPr>
          <w:rFonts w:ascii="Consolas" w:hAnsi="Consolas"/>
          <w:color w:val="13232C"/>
          <w:sz w:val="17"/>
        </w:rPr>
        <w:t>python sicopr.py "config_com_ieee8023_93a=3ck_d3p1_120g_C2M_tp1a_9_11_30_21.xlsx" \</w:t>
        <w:br/>
        <w:t xml:space="preserve">        "Tx_PCB_4dB_OSFP_22dB_OSFP_4dB_PCB_Rx_TP0_TP5_VendorX_thru1.s4p"</w:t>
      </w:r>
    </w:p>
    <w:p>
      <w:pPr>
        <w:pStyle w:val="Normal"/>
        <w:spacing w:before="0" w:after="140"/>
        <w:rPr/>
      </w:pPr>
      <w:r>
        <w:rPr>
          <w:b w:val="false"/>
          <w:i w:val="false"/>
          <w:color w:val="13232C"/>
          <w:sz w:val="21"/>
        </w:rPr>
        <w:t>The run reports its progress through the equalizer search, then prints one result block per package test case:</w:t>
      </w:r>
    </w:p>
    <w:p>
      <w:pPr>
        <w:pStyle w:val="Normal"/>
        <w:shd w:val="clear" w:fill="F2F6F8"/>
        <w:spacing w:before="80" w:after="180"/>
        <w:ind w:start="187"/>
        <w:rPr/>
      </w:pPr>
      <w:r>
        <w:rPr>
          <w:rFonts w:ascii="Consolas" w:hAnsi="Consolas"/>
          <w:color w:val="13232C"/>
          <w:sz w:val="17"/>
        </w:rPr>
        <w:t>Running COM: config_com_ieee8023_93a=3ck_d3p1_120g_C2M_tp1a_9_11_30_21.xlsx</w:t>
        <w:br/>
        <w:t>FEXT: 0, NEXT: 0</w:t>
        <w:br/>
        <w:br/>
        <w:t>C2M_eval_ --Tx_PCB_...   Causality correction = -47.3 dB (not applied)</w:t>
        <w:br/>
        <w:t>C2M_eval_ --Tx_PCB_...   Truncation ratio = -54.2 dB</w:t>
        <w:br/>
        <w:t xml:space="preserve">  optimize_fom: 1 gffe x 14 CTLE x 7 g_DC_HP x 396 TXFFE x 1 itick = 38808 evals</w:t>
        <w:br/>
        <w:t xml:space="preserve">  C2M pass 1/2</w:t>
        <w:br/>
        <w:t xml:space="preserve">    CTLE 1/14  g_dc=-13.00  best_FOM=-inf dB</w:t>
        <w:br/>
        <w:t xml:space="preserve">      ** new best FOM = 1.810 dB (CTLE 3, TXFFE 12, itick=0)</w:t>
        <w:br/>
        <w:t xml:space="preserve">      ** new best FOM = 2.325 dB (CTLE 3, TXFFE 71, itick=0)</w:t>
        <w:br/>
        <w:t xml:space="preserve">      ...</w:t>
        <w:br/>
        <w:t xml:space="preserve">    [com_plots] 12 figures written this run (12 present) -&gt; results\...\case_02</w:t>
        <w:br/>
        <w:br/>
        <w:t>--- Case 1 ---</w:t>
        <w:br/>
        <w:t xml:space="preserve">  COM_dB                         = 3.5664</w:t>
        <w:br/>
        <w:t xml:space="preserve">  VEO_mV                         = 11.5800</w:t>
        <w:br/>
        <w:t xml:space="preserve">  VEC_dB                         = 9.4540</w:t>
        <w:br/>
        <w:t xml:space="preserve">  FOM_ILD                        = 0.6588</w:t>
        <w:br/>
        <w:t xml:space="preserve">  ICN_mV                         = 0.0000</w:t>
        <w:br/>
        <w:t xml:space="preserve">  Result                         = PASS  (threshold 3.0 dB)</w:t>
        <w:br/>
        <w:br/>
        <w:t>--- Case 2 ---</w:t>
        <w:br/>
        <w:t xml:space="preserve">  COM_dB                         = 3.0184</w:t>
        <w:br/>
        <w:t xml:space="preserve">  VEO_mV                         = 8.4200</w:t>
        <w:br/>
        <w:t xml:space="preserve">  VEC_dB                         = 10.6464</w:t>
        <w:br/>
        <w:t xml:space="preserve">  Result                         = PASS  (threshold 3.0 dB)</w:t>
      </w:r>
    </w:p>
    <w:p>
      <w:pPr>
        <w:pStyle w:val="Normal"/>
        <w:spacing w:before="0" w:after="140"/>
        <w:rPr/>
      </w:pPr>
      <w:r>
        <w:rPr>
          <w:b w:val="false"/>
          <w:i w:val="false"/>
          <w:color w:val="13232C"/>
          <w:sz w:val="21"/>
        </w:rPr>
        <w:t>This is real output from the current code. If your run reproduces 3.5664 dB for Case 1, the installation is working correctly.</w:t>
      </w:r>
    </w:p>
    <w:p>
      <w:pPr>
        <w:pStyle w:val="Heading3"/>
        <w:rPr/>
      </w:pPr>
      <w:r>
        <w:rPr/>
        <w:t>Reading the progress lines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Line</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Meaning</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optimize_fom: … = N evals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size of the equalizer search space for this case — the product of the GFFE, CTLE, g_DC_HP, TX-FFE and sampling-phase sweeps.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C2M pass 1/2</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C2M configurations run the optimiser twice; the second pass re-runs with the VEO test relaxed if the first found no viable setting.</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 new best FOM</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optimiser found a better figure of merit. The trailing values identify the CTLE index, TX-FFE candidate and sampling phase.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Causality correction / Truncation ratio</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Diagnostics from S-parameter conditioning. Reported whether or not a correction was applied.</w:t>
            </w:r>
          </w:p>
        </w:tc>
      </w:tr>
    </w:tbl>
    <w:p>
      <w:pPr>
        <w:pStyle w:val="Normal"/>
        <w:spacing w:before="0" w:after="120"/>
        <w:rPr/>
      </w:pPr>
      <w:r>
        <w:rPr/>
      </w:r>
    </w:p>
    <w:p>
      <w:pPr>
        <w:pStyle w:val="Heading2"/>
        <w:rPr/>
      </w:pPr>
      <w:bookmarkStart w:id="9" w:name="__RefHeading___Toc10398_518488682"/>
      <w:bookmarkEnd w:id="9"/>
      <w:r>
        <w:rPr/>
        <w:t>2.4  Where output goes</w:t>
      </w:r>
    </w:p>
    <w:p>
      <w:pPr>
        <w:pStyle w:val="Normal"/>
        <w:spacing w:before="0" w:after="140"/>
        <w:rPr/>
      </w:pPr>
      <w:r>
        <w:rPr>
          <w:b w:val="false"/>
          <w:i w:val="false"/>
          <w:color w:val="13232C"/>
          <w:sz w:val="21"/>
        </w:rPr>
        <w:t xml:space="preserve">With </w:t>
      </w:r>
      <w:r>
        <w:rPr>
          <w:rFonts w:ascii="Consolas" w:hAnsi="Consolas"/>
          <w:b w:val="false"/>
          <w:i w:val="false"/>
          <w:color w:val="13232C"/>
          <w:sz w:val="19"/>
        </w:rPr>
        <w:t>SAVE_FIGURES</w:t>
      </w:r>
      <w:r>
        <w:rPr>
          <w:b w:val="false"/>
          <w:i w:val="false"/>
          <w:color w:val="13232C"/>
          <w:sz w:val="21"/>
        </w:rPr>
        <w:t xml:space="preserve"> and </w:t>
      </w:r>
      <w:r>
        <w:rPr>
          <w:rFonts w:ascii="Consolas" w:hAnsi="Consolas"/>
          <w:b w:val="false"/>
          <w:i w:val="false"/>
          <w:color w:val="13232C"/>
          <w:sz w:val="19"/>
        </w:rPr>
        <w:t>CSV_REPORT</w:t>
      </w:r>
      <w:r>
        <w:rPr>
          <w:b w:val="false"/>
          <w:i w:val="false"/>
          <w:color w:val="13232C"/>
          <w:sz w:val="21"/>
        </w:rPr>
        <w:t xml:space="preserve"> enabled in the configuration, each package case writes to </w:t>
      </w:r>
      <w:r>
        <w:rPr>
          <w:rFonts w:ascii="Consolas" w:hAnsi="Consolas"/>
          <w:b w:val="false"/>
          <w:i w:val="false"/>
          <w:color w:val="13232C"/>
          <w:sz w:val="19"/>
        </w:rPr>
        <w:t>results/&lt;config-name&gt;_&lt;date&gt;/case_NN/</w:t>
      </w:r>
      <w:r>
        <w:rPr>
          <w:b w:val="false"/>
          <w:i w:val="false"/>
          <w:color w:val="13232C"/>
          <w:sz w:val="21"/>
        </w:rPr>
        <w:t>.</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Output</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Content</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results.csv</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per-case metrics: port order, impedance estimates, ERL, ICN, fitted IL</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02_insertion_loss.png, 02_return_loss.png</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channel frequency response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03_filters_main_vs_display.png</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receiver filter chain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04_sbr_full.png, 04_sbr_zoom.png</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single-bit (pulse) response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06_eq_vs_uneq_sbr.png</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equalized vs unequalized pulse response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06_fom_convergence.png</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FOM progress through the equalizer search</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07_pdfs.png</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noise and interference probability densities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08_eye_contour.png, 08_*_bathtub.png</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statistical eye and bathtub curves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09_contribution_pie.png</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breakdown of the noise/ISI budget</w:t>
            </w:r>
          </w:p>
        </w:tc>
      </w:tr>
    </w:tbl>
    <w:p>
      <w:pPr>
        <w:pStyle w:val="Normal"/>
        <w:spacing w:before="60" w:after="220"/>
        <w:rPr/>
      </w:pPr>
      <w:r>
        <w:rPr>
          <w:b w:val="false"/>
          <w:i/>
          <w:color w:val="5A6B74"/>
          <w:sz w:val="17"/>
        </w:rPr>
        <w:t>Table 1. Per-case outputs written when figures and CSV reporting are enabled.</w:t>
      </w:r>
      <w:r>
        <w:br w:type="page"/>
      </w:r>
    </w:p>
    <w:p>
      <w:pPr>
        <w:pStyle w:val="Heading1"/>
        <w:spacing w:before="0" w:after="160"/>
        <w:rPr/>
      </w:pPr>
      <w:bookmarkStart w:id="10" w:name="__RefHeading___Toc10400_518488682"/>
      <w:bookmarkEnd w:id="10"/>
      <w:r>
        <w:rPr/>
        <w:t>3  Architecture</w:t>
      </w:r>
    </w:p>
    <w:p>
      <w:pPr>
        <w:pStyle w:val="Heading2"/>
        <w:rPr/>
      </w:pPr>
      <w:bookmarkStart w:id="11" w:name="__RefHeading___Toc10402_518488682"/>
      <w:bookmarkEnd w:id="11"/>
      <w:r>
        <w:rPr/>
        <w:t>3.1  The assembly model</w:t>
      </w:r>
    </w:p>
    <w:p>
      <w:pPr>
        <w:pStyle w:val="Normal"/>
        <w:spacing w:before="0" w:after="140"/>
        <w:rPr/>
      </w:pPr>
      <w:r>
        <w:rPr>
          <w:b w:val="false"/>
          <w:i w:val="false"/>
          <w:color w:val="13232C"/>
          <w:sz w:val="21"/>
        </w:rPr>
        <w:t xml:space="preserve">The runnable engine, </w:t>
      </w:r>
      <w:r>
        <w:rPr>
          <w:rFonts w:ascii="Consolas" w:hAnsi="Consolas"/>
          <w:b w:val="false"/>
          <w:i w:val="false"/>
          <w:color w:val="13232C"/>
          <w:sz w:val="19"/>
        </w:rPr>
        <w:t>sicopr.py</w:t>
      </w:r>
      <w:r>
        <w:rPr>
          <w:b w:val="false"/>
          <w:i w:val="false"/>
          <w:color w:val="13232C"/>
          <w:sz w:val="21"/>
        </w:rPr>
        <w:t xml:space="preserve">, is </w:t>
      </w:r>
      <w:r>
        <w:rPr>
          <w:b/>
          <w:i w:val="false"/>
          <w:color w:val="13232C"/>
          <w:sz w:val="21"/>
        </w:rPr>
        <w:t>generated, not hand-edited</w:t>
      </w:r>
      <w:r>
        <w:rPr>
          <w:b w:val="false"/>
          <w:i w:val="false"/>
          <w:color w:val="13232C"/>
          <w:sz w:val="21"/>
        </w:rPr>
        <w:t>. Each MATLAB function is translated in its own directory alongside its own verification test, and an assembler concatenates the verified implementations into the single module.</w:t>
      </w:r>
    </w:p>
    <w:p>
      <w:pPr>
        <w:pStyle w:val="Normal"/>
        <w:shd w:val="clear" w:fill="F2F6F8"/>
        <w:spacing w:before="80" w:after="180"/>
        <w:ind w:start="187"/>
        <w:rPr/>
      </w:pPr>
      <w:r>
        <w:rPr>
          <w:rFonts w:ascii="Consolas" w:hAnsi="Consolas"/>
          <w:color w:val="13232C"/>
          <w:sz w:val="17"/>
        </w:rPr>
        <w:t>com_functions/fn/&lt;name&gt;/py_impl.py      &lt;- the editable translation</w:t>
        <w:br/>
        <w:t>com_functions/fn/&lt;name&gt;/test_verify.py  &lt;- its verification test</w:t>
        <w:br/>
        <w:t xml:space="preserve">                |</w:t>
        <w:br/>
        <w:t xml:space="preserve">                |  python assemble_sicopr.py</w:t>
        <w:br/>
        <w:t xml:space="preserve">                v</w:t>
        <w:br/>
        <w:t>sicopr.py                                  &lt;- generated engine (do not edit)</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Component</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Scale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Per-function directories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157</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Top-level functions in the assembled engine</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431</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Lines in sicopr.py</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18,762</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Comments carrying MATLAB line references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311</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Dependency-injection points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161</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Unit tests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890 passing</w:t>
            </w:r>
          </w:p>
        </w:tc>
      </w:tr>
    </w:tbl>
    <w:p>
      <w:pPr>
        <w:pStyle w:val="Normal"/>
        <w:spacing w:before="60" w:after="220"/>
        <w:rPr/>
      </w:pPr>
      <w:r>
        <w:rPr>
          <w:b w:val="false"/>
          <w:i/>
          <w:color w:val="5A6B74"/>
          <w:sz w:val="17"/>
        </w:rPr>
        <w:t>Table 2. Scale of the port as of August 2026 (post-correlation).</w:t>
      </w:r>
    </w:p>
    <w:p>
      <w:pPr>
        <w:pStyle w:val="Normal"/>
        <w:spacing w:before="0" w:after="140"/>
        <w:rPr/>
      </w:pPr>
      <w:r>
        <w:rPr>
          <w:b w:val="false"/>
          <w:i w:val="false"/>
          <w:color w:val="13232C"/>
          <w:sz w:val="21"/>
        </w:rPr>
        <w:t>The reason for this structure is verification. A single 18,000-line file is difficult to review against a MATLAB original; 157 small files, each with a test pinned to the behaviour of one MATLAB function, is tractable.</w:t>
      </w:r>
    </w:p>
    <w:p>
      <w:pPr>
        <w:pStyle w:val="Heading2"/>
        <w:rPr/>
      </w:pPr>
      <w:bookmarkStart w:id="12" w:name="__RefHeading___Toc10404_518488682"/>
      <w:bookmarkEnd w:id="12"/>
      <w:r>
        <w:rPr/>
        <w:t>3.2  Dependency injection</w:t>
      </w:r>
    </w:p>
    <w:p>
      <w:pPr>
        <w:pStyle w:val="Normal"/>
        <w:spacing w:before="0" w:after="140"/>
        <w:rPr/>
      </w:pPr>
      <w:r>
        <w:rPr>
          <w:b w:val="false"/>
          <w:i w:val="false"/>
          <w:color w:val="13232C"/>
          <w:sz w:val="21"/>
        </w:rPr>
        <w:t>Functions do not call their collaborators directly. They receive them as keyword arguments, wired at run time:</w:t>
      </w:r>
    </w:p>
    <w:p>
      <w:pPr>
        <w:pStyle w:val="Normal"/>
        <w:shd w:val="clear" w:fill="F2F6F8"/>
        <w:spacing w:before="80" w:after="180"/>
        <w:ind w:start="187"/>
        <w:rPr/>
      </w:pPr>
      <w:r>
        <w:rPr>
          <w:rFonts w:ascii="Consolas" w:hAnsi="Consolas"/>
          <w:color w:val="13232C"/>
          <w:sz w:val="17"/>
        </w:rPr>
        <w:t>_wired_optimize_fom = partial(optimize_fom,</w:t>
        <w:br/>
        <w:t xml:space="preserve">    _OptFom_Build_TXFFE_fn=OptFom_Build_TXFFE,</w:t>
        <w:br/>
        <w:t xml:space="preserve">    _OptFom_Calc_FOM_fn=_wired_OptFom_Calc_FOM,</w:t>
        <w:br/>
        <w:t xml:space="preserve">    _OptFom_Local_Search_fn=OptFom_Local_Search,</w:t>
        <w:br/>
        <w:t xml:space="preserve">    _OptFom_Adaptive_Local_Search_fn=OptFom_Adaptive_Local_Search,</w:t>
        <w:br/>
        <w:t xml:space="preserve">    ...)</w:t>
      </w:r>
    </w:p>
    <w:p>
      <w:pPr>
        <w:pStyle w:val="Normal"/>
        <w:spacing w:before="0" w:after="140"/>
        <w:rPr/>
      </w:pPr>
      <w:r>
        <w:rPr>
          <w:b w:val="false"/>
          <w:i w:val="false"/>
          <w:color w:val="13232C"/>
          <w:sz w:val="21"/>
        </w:rPr>
        <w:t>This mirrors MATLAB's flat function namespace, but it also has a practical consequence: a study can substitute one function without touching anything else. Pinning the equalizer search to a single operating point — which is how the FOM-to-COM probe in Chapter 8 works — is done by replacing exactly one injected function.</w:t>
      </w:r>
    </w:p>
    <w:p>
      <w:pPr>
        <w:pStyle w:val="Heading2"/>
        <w:rPr/>
      </w:pPr>
      <w:bookmarkStart w:id="13" w:name="__RefHeading___Toc10406_518488682"/>
      <w:bookmarkEnd w:id="13"/>
      <w:r>
        <w:rPr/>
        <w:t>3.3  Search instrumentation</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0A6E94"/>
                <w:kern w:val="0"/>
                <w:sz w:val="20"/>
                <w:szCs w:val="22"/>
                <w:lang w:val="en-US" w:eastAsia="en-US" w:bidi="ar-SA"/>
              </w:rPr>
              <w:t>Off by default, and it cannot change a COM result</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Both loggers below are disabled unless a path is assigned. When enabled they observe and record; they do not participate in any calculation.</w:t>
            </w:r>
          </w:p>
        </w:tc>
      </w:tr>
    </w:tbl>
    <w:p>
      <w:pPr>
        <w:pStyle w:val="Normal"/>
        <w:spacing w:before="0" w:after="180"/>
        <w:rPr/>
      </w:pPr>
      <w:r>
        <w:rPr/>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Hook</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Records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sicopr.SWEEP_LOG_CSV</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One row per TX-FFE candidate considered, for any search method: method label, GFFE/CTLE/LP/TXFFE indices, tap vector, candidate FOM, running best FOM, winning sampling phase and cursor, evaluated vs pruned, and the reason for a prune.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sicopr.SWEEP_METHOD_LABEL</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label written into the method column.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sicopr.ALS_LOG_CSV</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Adaptive-search internals per iteration: adaptive radius, deterministic radius, raw and weighted L1/L2 tap distances, the hard cap, and the candidate/best state that produced the decision.</w:t>
            </w:r>
          </w:p>
        </w:tc>
      </w:tr>
    </w:tbl>
    <w:p>
      <w:pPr>
        <w:pStyle w:val="Normal"/>
        <w:spacing w:before="0" w:after="120"/>
        <w:rPr/>
      </w:pPr>
      <w:r>
        <w:rPr/>
      </w:r>
    </w:p>
    <w:p>
      <w:pPr>
        <w:pStyle w:val="Normal"/>
        <w:spacing w:before="0" w:after="140"/>
        <w:rPr/>
      </w:pPr>
      <w:r>
        <w:rPr>
          <w:b w:val="false"/>
          <w:i w:val="false"/>
          <w:color w:val="13232C"/>
          <w:sz w:val="21"/>
        </w:rPr>
        <w:t>These logs are the data source for everything in Chapter 8. Without them the search is a black box that emits one number.</w:t>
      </w:r>
    </w:p>
    <w:p>
      <w:pPr>
        <w:pStyle w:val="Heading2"/>
        <w:rPr/>
      </w:pPr>
      <w:bookmarkStart w:id="14" w:name="__RefHeading___Toc10408_518488682"/>
      <w:bookmarkEnd w:id="14"/>
      <w:r>
        <w:rPr/>
        <w:t>3.4  Modules that sit beside the engine</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Module</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Role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com_plots.py</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figure generation; imported by sicopr.py when SAVE_FIGURES is set</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com_mat_export.py</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engineering .mat snapshot; imported by sicopr.py under --export-mat</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assemble_sicopr.py</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builds sicopr.py from the per-function sources</w:t>
            </w:r>
          </w:p>
        </w:tc>
      </w:tr>
    </w:tbl>
    <w:p>
      <w:pPr>
        <w:pStyle w:val="Normal"/>
        <w:spacing w:before="0" w:after="120"/>
        <w:rPr/>
      </w:pPr>
      <w:r>
        <w:rPr/>
      </w:r>
    </w:p>
    <w:p>
      <w:pPr>
        <w:pStyle w:val="Normal"/>
        <w:spacing w:before="0" w:after="140"/>
        <w:rPr/>
      </w:pPr>
      <w:r>
        <w:rPr>
          <w:b w:val="false"/>
          <w:i w:val="false"/>
          <w:color w:val="13232C"/>
          <w:sz w:val="21"/>
        </w:rPr>
        <w:t xml:space="preserve">The first two are imported </w:t>
      </w:r>
      <w:r>
        <w:rPr>
          <w:b w:val="false"/>
          <w:i/>
          <w:color w:val="13232C"/>
          <w:sz w:val="21"/>
        </w:rPr>
        <w:t>by</w:t>
      </w:r>
      <w:r>
        <w:rPr>
          <w:b w:val="false"/>
          <w:i w:val="false"/>
          <w:color w:val="13232C"/>
          <w:sz w:val="21"/>
        </w:rPr>
        <w:t xml:space="preserve"> the engine, which is why they live beside </w:t>
      </w:r>
      <w:r>
        <w:rPr>
          <w:rFonts w:ascii="Consolas" w:hAnsi="Consolas"/>
          <w:b w:val="false"/>
          <w:i w:val="false"/>
          <w:color w:val="13232C"/>
          <w:sz w:val="19"/>
        </w:rPr>
        <w:t>sicopr.py</w:t>
      </w:r>
      <w:r>
        <w:rPr>
          <w:b w:val="false"/>
          <w:i w:val="false"/>
          <w:color w:val="13232C"/>
          <w:sz w:val="21"/>
        </w:rPr>
        <w:t xml:space="preserve"> rather than in </w:t>
      </w:r>
      <w:r>
        <w:rPr>
          <w:rFonts w:ascii="Consolas" w:hAnsi="Consolas"/>
          <w:b w:val="false"/>
          <w:i w:val="false"/>
          <w:color w:val="13232C"/>
          <w:sz w:val="19"/>
        </w:rPr>
        <w:t>tools/</w:t>
      </w:r>
      <w:r>
        <w:rPr>
          <w:b w:val="false"/>
          <w:i w:val="false"/>
          <w:color w:val="13232C"/>
          <w:sz w:val="21"/>
        </w:rPr>
        <w:t>. Moving them would break figure export and the .mat snapshot.</w:t>
      </w:r>
    </w:p>
    <w:p>
      <w:pPr>
        <w:pStyle w:val="Heading2"/>
        <w:rPr/>
      </w:pPr>
      <w:bookmarkStart w:id="15" w:name="__RefHeading___Toc10410_518488682"/>
      <w:bookmarkEnd w:id="15"/>
      <w:r>
        <w:rPr/>
        <w:t>3.5  Repository layout</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Path</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Contents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sicopr.py</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assembled engine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com_functions/fn/</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per-function sources and tests (157 functions)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tools/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study layer: sweep, probe, corpus, diagnostics, deck builder</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R/</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interactive HTML reporting</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matlab/</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MATLAB reference sources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docs/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audit findings, fix summary, feature plan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dev/</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audit and interface-check scripts (the development prompts and state ledgers are kept local, not published)</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gui/</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configuration editor: a local web app for building configs, running the engine and viewing results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tests/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standalone cross-check scripts, run directly rather than via pytest</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sweep_results/, corpus_results/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study outputs, each with its own results document</w:t>
            </w:r>
          </w:p>
        </w:tc>
      </w:tr>
    </w:tbl>
    <w:p>
      <w:pPr>
        <w:pStyle w:val="Normal"/>
        <w:spacing w:before="0" w:after="120"/>
        <w:rPr/>
      </w:pPr>
      <w:r>
        <w:rPr/>
      </w:r>
      <w:r>
        <w:br w:type="page"/>
      </w:r>
    </w:p>
    <w:p>
      <w:pPr>
        <w:pStyle w:val="Heading1"/>
        <w:spacing w:before="0" w:after="160"/>
        <w:rPr/>
      </w:pPr>
      <w:bookmarkStart w:id="16" w:name="__RefHeading___Toc10412_518488682"/>
      <w:bookmarkEnd w:id="16"/>
      <w:r>
        <w:rPr/>
        <w:t>4  Inputs</w:t>
      </w:r>
    </w:p>
    <w:p>
      <w:pPr>
        <w:pStyle w:val="Heading2"/>
        <w:rPr/>
      </w:pPr>
      <w:bookmarkStart w:id="17" w:name="__RefHeading___Toc10414_518488682"/>
      <w:bookmarkEnd w:id="17"/>
      <w:r>
        <w:rPr/>
        <w:t>4.1  The configuration spreadsheet</w:t>
      </w:r>
    </w:p>
    <w:p>
      <w:pPr>
        <w:pStyle w:val="Normal"/>
        <w:spacing w:before="0" w:after="140"/>
        <w:rPr/>
      </w:pPr>
      <w:r>
        <w:rPr>
          <w:b w:val="false"/>
          <w:i w:val="false"/>
          <w:color w:val="13232C"/>
          <w:sz w:val="21"/>
        </w:rPr>
        <w:t xml:space="preserve">COM is driven by an IEEE 802.3-format </w:t>
      </w:r>
      <w:r>
        <w:rPr>
          <w:rFonts w:ascii="Consolas" w:hAnsi="Consolas"/>
          <w:b w:val="false"/>
          <w:i w:val="false"/>
          <w:color w:val="13232C"/>
          <w:sz w:val="19"/>
        </w:rPr>
        <w:t>.xlsx</w:t>
      </w:r>
      <w:r>
        <w:rPr>
          <w:b w:val="false"/>
          <w:i w:val="false"/>
          <w:color w:val="13232C"/>
          <w:sz w:val="21"/>
        </w:rPr>
        <w:t xml:space="preserve"> spreadsheet. The engine reads the </w:t>
      </w:r>
      <w:r>
        <w:rPr>
          <w:rFonts w:ascii="Consolas" w:hAnsi="Consolas"/>
          <w:b w:val="false"/>
          <w:i w:val="false"/>
          <w:color w:val="13232C"/>
          <w:sz w:val="19"/>
        </w:rPr>
        <w:t>COM_Settings</w:t>
      </w:r>
      <w:r>
        <w:rPr>
          <w:b w:val="false"/>
          <w:i w:val="false"/>
          <w:color w:val="13232C"/>
          <w:sz w:val="21"/>
        </w:rPr>
        <w:t xml:space="preserve"> sheet as parameter/value columns. Start from a working-group reference sheet rather than building one from scratch.</w:t>
      </w:r>
    </w:p>
    <w:p>
      <w:pPr>
        <w:pStyle w:val="Normal"/>
        <w:spacing w:before="0" w:after="140"/>
        <w:rPr/>
      </w:pPr>
      <w:r>
        <w:rPr>
          <w:b w:val="false"/>
          <w:i w:val="false"/>
          <w:color w:val="13232C"/>
          <w:sz w:val="21"/>
        </w:rPr>
        <w:t>Every value the engine consumes is read through a single helper, which is why a complete and authoritative parameter index can be generated directly from the source (Appendix B). The engine reads 249 distinct keywords, of which 15 are mandatory. The index below documents 247 of them; “COM Version” (see §8) and “Overwrite Minimum Radius” were added after it was compiled and are documented in the repository instead.</w:t>
      </w:r>
    </w:p>
    <w:p>
      <w:pPr>
        <w:pStyle w:val="Normal"/>
        <w:shd w:val="clear" w:fill="F2F6F8"/>
        <w:spacing w:before="80" w:after="180"/>
        <w:ind w:start="187"/>
        <w:rPr/>
      </w:pPr>
      <w:r>
        <w:rPr>
          <w:rFonts w:ascii="Consolas" w:hAnsi="Consolas"/>
          <w:color w:val="13232C"/>
          <w:sz w:val="17"/>
        </w:rPr>
        <w:t>xls_parameter(parameter, name, eval_if_string=False, default_value=&lt;sentinel&gt;)</w:t>
        <w:br/>
        <w:br/>
        <w:t>param.f_b     = xls_parameter(parameter, 'f_b', True)           # mandatory: no default</w:t>
        <w:br/>
        <w:t>param.N_b     = xls_parameter(parameter, 'N_b', True)           # mandatory</w:t>
        <w:br/>
        <w:t>param.levels  = xls_parameter(parameter, 'levels', True, 4)     # optional, default 4</w:t>
        <w:br/>
        <w:t>OP.SAVE_FIGS  = xls_parameter(parameter, 'SAVE_FIGURES', False, 0)   # optional</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0A6E94"/>
                <w:kern w:val="0"/>
                <w:sz w:val="20"/>
                <w:szCs w:val="22"/>
                <w:lang w:val="en-US" w:eastAsia="en-US" w:bidi="ar-SA"/>
              </w:rPr>
              <w:t>Mandatory means "no default", not a flag</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A parameter is mandatory precisely when the call supplies no default value — the reader then raises an error if the keyword is missing from the sheet. The third argument is eval_if_string, which controls whether a text cell is evaluated as a MATLAB expression (so that entries like [1 3 2 4] or 1e9*[1:5] work). It is easy to misread as a required flag; it is not one.</w:t>
            </w:r>
          </w:p>
        </w:tc>
      </w:tr>
    </w:tbl>
    <w:p>
      <w:pPr>
        <w:pStyle w:val="Normal"/>
        <w:spacing w:before="0" w:after="180"/>
        <w:rPr/>
      </w:pPr>
      <w:r>
        <w:rPr/>
      </w:r>
    </w:p>
    <w:p>
      <w:pPr>
        <w:pStyle w:val="Normal"/>
        <w:spacing w:before="0" w:after="140"/>
        <w:rPr/>
      </w:pPr>
      <w:r>
        <w:rPr>
          <w:b w:val="false"/>
          <w:i w:val="false"/>
          <w:color w:val="13232C"/>
          <w:sz w:val="21"/>
        </w:rPr>
        <w:t>For an optional keyword, an absent row and a row set to the listed default behave identically. The 15 mandatory keywords are: A_DD, b_max(1), c(0), Delta_f, DER_0, eta_0, f_b, f_min, g_DC, Include PCB, L, N_b, R_LM, sigma_RJ and SNR_TX.</w:t>
      </w:r>
    </w:p>
    <w:p>
      <w:pPr>
        <w:pStyle w:val="Heading2"/>
        <w:rPr/>
      </w:pPr>
      <w:bookmarkStart w:id="18" w:name="__RefHeading___Toc10416_518488682"/>
      <w:bookmarkEnd w:id="18"/>
      <w:r>
        <w:rPr/>
        <w:t>4.2  S-parameter files</w:t>
      </w:r>
    </w:p>
    <w:p>
      <w:pPr>
        <w:pStyle w:val="Normal"/>
        <w:spacing w:before="0" w:after="140"/>
        <w:rPr/>
      </w:pPr>
      <w:r>
        <w:rPr>
          <w:b w:val="false"/>
          <w:i w:val="false"/>
          <w:color w:val="13232C"/>
          <w:sz w:val="21"/>
        </w:rPr>
        <w:t>Four-port Touchstone. The differential port order defaults to [1 3 2 4]; override it with the Port Order keyword if your files differ.</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0A6E94"/>
                <w:kern w:val="0"/>
                <w:sz w:val="20"/>
                <w:szCs w:val="22"/>
                <w:lang w:val="en-US" w:eastAsia="en-US" w:bidi="ar-SA"/>
              </w:rPr>
              <w:t>Automatic port-order detection</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When Port Order is empty, zero, contains NaN, or is not a single 4-element vector (for example a per-package [1 2 3 4; 1 3 2 4] matrix), the order is detected from the S-parameters themselves using through-energy and a phase-delay near/far test. The resolved order is reported as output_args.port_order and written into results.csv.</w:t>
            </w:r>
          </w:p>
        </w:tc>
      </w:tr>
    </w:tbl>
    <w:p>
      <w:pPr>
        <w:pStyle w:val="Normal"/>
        <w:spacing w:before="0" w:after="180"/>
        <w:rPr/>
      </w:pPr>
      <w:r>
        <w:rPr/>
      </w:r>
    </w:p>
    <w:p>
      <w:pPr>
        <w:pStyle w:val="Normal"/>
        <w:spacing w:before="0" w:after="140"/>
        <w:rPr/>
      </w:pPr>
      <w:r>
        <w:rPr>
          <w:b w:val="false"/>
          <w:i w:val="false"/>
          <w:color w:val="13232C"/>
          <w:sz w:val="21"/>
        </w:rPr>
        <w:t>Crosstalk aggressor files use the same format; the differential Sdd21 becomes the coupling response. FEXT and NEXT files are supplied separately because they enter the noise budget differently.</w:t>
      </w:r>
    </w:p>
    <w:p>
      <w:pPr>
        <w:pStyle w:val="Heading2"/>
        <w:rPr/>
      </w:pPr>
      <w:bookmarkStart w:id="19" w:name="__RefHeading___Toc10418_518488682"/>
      <w:bookmarkEnd w:id="19"/>
      <w:r>
        <w:rPr/>
        <w:t>4.3  Package cases</w:t>
      </w:r>
    </w:p>
    <w:p>
      <w:pPr>
        <w:pStyle w:val="Normal"/>
        <w:spacing w:before="0" w:after="140"/>
        <w:rPr/>
      </w:pPr>
      <w:r>
        <w:rPr>
          <w:b w:val="false"/>
          <w:i w:val="false"/>
          <w:color w:val="13232C"/>
          <w:sz w:val="21"/>
        </w:rPr>
        <w:t>A configuration may define several package/board cases. Each is solved independently and reported as its own result block and its own output directory. The canonical example above defines two, which is why it prints Case 1 and Case 2.</w:t>
      </w:r>
      <w:r>
        <w:br w:type="page"/>
      </w:r>
    </w:p>
    <w:p>
      <w:pPr>
        <w:pStyle w:val="Heading1"/>
        <w:spacing w:before="0" w:after="160"/>
        <w:rPr/>
      </w:pPr>
      <w:bookmarkStart w:id="20" w:name="__RefHeading___Toc10420_518488682"/>
      <w:bookmarkEnd w:id="20"/>
      <w:r>
        <w:rPr/>
        <w:t>5  Configuration: the parameters that matter</w:t>
      </w:r>
    </w:p>
    <w:p>
      <w:pPr>
        <w:pStyle w:val="Normal"/>
        <w:spacing w:before="0" w:after="140"/>
        <w:rPr/>
      </w:pPr>
      <w:r>
        <w:rPr>
          <w:b w:val="false"/>
          <w:i w:val="false"/>
          <w:color w:val="13232C"/>
          <w:sz w:val="21"/>
        </w:rPr>
        <w:t>This chapter covers the parameters you will actually set. It is not the complete list — Appendix B is, and is generated from the source so it cannot drift. Because COM is a pass/fail criterion, treat Appendix B as the authority and this chapter as orientation.</w:t>
      </w:r>
    </w:p>
    <w:p>
      <w:pPr>
        <w:pStyle w:val="Heading2"/>
        <w:rPr/>
      </w:pPr>
      <w:bookmarkStart w:id="21" w:name="__RefHeading___Toc10422_518488682"/>
      <w:bookmarkEnd w:id="21"/>
      <w:r>
        <w:rPr/>
        <w:t>5.1  Signalling and test limits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68"/>
        <w:gridCol w:w="3168"/>
        <w:gridCol w:w="3168"/>
      </w:tblGrid>
      <w:tr>
        <w:trPr/>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Keyword</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Sets</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Notes</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f_b</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signalling rate (baud)</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required</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levels</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modulation levels</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2 = NRZ, 4 = PAM4</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specBER</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target BER</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sets the Q used for the margin</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samples_per_ui</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time resolution</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higher costs run time roughly linearly</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COM Pass threshold</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pass/fail level in dB</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conventionally 3 dB</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Min_VEO_Test</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minimum vertical eye opening</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C2M gating</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PHY / PMD_type</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which limit set applies</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e.g. C2M vs KR</w:t>
            </w:r>
          </w:p>
        </w:tc>
      </w:tr>
    </w:tbl>
    <w:p>
      <w:pPr>
        <w:pStyle w:val="Normal"/>
        <w:spacing w:before="0" w:after="120"/>
        <w:rPr/>
      </w:pPr>
      <w:r>
        <w:rPr/>
      </w:r>
    </w:p>
    <w:p>
      <w:pPr>
        <w:pStyle w:val="Heading2"/>
        <w:rPr/>
      </w:pPr>
      <w:bookmarkStart w:id="22" w:name="__RefHeading___Toc10424_518488682"/>
      <w:bookmarkEnd w:id="22"/>
      <w:r>
        <w:rPr/>
        <w:t>5.2  Equalizer sweeps</w:t>
      </w:r>
    </w:p>
    <w:p>
      <w:pPr>
        <w:pStyle w:val="Normal"/>
        <w:spacing w:before="0" w:after="140"/>
        <w:rPr/>
      </w:pPr>
      <w:r>
        <w:rPr>
          <w:b w:val="false"/>
          <w:i w:val="false"/>
          <w:color w:val="13232C"/>
          <w:sz w:val="21"/>
        </w:rPr>
        <w:t>These define the search space. Their product is the number of candidates the optimiser must consider, and it grows quickly — the canonical example above reports 38,808 evaluations.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Keyword group</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Sets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tx_ffe_cm&lt;N&gt;_values, tx_ffe_cp&lt;N&gt;_values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TX-FFE tap grid, one list per pre-/post-cursor tap</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ctle_gdc_values, CTLE_fz, CTLE_fp1, CTLE_fp2</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CTLE bank: DC gain sweep and the pole/zero set per entry</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g_DC_HP_values, f_HP</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high-pass (second-stage) CTLE sweep</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N_b</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number of DFE taps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ffe_pre_tap_len, ffe_post_tap_len, ffe_tap_step_size</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RX-FFE geometry and quantisation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Local Search</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0 = exhaustive grid; N &gt; 0 enables pruning with radius 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Non-zero Local Search Method</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0 = legacy fixed-radius prune, 1 = adaptive (Chapter 8)</w:t>
            </w:r>
          </w:p>
        </w:tc>
      </w:tr>
    </w:tbl>
    <w:p>
      <w:pPr>
        <w:pStyle w:val="Normal"/>
        <w:spacing w:before="0" w:after="120"/>
        <w:rPr/>
      </w:pPr>
      <w:r>
        <w:rPr/>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0A6E94"/>
                <w:kern w:val="0"/>
                <w:sz w:val="20"/>
                <w:szCs w:val="22"/>
                <w:lang w:val="en-US" w:eastAsia="en-US" w:bidi="ar-SA"/>
              </w:rPr>
              <w:t>The two search keywords are the subject of Chapter 8</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Local Search and Non-zero Local Search Method together select one of three search strategies. They change how long a run takes; whether they change the answer is exactly the question Chapter 8 measures.</w:t>
            </w:r>
          </w:p>
        </w:tc>
      </w:tr>
    </w:tbl>
    <w:p>
      <w:pPr>
        <w:pStyle w:val="Normal"/>
        <w:spacing w:before="0" w:after="180"/>
        <w:rPr/>
      </w:pPr>
      <w:r>
        <w:rPr/>
      </w:r>
    </w:p>
    <w:p>
      <w:pPr>
        <w:pStyle w:val="Heading2"/>
        <w:rPr/>
      </w:pPr>
      <w:bookmarkStart w:id="23" w:name="__RefHeading___Toc10426_518488682"/>
      <w:bookmarkEnd w:id="23"/>
      <w:r>
        <w:rPr/>
        <w:t>5.3  Noise, jitter and crosstalk</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Keyword</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Sets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sigma_RJ, A_DD</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random and deterministic jitter</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eta_0</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receiver noise spectral density</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SNR_TX</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transmitter SNR</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A_v, A_fe, A_ne</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victim / FEXT / NEXT amplitudes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A_ft, A_nt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ICN amplitudes for the FEXT and NEXT integrals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AC_CM_RMS, ACCM_MAX_Freq</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common-mode noise contribution</w:t>
            </w:r>
          </w:p>
        </w:tc>
      </w:tr>
    </w:tbl>
    <w:p>
      <w:pPr>
        <w:pStyle w:val="Normal"/>
        <w:spacing w:before="0" w:after="120"/>
        <w:rPr/>
      </w:pPr>
      <w:r>
        <w:rPr/>
      </w:r>
    </w:p>
    <w:p>
      <w:pPr>
        <w:pStyle w:val="Heading2"/>
        <w:rPr/>
      </w:pPr>
      <w:bookmarkStart w:id="24" w:name="__RefHeading___Toc10428_518488682"/>
      <w:bookmarkEnd w:id="24"/>
      <w:r>
        <w:rPr/>
        <w:t>5.4  Package, die and termination</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Keyword</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Sets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PKG_NAME / package cases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named or per-case package definitions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z_p (TX), z_p (RX)</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package trace lengths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z_bp (TX), z_bp (RX), z_bp (NEXT), z_bp (FEXT)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board segment lengths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C_d, C_p, C_b, C_v</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die, pad, board and via capacitances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R_d, R_0, Z_t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die resistance, reference and termination impedance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IDEAL_TX_TERM, IDEAL_RX_TERM</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bypass the termination model</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INC_PACKAGE</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include the package model at all</w:t>
            </w:r>
          </w:p>
        </w:tc>
      </w:tr>
    </w:tbl>
    <w:p>
      <w:pPr>
        <w:pStyle w:val="Normal"/>
        <w:spacing w:before="0" w:after="120"/>
        <w:rPr/>
      </w:pPr>
      <w:r>
        <w:rPr/>
      </w:r>
    </w:p>
    <w:p>
      <w:pPr>
        <w:pStyle w:val="Heading2"/>
        <w:rPr/>
      </w:pPr>
      <w:bookmarkStart w:id="25" w:name="__RefHeading___Toc10430_518488682"/>
      <w:bookmarkEnd w:id="25"/>
      <w:r>
        <w:rPr/>
        <w:t>5.5  Output flags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Keyword</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Effect</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SAVE_FIGURES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write the per-case PNG figures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CSV_REPORT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write results.csv per case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DISPLAY_WINDOW</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show figures interactively as well as saving them</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Display frequency domain</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compute and report the FD metrics (ILD, ICN)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COM_CONTRIBUTION</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produce the noise/ISI contribution breakdown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DO_NOT_COMPUTE_COM</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run the analysis but skip the final COM evaluation</w:t>
            </w:r>
          </w:p>
        </w:tc>
      </w:tr>
    </w:tbl>
    <w:p>
      <w:pPr>
        <w:pStyle w:val="Normal"/>
        <w:spacing w:before="0" w:after="120"/>
        <w:rPr/>
      </w:pPr>
      <w:r>
        <w:rPr/>
      </w:r>
      <w:r>
        <w:br w:type="page"/>
      </w:r>
    </w:p>
    <w:p>
      <w:pPr>
        <w:pStyle w:val="Heading1"/>
        <w:spacing w:before="0" w:after="160"/>
        <w:rPr/>
      </w:pPr>
      <w:bookmarkStart w:id="26" w:name="__RefHeading___Toc10432_518488682"/>
      <w:bookmarkEnd w:id="26"/>
      <w:r>
        <w:rPr/>
        <w:t>6  Feature reference</w:t>
      </w:r>
    </w:p>
    <w:p>
      <w:pPr>
        <w:pStyle w:val="Normal"/>
        <w:spacing w:before="0" w:after="140"/>
        <w:rPr/>
      </w:pPr>
      <w:r>
        <w:rPr>
          <w:b w:val="false"/>
          <w:i w:val="false"/>
          <w:color w:val="13232C"/>
          <w:sz w:val="21"/>
        </w:rPr>
        <w:t>Every major feature of the MATLAB tool is implemented. This chapter describes what each does, how to enable it, and anything worth knowing before relying on it. Section 11.2 notes which features are covered by an end-to-end run and which are unit-tested only.</w:t>
      </w:r>
    </w:p>
    <w:p>
      <w:pPr>
        <w:pStyle w:val="Heading2"/>
        <w:rPr/>
      </w:pPr>
      <w:bookmarkStart w:id="27" w:name="__RefHeading___Toc10434_518488682"/>
      <w:bookmarkEnd w:id="27"/>
      <w:r>
        <w:rPr/>
        <w:t>6.1  Transmit FFE</w:t>
      </w:r>
    </w:p>
    <w:p>
      <w:pPr>
        <w:pStyle w:val="Normal"/>
        <w:spacing w:before="0" w:after="140"/>
        <w:rPr/>
      </w:pPr>
      <w:r>
        <w:rPr>
          <w:b w:val="false"/>
          <w:i w:val="false"/>
          <w:color w:val="13232C"/>
          <w:sz w:val="21"/>
        </w:rPr>
        <w:t>The TX-FFE grid is built from one value list per tap. Pre-cursor taps are named cm1, cm2, … and post-cursor taps cp1, cp2, …; the cursor is derived so that the tap set sums to unity.</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0A6E94"/>
                <w:kern w:val="0"/>
                <w:sz w:val="20"/>
                <w:szCs w:val="22"/>
                <w:lang w:val="en-US" w:eastAsia="en-US" w:bidi="ar-SA"/>
              </w:rPr>
              <w:t>A tap that is single-valued and zero is treated as absent</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The grid builder drops a leading pre-cursor tap whose only value is 0 and shifts the cursor position accordingly. This matters if you pin a configuration programmatically: collapsing a tap list to [0.0] changes the cursor index and the shape of the tap matrix, not just the search size.</w:t>
            </w:r>
          </w:p>
        </w:tc>
      </w:tr>
    </w:tbl>
    <w:p>
      <w:pPr>
        <w:pStyle w:val="Normal"/>
        <w:spacing w:before="0" w:after="180"/>
        <w:rPr/>
      </w:pPr>
      <w:r>
        <w:rPr/>
      </w:r>
    </w:p>
    <w:p>
      <w:pPr>
        <w:pStyle w:val="Heading2"/>
        <w:rPr/>
      </w:pPr>
      <w:bookmarkStart w:id="28" w:name="__RefHeading___Toc10436_518488682"/>
      <w:bookmarkEnd w:id="28"/>
      <w:r>
        <w:rPr/>
        <w:t>6.2  CTLE</w:t>
      </w:r>
    </w:p>
    <w:p>
      <w:pPr>
        <w:pStyle w:val="Normal"/>
        <w:spacing w:before="0" w:after="140"/>
        <w:rPr/>
      </w:pPr>
      <w:r>
        <w:rPr>
          <w:b w:val="false"/>
          <w:i w:val="false"/>
          <w:color w:val="13232C"/>
          <w:sz w:val="21"/>
        </w:rPr>
        <w:t>The CTLE bank is a list of DC gains with matching pole/zero entries, swept as a unit. A second high-pass stage is swept independently through g_DC_HP_values.</w:t>
      </w:r>
    </w:p>
    <w:p>
      <w:pPr>
        <w:pStyle w:val="Normal"/>
        <w:spacing w:before="0" w:after="140"/>
        <w:rPr/>
      </w:pPr>
      <w:r>
        <w:rPr>
          <w:b w:val="false"/>
          <w:i w:val="false"/>
          <w:color w:val="13232C"/>
          <w:sz w:val="21"/>
        </w:rPr>
        <w:t>The qualification matrix (</w:t>
      </w:r>
      <w:r>
        <w:rPr>
          <w:rFonts w:ascii="Consolas" w:hAnsi="Consolas"/>
          <w:b w:val="false"/>
          <w:i w:val="false"/>
          <w:color w:val="13232C"/>
          <w:sz w:val="19"/>
        </w:rPr>
        <w:t>gqual</w:t>
      </w:r>
      <w:r>
        <w:rPr>
          <w:b w:val="false"/>
          <w:i w:val="false"/>
          <w:color w:val="13232C"/>
          <w:sz w:val="21"/>
        </w:rPr>
        <w:t xml:space="preserve">, </w:t>
      </w:r>
      <w:r>
        <w:rPr>
          <w:rFonts w:ascii="Consolas" w:hAnsi="Consolas"/>
          <w:b w:val="false"/>
          <w:i w:val="false"/>
          <w:color w:val="13232C"/>
          <w:sz w:val="19"/>
        </w:rPr>
        <w:t>g2qual</w:t>
      </w:r>
      <w:r>
        <w:rPr>
          <w:b w:val="false"/>
          <w:i w:val="false"/>
          <w:color w:val="13232C"/>
          <w:sz w:val="21"/>
        </w:rPr>
        <w:t>) can disable specific gain combinations, which the optimiser then skips entirely. This is why the number of candidates actually evaluated is often lower than the nominal grid product.</w:t>
      </w:r>
    </w:p>
    <w:p>
      <w:pPr>
        <w:pStyle w:val="Heading2"/>
        <w:rPr/>
      </w:pPr>
      <w:bookmarkStart w:id="29" w:name="__RefHeading___Toc10438_518488682"/>
      <w:bookmarkEnd w:id="29"/>
      <w:r>
        <w:rPr/>
        <w:t>6.3  Decision feedback equalization</w:t>
      </w:r>
    </w:p>
    <w:p>
      <w:pPr>
        <w:pStyle w:val="Normal"/>
        <w:spacing w:before="0" w:after="140"/>
        <w:rPr/>
      </w:pPr>
      <w:r>
        <w:rPr>
          <w:b w:val="false"/>
          <w:i w:val="false"/>
          <w:color w:val="13232C"/>
          <w:sz w:val="21"/>
        </w:rPr>
        <w:t>N_b sets the number of DFE taps, with bmax/bmin bounding them. Floating DFE extends this: a smaller number of fixed taps plus a group of floating taps placed where the residual ISI actually is.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Keyword</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Role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N_b</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fixed DFE tap count</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bmax, bmin</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per-tap bounds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Floating_DFE</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enable floating taps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N_bmax, N_bg, N_bf</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floating group geometry</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N_tail_start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where the tail region begins</w:t>
            </w:r>
          </w:p>
        </w:tc>
      </w:tr>
    </w:tbl>
    <w:p>
      <w:pPr>
        <w:pStyle w:val="Normal"/>
        <w:spacing w:before="0" w:after="120"/>
        <w:rPr/>
      </w:pPr>
      <w:r>
        <w:rPr/>
      </w:r>
    </w:p>
    <w:p>
      <w:pPr>
        <w:pStyle w:val="Heading2"/>
        <w:rPr/>
      </w:pPr>
      <w:bookmarkStart w:id="30" w:name="__RefHeading___Toc10440_518488682"/>
      <w:bookmarkEnd w:id="30"/>
      <w:r>
        <w:rPr/>
        <w:t>6.4  Receive FFE (MMSE)</w:t>
      </w:r>
    </w:p>
    <w:p>
      <w:pPr>
        <w:pStyle w:val="Normal"/>
        <w:spacing w:before="0" w:after="140"/>
        <w:rPr/>
      </w:pPr>
      <w:r>
        <w:rPr>
          <w:b w:val="false"/>
          <w:i w:val="false"/>
          <w:color w:val="13232C"/>
          <w:sz w:val="21"/>
        </w:rPr>
        <w:t xml:space="preserve">Enabled with </w:t>
      </w:r>
      <w:r>
        <w:rPr>
          <w:rFonts w:ascii="Consolas" w:hAnsi="Consolas"/>
          <w:b w:val="false"/>
          <w:i w:val="false"/>
          <w:color w:val="13232C"/>
          <w:sz w:val="19"/>
        </w:rPr>
        <w:t>RxFFE</w:t>
      </w:r>
      <w:r>
        <w:rPr>
          <w:b w:val="false"/>
          <w:i w:val="false"/>
          <w:color w:val="13232C"/>
          <w:sz w:val="21"/>
        </w:rPr>
        <w:t xml:space="preserve"> and </w:t>
      </w:r>
      <w:r>
        <w:rPr>
          <w:rFonts w:ascii="Consolas" w:hAnsi="Consolas"/>
          <w:b w:val="false"/>
          <w:i w:val="false"/>
          <w:color w:val="13232C"/>
          <w:sz w:val="19"/>
        </w:rPr>
        <w:t>FFE_OPT_METHOD = 'MMSE'</w:t>
      </w:r>
      <w:r>
        <w:rPr>
          <w:b w:val="false"/>
          <w:i w:val="false"/>
          <w:color w:val="13232C"/>
          <w:sz w:val="21"/>
        </w:rPr>
        <w:t>. Tap geometry comes from the ffe_* keywords, and the optimiser solves for the tap values rather than sweeping them.</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B3261E"/>
                <w:kern w:val="0"/>
                <w:sz w:val="20"/>
                <w:szCs w:val="22"/>
                <w:lang w:val="en-US" w:eastAsia="en-US" w:bidi="ar-SA"/>
              </w:rPr>
              <w:t>FFE_OPT_METHOD = 'WIENER-HOPF' is intentionally non-functional</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Its helper is undefined in the MATLAB reference itself, so the Python port reproduces that gap rather than inventing behaviour. Use 'MMSE'.</w:t>
            </w:r>
          </w:p>
        </w:tc>
      </w:tr>
    </w:tbl>
    <w:p>
      <w:pPr>
        <w:pStyle w:val="Normal"/>
        <w:spacing w:before="0" w:after="180"/>
        <w:rPr/>
      </w:pPr>
      <w:r>
        <w:rPr/>
      </w:r>
    </w:p>
    <w:p>
      <w:pPr>
        <w:pStyle w:val="Heading2"/>
        <w:rPr/>
      </w:pPr>
      <w:bookmarkStart w:id="31" w:name="__RefHeading___Toc10442_518488682"/>
      <w:bookmarkEnd w:id="31"/>
      <w:r>
        <w:rPr/>
        <w:t>6.5  MLSE</w:t>
      </w:r>
    </w:p>
    <w:p>
      <w:pPr>
        <w:pStyle w:val="Normal"/>
        <w:spacing w:before="0" w:after="140"/>
        <w:rPr/>
      </w:pPr>
      <w:r>
        <w:rPr>
          <w:b w:val="false"/>
          <w:i w:val="false"/>
          <w:color w:val="13232C"/>
          <w:sz w:val="21"/>
        </w:rPr>
        <w:t>Maximum-likelihood sequence estimation is applied after the main COM evaluation and reports both the original and MLSE-adjusted COM, along with the delta between them and the pre/post detection error ratios.</w:t>
      </w:r>
    </w:p>
    <w:p>
      <w:pPr>
        <w:pStyle w:val="Heading2"/>
        <w:rPr/>
      </w:pPr>
      <w:bookmarkStart w:id="32" w:name="__RefHeading___Toc10444_518488682"/>
      <w:bookmarkEnd w:id="32"/>
      <w:r>
        <w:rPr/>
        <w:t>6.6  Crosstalk</w:t>
      </w:r>
    </w:p>
    <w:p>
      <w:pPr>
        <w:pStyle w:val="Normal"/>
        <w:spacing w:before="0" w:after="140"/>
        <w:rPr/>
      </w:pPr>
      <w:r>
        <w:rPr>
          <w:b w:val="false"/>
          <w:i w:val="false"/>
          <w:color w:val="13232C"/>
          <w:sz w:val="21"/>
        </w:rPr>
        <w:t>FEXT and NEXT aggressors are supplied on the command line and enter the noise budget through their differential coupling responses. Integrated crosstalk noise (ICN) is reported separately in results.csv, and the FD metrics section reports the MDNEXT and MDFEXT components.</w:t>
      </w:r>
    </w:p>
    <w:p>
      <w:pPr>
        <w:pStyle w:val="Heading2"/>
        <w:rPr/>
      </w:pPr>
      <w:bookmarkStart w:id="33" w:name="__RefHeading___Toc10446_518488682"/>
      <w:bookmarkEnd w:id="33"/>
      <w:r>
        <w:rPr/>
        <w:t>6.7  ERL and TDR</w:t>
      </w:r>
    </w:p>
    <w:p>
      <w:pPr>
        <w:pStyle w:val="Normal"/>
        <w:spacing w:before="0" w:after="140"/>
        <w:rPr/>
      </w:pPr>
      <w:r>
        <w:rPr>
          <w:b w:val="false"/>
          <w:i w:val="false"/>
          <w:color w:val="13232C"/>
          <w:sz w:val="21"/>
        </w:rPr>
        <w:t>Effective return loss is computed from a TDR-derived reflection response, reported per port and combined. Governed by the ERL/TDR keyword group (Appendix B), including the reflection weighting terms and the tail region controls.</w:t>
      </w:r>
    </w:p>
    <w:p>
      <w:pPr>
        <w:pStyle w:val="Heading2"/>
        <w:rPr/>
      </w:pPr>
      <w:bookmarkStart w:id="34" w:name="__RefHeading___Toc10448_518488682"/>
      <w:bookmarkEnd w:id="34"/>
      <w:r>
        <w:rPr/>
        <w:t>6.8  Frequency-domain metrics</w:t>
      </w:r>
    </w:p>
    <w:p>
      <w:pPr>
        <w:pStyle w:val="Normal"/>
        <w:spacing w:before="0" w:after="140"/>
        <w:rPr/>
      </w:pPr>
      <w:r>
        <w:rPr>
          <w:b w:val="false"/>
          <w:i w:val="false"/>
          <w:color w:val="13232C"/>
          <w:sz w:val="21"/>
        </w:rPr>
        <w:t xml:space="preserve">Enabled by </w:t>
      </w:r>
      <w:r>
        <w:rPr>
          <w:rFonts w:ascii="Consolas" w:hAnsi="Consolas"/>
          <w:b w:val="false"/>
          <w:i w:val="false"/>
          <w:color w:val="13232C"/>
          <w:sz w:val="19"/>
        </w:rPr>
        <w:t>Display frequency domain</w:t>
      </w:r>
      <w:r>
        <w:rPr>
          <w:b w:val="false"/>
          <w:i w:val="false"/>
          <w:color w:val="13232C"/>
          <w:sz w:val="21"/>
        </w:rPr>
        <w:t>. Produces insertion-loss deviation (ILD) and integrated crosstalk noise over the band defined by f_1, f_2 and the ILD-specific f_2_ILD, plus the fitted insertion loss at Nyquist reported in results.csv.</w:t>
      </w:r>
    </w:p>
    <w:p>
      <w:pPr>
        <w:pStyle w:val="Heading2"/>
        <w:rPr/>
      </w:pPr>
      <w:bookmarkStart w:id="35" w:name="__RefHeading___Toc10450_518488682"/>
      <w:bookmarkEnd w:id="35"/>
      <w:r>
        <w:rPr/>
        <w:t>6.9  Receiver calibration</w:t>
      </w:r>
    </w:p>
    <w:p>
      <w:pPr>
        <w:pStyle w:val="Normal"/>
        <w:spacing w:before="0" w:after="140"/>
        <w:rPr/>
      </w:pPr>
      <w:r>
        <w:rPr>
          <w:b w:val="false"/>
          <w:i w:val="false"/>
          <w:color w:val="13232C"/>
          <w:sz w:val="21"/>
        </w:rPr>
        <w:t xml:space="preserve">With </w:t>
      </w:r>
      <w:r>
        <w:rPr>
          <w:rFonts w:ascii="Consolas" w:hAnsi="Consolas"/>
          <w:b w:val="false"/>
          <w:i w:val="false"/>
          <w:color w:val="13232C"/>
          <w:sz w:val="19"/>
        </w:rPr>
        <w:t>RX_CALIBRATION</w:t>
      </w:r>
      <w:r>
        <w:rPr>
          <w:b w:val="false"/>
          <w:i w:val="false"/>
          <w:color w:val="13232C"/>
          <w:sz w:val="21"/>
        </w:rPr>
        <w:t xml:space="preserve"> the run calibrates receiver noise against a reference PSD rather than using the configured value directly. Used to establish the noise floor a receiver must meet rather than to evaluate a channel.</w:t>
      </w:r>
    </w:p>
    <w:p>
      <w:pPr>
        <w:pStyle w:val="Heading2"/>
        <w:rPr/>
      </w:pPr>
      <w:bookmarkStart w:id="36" w:name="__RefHeading___Toc10452_518488682"/>
      <w:bookmarkEnd w:id="36"/>
      <w:r>
        <w:rPr/>
        <w:t>6.10  C2M: VEO and VEC</w:t>
      </w:r>
    </w:p>
    <w:p>
      <w:pPr>
        <w:pStyle w:val="Normal"/>
        <w:spacing w:before="0" w:after="140"/>
        <w:rPr/>
      </w:pPr>
      <w:r>
        <w:rPr>
          <w:b w:val="false"/>
          <w:i w:val="false"/>
          <w:color w:val="13232C"/>
          <w:sz w:val="21"/>
        </w:rPr>
        <w:t>C2M configurations evaluate vertical eye opening and vertical eye closure alongside COM, and run the optimiser in two passes — the second relaxes the VEO test if the first found no viable equalizer setting. Both appear in the result block.</w:t>
      </w:r>
    </w:p>
    <w:p>
      <w:pPr>
        <w:pStyle w:val="Heading2"/>
        <w:rPr/>
      </w:pPr>
      <w:bookmarkStart w:id="37" w:name="__RefHeading___Toc10454_518488682"/>
      <w:bookmarkEnd w:id="37"/>
      <w:r>
        <w:rPr/>
        <w:t>6.11  Error propagation</w:t>
      </w:r>
    </w:p>
    <w:p>
      <w:pPr>
        <w:pStyle w:val="Normal"/>
        <w:spacing w:before="0" w:after="140"/>
        <w:rPr/>
      </w:pPr>
      <w:r>
        <w:rPr>
          <w:b w:val="false"/>
          <w:i w:val="false"/>
          <w:color w:val="13232C"/>
          <w:sz w:val="21"/>
        </w:rPr>
        <w:t>DFE error propagation can be modelled either with a simple analytic model or the fuller burst-based treatment, selected by "Use simple error propagation model", with a configurable COM margin applied to the result.</w:t>
      </w:r>
      <w:r>
        <w:br w:type="page"/>
      </w:r>
    </w:p>
    <w:p>
      <w:pPr>
        <w:pStyle w:val="Heading1"/>
        <w:spacing w:before="0" w:after="160"/>
        <w:rPr/>
      </w:pPr>
      <w:bookmarkStart w:id="38" w:name="__RefHeading___Toc10456_518488682"/>
      <w:bookmarkEnd w:id="38"/>
      <w:r>
        <w:rPr/>
        <w:t>7  Outputs</w:t>
      </w:r>
    </w:p>
    <w:p>
      <w:pPr>
        <w:pStyle w:val="Heading2"/>
        <w:rPr/>
      </w:pPr>
      <w:bookmarkStart w:id="39" w:name="__RefHeading___Toc10458_518488682"/>
      <w:bookmarkEnd w:id="39"/>
      <w:r>
        <w:rPr/>
        <w:t>7.1  The result block</w:t>
      </w:r>
    </w:p>
    <w:p>
      <w:pPr>
        <w:pStyle w:val="Normal"/>
        <w:spacing w:before="0" w:after="140"/>
        <w:rPr/>
      </w:pPr>
      <w:r>
        <w:rPr>
          <w:b w:val="false"/>
          <w:i w:val="false"/>
          <w:color w:val="13232C"/>
          <w:sz w:val="21"/>
        </w:rPr>
        <w:t>Printed per package case, and the primary answer:</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Field</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Meaning</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COM_dB</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channel operating margin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VEO_mV</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vertical eye opening (C2M)</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VEC_dB</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vertical eye closure (C2M)</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FOM_ILD</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insertion-loss-deviation figure of merit</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ICN_mV</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integrated crosstalk noise; zero when no aggressors were supplied</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Result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PASS or FAIL against COM Pass threshold</w:t>
            </w:r>
          </w:p>
        </w:tc>
      </w:tr>
    </w:tbl>
    <w:p>
      <w:pPr>
        <w:pStyle w:val="Normal"/>
        <w:spacing w:before="0" w:after="120"/>
        <w:rPr/>
      </w:pPr>
      <w:r>
        <w:rPr/>
      </w:r>
    </w:p>
    <w:p>
      <w:pPr>
        <w:pStyle w:val="Heading2"/>
        <w:rPr/>
      </w:pPr>
      <w:bookmarkStart w:id="40" w:name="__RefHeading___Toc10460_518488682"/>
      <w:bookmarkEnd w:id="40"/>
      <w:r>
        <w:rPr/>
        <w:t>7.2  results.csv</w:t>
      </w:r>
    </w:p>
    <w:p>
      <w:pPr>
        <w:pStyle w:val="Normal"/>
        <w:spacing w:before="0" w:after="140"/>
        <w:rPr/>
      </w:pPr>
      <w:r>
        <w:rPr>
          <w:b w:val="false"/>
          <w:i w:val="false"/>
          <w:color w:val="13232C"/>
          <w:sz w:val="21"/>
        </w:rPr>
        <w:t>One row per case, carrying the quantities that are awkward to read from the console: the resolved port order, impedance estimates, per-port and combined ERL, crosstalk ICN components, and the fitted insertion loss at Nyquist.</w:t>
      </w:r>
    </w:p>
    <w:p>
      <w:pPr>
        <w:pStyle w:val="Heading2"/>
        <w:rPr/>
      </w:pPr>
      <w:bookmarkStart w:id="41" w:name="__RefHeading___Toc10462_518488682"/>
      <w:bookmarkEnd w:id="41"/>
      <w:r>
        <w:rPr/>
        <w:t>7.3  Figures</w:t>
      </w:r>
    </w:p>
    <w:p>
      <w:pPr>
        <w:pStyle w:val="Normal"/>
        <w:spacing w:before="0" w:after="140"/>
        <w:rPr/>
      </w:pPr>
      <w:r>
        <w:rPr>
          <w:b w:val="false"/>
          <w:i w:val="false"/>
          <w:color w:val="13232C"/>
          <w:sz w:val="21"/>
        </w:rPr>
        <w:t>The figures below are from the canonical run in Section 2.3 — real output, not illustrations. They are written per case when SAVE_FIGURES is enabled.</w:t>
      </w:r>
    </w:p>
    <w:p>
      <w:pPr>
        <w:pStyle w:val="Normal"/>
        <w:jc w:val="center"/>
        <w:rPr/>
      </w:pPr>
      <w:r>
        <w:rPr/>
        <w:drawing>
          <wp:inline distT="0" distB="0" distL="0" distR="0">
            <wp:extent cx="5120640" cy="284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120640" cy="2844800"/>
                    </a:xfrm>
                    <a:prstGeom prst="rect">
                      <a:avLst/>
                    </a:prstGeom>
                    <a:noFill/>
                  </pic:spPr>
                </pic:pic>
              </a:graphicData>
            </a:graphic>
          </wp:inline>
        </w:drawing>
      </w:r>
    </w:p>
    <w:p>
      <w:pPr>
        <w:pStyle w:val="Normal"/>
        <w:spacing w:before="40" w:after="240"/>
        <w:jc w:val="center"/>
        <w:rPr/>
      </w:pPr>
      <w:r>
        <w:rPr>
          <w:b w:val="false"/>
          <w:i/>
          <w:color w:val="5A6B74"/>
          <w:sz w:val="17"/>
        </w:rPr>
        <w:t>Figure 1. Channel insertion loss. The first thing to check when a result looks wrong: if the channel is not what you think it is, nothing downstream is meaningful.</w:t>
      </w:r>
    </w:p>
    <w:p>
      <w:pPr>
        <w:pStyle w:val="Normal"/>
        <w:jc w:val="center"/>
        <w:rPr/>
      </w:pPr>
      <w:r>
        <w:rPr/>
        <w:drawing>
          <wp:inline distT="0" distB="0" distL="0" distR="0">
            <wp:extent cx="512064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120640" cy="2560320"/>
                    </a:xfrm>
                    <a:prstGeom prst="rect">
                      <a:avLst/>
                    </a:prstGeom>
                    <a:noFill/>
                  </pic:spPr>
                </pic:pic>
              </a:graphicData>
            </a:graphic>
          </wp:inline>
        </w:drawing>
      </w:r>
    </w:p>
    <w:p>
      <w:pPr>
        <w:pStyle w:val="Normal"/>
        <w:spacing w:before="40" w:after="240"/>
        <w:jc w:val="center"/>
        <w:rPr/>
      </w:pPr>
      <w:r>
        <w:rPr>
          <w:b w:val="false"/>
          <w:i/>
          <w:color w:val="5A6B74"/>
          <w:sz w:val="17"/>
        </w:rPr>
        <w:t>Figure 2. Single-bit (pulse) response. The cursor, pre-cursor and post-cursor ISI visible here are what the equalizer chain is working against.</w:t>
      </w:r>
    </w:p>
    <w:p>
      <w:pPr>
        <w:pStyle w:val="Normal"/>
        <w:jc w:val="center"/>
        <w:rPr/>
      </w:pPr>
      <w:r>
        <w:rPr/>
        <w:drawing>
          <wp:inline distT="0" distB="0" distL="0" distR="0">
            <wp:extent cx="5120640" cy="2612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120640" cy="2612390"/>
                    </a:xfrm>
                    <a:prstGeom prst="rect">
                      <a:avLst/>
                    </a:prstGeom>
                    <a:noFill/>
                  </pic:spPr>
                </pic:pic>
              </a:graphicData>
            </a:graphic>
          </wp:inline>
        </w:drawing>
      </w:r>
    </w:p>
    <w:p>
      <w:pPr>
        <w:pStyle w:val="Normal"/>
        <w:spacing w:before="40" w:after="240"/>
        <w:jc w:val="center"/>
        <w:rPr/>
      </w:pPr>
      <w:r>
        <w:rPr>
          <w:b w:val="false"/>
          <w:i/>
          <w:color w:val="5A6B74"/>
          <w:sz w:val="17"/>
        </w:rPr>
        <w:t>Figure 3. Equalized versus unequalized pulse response — the effect of the winning TX-FFE / CTLE / DFE setting.</w:t>
      </w:r>
    </w:p>
    <w:p>
      <w:pPr>
        <w:pStyle w:val="Normal"/>
        <w:jc w:val="center"/>
        <w:rPr/>
      </w:pPr>
      <w:r>
        <w:rPr/>
        <w:drawing>
          <wp:inline distT="0" distB="0" distL="0" distR="0">
            <wp:extent cx="5120640" cy="2503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120640" cy="2503170"/>
                    </a:xfrm>
                    <a:prstGeom prst="rect">
                      <a:avLst/>
                    </a:prstGeom>
                    <a:noFill/>
                  </pic:spPr>
                </pic:pic>
              </a:graphicData>
            </a:graphic>
          </wp:inline>
        </w:drawing>
      </w:r>
    </w:p>
    <w:p>
      <w:pPr>
        <w:pStyle w:val="Normal"/>
        <w:spacing w:before="40" w:after="240"/>
        <w:jc w:val="center"/>
        <w:rPr/>
      </w:pPr>
      <w:r>
        <w:rPr>
          <w:b w:val="false"/>
          <w:i/>
          <w:color w:val="5A6B74"/>
          <w:sz w:val="17"/>
        </w:rPr>
        <w:t>Figure 4. FOM through the equalizer search. Chapter 8 is, in effect, an investigation of how much of this search is actually necessary.</w:t>
      </w:r>
    </w:p>
    <w:p>
      <w:pPr>
        <w:pStyle w:val="Normal"/>
        <w:jc w:val="center"/>
        <w:rPr/>
      </w:pPr>
      <w:r>
        <w:rPr/>
        <w:drawing>
          <wp:inline distT="0" distB="0" distL="0" distR="0">
            <wp:extent cx="5120640" cy="2694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120640" cy="2694940"/>
                    </a:xfrm>
                    <a:prstGeom prst="rect">
                      <a:avLst/>
                    </a:prstGeom>
                    <a:noFill/>
                  </pic:spPr>
                </pic:pic>
              </a:graphicData>
            </a:graphic>
          </wp:inline>
        </w:drawing>
      </w:r>
    </w:p>
    <w:p>
      <w:pPr>
        <w:pStyle w:val="Normal"/>
        <w:spacing w:before="40" w:after="240"/>
        <w:jc w:val="center"/>
        <w:rPr/>
      </w:pPr>
      <w:r>
        <w:rPr>
          <w:b w:val="false"/>
          <w:i/>
          <w:color w:val="5A6B74"/>
          <w:sz w:val="17"/>
        </w:rPr>
        <w:t>Figure 5. Statistical eye contour at the target BER.</w:t>
      </w:r>
    </w:p>
    <w:p>
      <w:pPr>
        <w:pStyle w:val="Normal"/>
        <w:jc w:val="center"/>
        <w:rPr/>
      </w:pPr>
      <w:r>
        <w:rPr/>
        <w:drawing>
          <wp:inline distT="0" distB="0" distL="0" distR="0">
            <wp:extent cx="5120640" cy="2694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120640" cy="2694940"/>
                    </a:xfrm>
                    <a:prstGeom prst="rect">
                      <a:avLst/>
                    </a:prstGeom>
                    <a:noFill/>
                  </pic:spPr>
                </pic:pic>
              </a:graphicData>
            </a:graphic>
          </wp:inline>
        </w:drawing>
      </w:r>
    </w:p>
    <w:p>
      <w:pPr>
        <w:pStyle w:val="Normal"/>
        <w:spacing w:before="40" w:after="240"/>
        <w:jc w:val="center"/>
        <w:rPr/>
      </w:pPr>
      <w:r>
        <w:rPr>
          <w:b w:val="false"/>
          <w:i/>
          <w:color w:val="5A6B74"/>
          <w:sz w:val="17"/>
        </w:rPr>
        <w:t>Figure 6. Noise and interference probability densities. COM is derived from the tail of the combined distribution, which is why a Gaussian approximation is not sufficient.</w:t>
      </w:r>
    </w:p>
    <w:p>
      <w:pPr>
        <w:pStyle w:val="Normal"/>
        <w:jc w:val="center"/>
        <w:rPr/>
      </w:pPr>
      <w:r>
        <w:rPr/>
        <w:drawing>
          <wp:inline distT="0" distB="0" distL="0" distR="0">
            <wp:extent cx="4572000" cy="4220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572000" cy="4220210"/>
                    </a:xfrm>
                    <a:prstGeom prst="rect">
                      <a:avLst/>
                    </a:prstGeom>
                    <a:noFill/>
                  </pic:spPr>
                </pic:pic>
              </a:graphicData>
            </a:graphic>
          </wp:inline>
        </w:drawing>
      </w:r>
    </w:p>
    <w:p>
      <w:pPr>
        <w:pStyle w:val="Normal"/>
        <w:spacing w:before="40" w:after="240"/>
        <w:jc w:val="center"/>
        <w:rPr/>
      </w:pPr>
      <w:r>
        <w:rPr>
          <w:b w:val="false"/>
          <w:i/>
          <w:color w:val="5A6B74"/>
          <w:sz w:val="17"/>
        </w:rPr>
        <w:t>Figure 7. Contribution breakdown — where the margin is being spent.</w:t>
      </w:r>
    </w:p>
    <w:p>
      <w:pPr>
        <w:pStyle w:val="Heading2"/>
        <w:rPr/>
      </w:pPr>
      <w:bookmarkStart w:id="42" w:name="__RefHeading___Toc10464_518488682"/>
      <w:bookmarkEnd w:id="42"/>
      <w:r>
        <w:rPr/>
        <w:t>7.4  Engineering .mat export</w:t>
      </w:r>
    </w:p>
    <w:p>
      <w:pPr>
        <w:pStyle w:val="Normal"/>
        <w:spacing w:before="0" w:after="140"/>
        <w:rPr/>
      </w:pPr>
      <w:r>
        <w:rPr>
          <w:b w:val="false"/>
          <w:i w:val="false"/>
          <w:color w:val="13232C"/>
          <w:sz w:val="21"/>
        </w:rPr>
        <w:t xml:space="preserve">Adding </w:t>
      </w:r>
      <w:r>
        <w:rPr>
          <w:rFonts w:ascii="Consolas" w:hAnsi="Consolas"/>
          <w:b w:val="false"/>
          <w:i w:val="false"/>
          <w:color w:val="13232C"/>
          <w:sz w:val="19"/>
        </w:rPr>
        <w:t>--export-mat</w:t>
      </w:r>
      <w:r>
        <w:rPr>
          <w:b w:val="false"/>
          <w:i w:val="false"/>
          <w:color w:val="13232C"/>
          <w:sz w:val="21"/>
        </w:rPr>
        <w:t xml:space="preserve"> writes a MATLAB v5 snapshot per case alongside the standard outputs. It is an </w:t>
      </w:r>
      <w:r>
        <w:rPr>
          <w:b/>
          <w:i w:val="false"/>
          <w:color w:val="13232C"/>
          <w:sz w:val="21"/>
        </w:rPr>
        <w:t>additive debug export</w:t>
      </w:r>
      <w:r>
        <w:rPr>
          <w:b w:val="false"/>
          <w:i w:val="false"/>
          <w:color w:val="13232C"/>
          <w:sz w:val="21"/>
        </w:rPr>
        <w:t>: it changes no COM result, report or figure.</w:t>
      </w:r>
    </w:p>
    <w:p>
      <w:pPr>
        <w:pStyle w:val="Normal"/>
        <w:spacing w:before="0" w:after="140"/>
        <w:rPr/>
      </w:pPr>
      <w:r>
        <w:rPr>
          <w:b w:val="false"/>
          <w:i w:val="false"/>
          <w:color w:val="13232C"/>
          <w:sz w:val="21"/>
        </w:rPr>
        <w:t>It captures the intermediate quantities the run already computed:</w:t>
      </w:r>
    </w:p>
    <w:p>
      <w:pPr>
        <w:pStyle w:val="ListBullet"/>
        <w:numPr>
          <w:ilvl w:val="0"/>
          <w:numId w:val="1"/>
        </w:numPr>
        <w:spacing w:before="0" w:after="60"/>
        <w:contextualSpacing/>
        <w:rPr/>
      </w:pPr>
      <w:r>
        <w:rPr>
          <w:b/>
          <w:color w:val="13232C"/>
          <w:sz w:val="21"/>
        </w:rPr>
        <w:t>Frequency-domain equalizer chain</w:t>
      </w:r>
      <w:r>
        <w:rPr>
          <w:color w:val="13232C"/>
          <w:sz w:val="21"/>
        </w:rPr>
        <w:t xml:space="preserve">  H_channel, H_ctle, H_ch_ctle, H_ffe, H_tx, H_final, plus crosstalk H_next / H_fext.</w:t>
      </w:r>
    </w:p>
    <w:p>
      <w:pPr>
        <w:pStyle w:val="ListBullet"/>
        <w:numPr>
          <w:ilvl w:val="0"/>
          <w:numId w:val="1"/>
        </w:numPr>
        <w:spacing w:before="0" w:after="60"/>
        <w:contextualSpacing/>
        <w:rPr/>
      </w:pPr>
      <w:r>
        <w:rPr>
          <w:b/>
          <w:color w:val="13232C"/>
          <w:sz w:val="21"/>
        </w:rPr>
        <w:t>Time domain</w:t>
      </w:r>
      <w:r>
        <w:rPr>
          <w:color w:val="13232C"/>
          <w:sz w:val="21"/>
        </w:rPr>
        <w:t xml:space="preserve">  per-stage impulse and pulse responses.</w:t>
      </w:r>
    </w:p>
    <w:p>
      <w:pPr>
        <w:pStyle w:val="ListBullet"/>
        <w:numPr>
          <w:ilvl w:val="0"/>
          <w:numId w:val="1"/>
        </w:numPr>
        <w:spacing w:before="0" w:after="60"/>
        <w:contextualSpacing/>
        <w:rPr/>
      </w:pPr>
      <w:r>
        <w:rPr>
          <w:b/>
          <w:color w:val="13232C"/>
          <w:sz w:val="21"/>
        </w:rPr>
        <w:t>Statistics</w:t>
      </w:r>
      <w:r>
        <w:rPr>
          <w:color w:val="13232C"/>
          <w:sz w:val="21"/>
        </w:rPr>
        <w:t xml:space="preserve">  the eye/BER contour and the combined and component noise PDF/CDF.</w:t>
      </w:r>
    </w:p>
    <w:p>
      <w:pPr>
        <w:pStyle w:val="ListBullet"/>
        <w:numPr>
          <w:ilvl w:val="0"/>
          <w:numId w:val="1"/>
        </w:numPr>
        <w:spacing w:before="0" w:after="60"/>
        <w:contextualSpacing/>
        <w:rPr/>
      </w:pPr>
      <w:r>
        <w:rPr>
          <w:b/>
          <w:color w:val="13232C"/>
          <w:sz w:val="21"/>
        </w:rPr>
        <w:t>Metrics and provenance</w:t>
      </w:r>
      <w:r>
        <w:rPr>
          <w:color w:val="13232C"/>
          <w:sz w:val="21"/>
        </w:rPr>
        <w:t xml:space="preserve">  all COM metrics, a self-describing config struct, and run metadata including timestamp, versions and input files.</w:t>
      </w:r>
    </w:p>
    <w:p>
      <w:pPr>
        <w:pStyle w:val="Normal"/>
        <w:spacing w:before="0" w:after="140"/>
        <w:rPr/>
      </w:pPr>
      <w:r>
        <w:rPr>
          <w:b w:val="false"/>
          <w:i w:val="false"/>
          <w:color w:val="13232C"/>
          <w:sz w:val="21"/>
        </w:rPr>
        <w:t xml:space="preserve">It also adds </w:t>
      </w:r>
      <w:r>
        <w:rPr>
          <w:rFonts w:ascii="Consolas" w:hAnsi="Consolas"/>
          <w:b w:val="false"/>
          <w:i w:val="false"/>
          <w:color w:val="13232C"/>
          <w:sz w:val="19"/>
        </w:rPr>
        <w:t>FOM_gauss_dB</w:t>
      </w:r>
      <w:r>
        <w:rPr>
          <w:b w:val="false"/>
          <w:i w:val="false"/>
          <w:color w:val="13232C"/>
          <w:sz w:val="21"/>
        </w:rPr>
        <w:t xml:space="preserve"> — the COM you would get if the combined interference-plus-noise distribution were purely Gaussian. The gap to </w:t>
      </w:r>
      <w:r>
        <w:rPr>
          <w:rFonts w:ascii="Consolas" w:hAnsi="Consolas"/>
          <w:b w:val="false"/>
          <w:i w:val="false"/>
          <w:color w:val="13232C"/>
          <w:sz w:val="19"/>
        </w:rPr>
        <w:t>COM_dB</w:t>
      </w:r>
      <w:r>
        <w:rPr>
          <w:b w:val="false"/>
          <w:i w:val="false"/>
          <w:color w:val="13232C"/>
          <w:sz w:val="21"/>
        </w:rPr>
        <w:t xml:space="preserve"> quantifies the non-Gaussian tail penalty.</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0A6E94"/>
                <w:kern w:val="0"/>
                <w:sz w:val="20"/>
                <w:szCs w:val="22"/>
                <w:lang w:val="en-US" w:eastAsia="en-US" w:bidi="ar-SA"/>
              </w:rPr>
              <w:t>What is measured versus what is reconstructed</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H_channel, H_ctle and H_ch_ctle are genuine captured responses. H_ffe is evaluated from the selected TX-FFE taps, and H_tx / H_final are their products. DFE is a time-domain term and is deliberately absent from the FD chain. Each file records this in meta.notes.</w:t>
            </w:r>
          </w:p>
        </w:tc>
      </w:tr>
    </w:tbl>
    <w:p>
      <w:pPr>
        <w:pStyle w:val="Normal"/>
        <w:spacing w:before="0" w:after="180"/>
        <w:rPr/>
      </w:pPr>
      <w:r>
        <w:rPr/>
      </w:r>
      <w:r>
        <w:br w:type="page"/>
      </w:r>
    </w:p>
    <w:p>
      <w:pPr>
        <w:pStyle w:val="Heading1"/>
        <w:spacing w:before="0" w:after="160"/>
        <w:rPr/>
      </w:pPr>
      <w:bookmarkStart w:id="43" w:name="__RefHeading___Toc10466_518488682"/>
      <w:bookmarkEnd w:id="43"/>
      <w:r>
        <w:rPr/>
        <w:t>8  The equalizer-search study</w:t>
      </w:r>
    </w:p>
    <w:p>
      <w:pPr>
        <w:pStyle w:val="Normal"/>
        <w:spacing w:before="0" w:after="140"/>
        <w:rPr/>
      </w:pPr>
      <w:r>
        <w:rPr>
          <w:b w:val="false"/>
          <w:i w:val="false"/>
          <w:color w:val="13232C"/>
          <w:sz w:val="21"/>
        </w:rPr>
        <w:t>The optimiser must choose a TX-FFE / CTLE / DFE setting before COM can be evaluated. Doing that exhaustively is expensive, so the tool offers pruned alternatives. Whether pruning changes the answer is a question worth settling with measurement rather than assumption, and this chapter is the tooling built to settle it.</w:t>
      </w:r>
    </w:p>
    <w:p>
      <w:pPr>
        <w:pStyle w:val="Heading2"/>
        <w:rPr/>
      </w:pPr>
      <w:bookmarkStart w:id="44" w:name="__RefHeading___Toc10468_518488682"/>
      <w:bookmarkEnd w:id="44"/>
      <w:r>
        <w:rPr/>
        <w:t>8.1  Three search methods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68"/>
        <w:gridCol w:w="3168"/>
        <w:gridCol w:w="3168"/>
      </w:tblGrid>
      <w:tr>
        <w:trPr/>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Method</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Configuration</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Behaviour</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Full grid</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Local Search = 0</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Exhaustive. The reference answer.</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Legacy local search</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Local Search = N, Non-zero Local Search Method = 0</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Prunes candidates outside a fixed radius of the current best.</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Adaptive local search</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Local Search = N, Non-zero Local Search Method = 1</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Radius grows and shrinks with recent FOM improvement; prunes on a weighted L1/L2 tap-space distance from the current best.</w:t>
            </w:r>
          </w:p>
        </w:tc>
      </w:tr>
    </w:tbl>
    <w:p>
      <w:pPr>
        <w:pStyle w:val="Normal"/>
        <w:spacing w:before="0" w:after="120"/>
        <w:rPr/>
      </w:pPr>
      <w:r>
        <w:rPr/>
      </w:r>
    </w:p>
    <w:p>
      <w:pPr>
        <w:pStyle w:val="Heading2"/>
        <w:rPr/>
      </w:pPr>
      <w:bookmarkStart w:id="45" w:name="__RefHeading___Toc10470_518488682"/>
      <w:bookmarkEnd w:id="45"/>
      <w:r>
        <w:rPr/>
        <w:t>8.2  Why FOM is not the whole story</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0A6E94"/>
                <w:kern w:val="0"/>
                <w:sz w:val="20"/>
                <w:szCs w:val="22"/>
                <w:lang w:val="en-US" w:eastAsia="en-US" w:bidi="ar-SA"/>
              </w:rPr>
              <w:t>The search optimises FOM. The pass/fail criterion is COM.</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COM is deliberately not computed during the search — evaluating it per candidate would mean the full PDF/CDF convolution on every grid point. It is evaluated once at the end, from the winning setting. FOM is therefore a proxy, and any pruning method is safe only to the extent that COM is flat across the top of the FOM surface.</w:t>
            </w:r>
          </w:p>
        </w:tc>
      </w:tr>
    </w:tbl>
    <w:p>
      <w:pPr>
        <w:pStyle w:val="Normal"/>
        <w:spacing w:before="0" w:after="180"/>
        <w:rPr/>
      </w:pPr>
      <w:r>
        <w:rPr/>
      </w:r>
    </w:p>
    <w:p>
      <w:pPr>
        <w:pStyle w:val="Normal"/>
        <w:spacing w:before="0" w:after="140"/>
        <w:rPr/>
      </w:pPr>
      <w:r>
        <w:rPr>
          <w:b w:val="false"/>
          <w:i w:val="false"/>
          <w:color w:val="13232C"/>
          <w:sz w:val="21"/>
        </w:rPr>
        <w:t>That makes two separate questions, and the tooling answers both:</w:t>
      </w:r>
    </w:p>
    <w:p>
      <w:pPr>
        <w:pStyle w:val="ListBullet"/>
        <w:numPr>
          <w:ilvl w:val="0"/>
          <w:numId w:val="1"/>
        </w:numPr>
        <w:spacing w:before="0" w:after="60"/>
        <w:contextualSpacing/>
        <w:rPr/>
      </w:pPr>
      <w:r>
        <w:rPr>
          <w:b/>
          <w:color w:val="13232C"/>
          <w:sz w:val="21"/>
        </w:rPr>
        <w:t>Does pruning change COM?</w:t>
      </w:r>
      <w:r>
        <w:rPr>
          <w:color w:val="13232C"/>
          <w:sz w:val="21"/>
        </w:rPr>
        <w:t xml:space="preserve">  Compare methods on the same channel — Section 8.3.</w:t>
      </w:r>
    </w:p>
    <w:p>
      <w:pPr>
        <w:pStyle w:val="ListBullet"/>
        <w:numPr>
          <w:ilvl w:val="0"/>
          <w:numId w:val="1"/>
        </w:numPr>
        <w:spacing w:before="0" w:after="60"/>
        <w:contextualSpacing/>
        <w:rPr/>
      </w:pPr>
      <w:r>
        <w:rPr>
          <w:b/>
          <w:color w:val="13232C"/>
          <w:sz w:val="21"/>
        </w:rPr>
        <w:t>Is FOM a faithful proxy for COM at all?</w:t>
      </w:r>
      <w:r>
        <w:rPr>
          <w:color w:val="13232C"/>
          <w:sz w:val="21"/>
        </w:rPr>
        <w:t xml:space="preserve">  Recompute true COM for the top-K candidates by FOM — Section 8.4. This cost is paid by every method, including the exhaustive grid.</w:t>
      </w:r>
    </w:p>
    <w:p>
      <w:pPr>
        <w:pStyle w:val="Heading2"/>
        <w:rPr/>
      </w:pPr>
      <w:bookmarkStart w:id="46" w:name="__RefHeading___Toc10472_518488682"/>
      <w:bookmarkEnd w:id="46"/>
      <w:r>
        <w:rPr/>
        <w:t>8.3  Comparing methods on one channel</w:t>
      </w:r>
    </w:p>
    <w:p>
      <w:pPr>
        <w:pStyle w:val="Normal"/>
        <w:shd w:val="clear" w:fill="F2F6F8"/>
        <w:spacing w:before="80" w:after="180"/>
        <w:ind w:start="187"/>
        <w:rPr/>
      </w:pPr>
      <w:r>
        <w:rPr>
          <w:rFonts w:ascii="Consolas" w:hAnsi="Consolas"/>
          <w:color w:val="13232C"/>
          <w:sz w:val="17"/>
        </w:rPr>
        <w:t>python tools/sweep_compare.py &lt;config.xlsx&gt; &lt;thru.s4p&gt; \</w:t>
        <w:br/>
        <w:t xml:space="preserve">       --local-search 2 --max-ctle 3 --max-tap-vals 3</w:t>
      </w:r>
    </w:p>
    <w:p>
      <w:pPr>
        <w:pStyle w:val="Normal"/>
        <w:spacing w:before="0" w:after="140"/>
        <w:rPr/>
      </w:pPr>
      <w:r>
        <w:rPr>
          <w:b w:val="false"/>
          <w:i w:val="false"/>
          <w:color w:val="13232C"/>
          <w:sz w:val="21"/>
        </w:rPr>
        <w:t xml:space="preserve">The </w:t>
      </w:r>
      <w:r>
        <w:rPr>
          <w:rFonts w:ascii="Consolas" w:hAnsi="Consolas"/>
          <w:b w:val="false"/>
          <w:i w:val="false"/>
          <w:color w:val="13232C"/>
          <w:sz w:val="19"/>
        </w:rPr>
        <w:t>--max-ctle</w:t>
      </w:r>
      <w:r>
        <w:rPr>
          <w:b w:val="false"/>
          <w:i w:val="false"/>
          <w:color w:val="13232C"/>
          <w:sz w:val="21"/>
        </w:rPr>
        <w:t xml:space="preserve"> and </w:t>
      </w:r>
      <w:r>
        <w:rPr>
          <w:rFonts w:ascii="Consolas" w:hAnsi="Consolas"/>
          <w:b w:val="false"/>
          <w:i w:val="false"/>
          <w:color w:val="13232C"/>
          <w:sz w:val="19"/>
        </w:rPr>
        <w:t>--max-tap-vals</w:t>
      </w:r>
      <w:r>
        <w:rPr>
          <w:b w:val="false"/>
          <w:i w:val="false"/>
          <w:color w:val="13232C"/>
          <w:sz w:val="21"/>
        </w:rPr>
        <w:t xml:space="preserve"> options shrink the grid so the exhaustive reference stays tractable; they must be identical across anything you intend to compare. Output lands in </w:t>
      </w:r>
      <w:r>
        <w:rPr>
          <w:rFonts w:ascii="Consolas" w:hAnsi="Consolas"/>
          <w:b w:val="false"/>
          <w:i w:val="false"/>
          <w:color w:val="13232C"/>
          <w:sz w:val="19"/>
        </w:rPr>
        <w:t>sweep_results/</w:t>
      </w:r>
      <w:r>
        <w:rPr>
          <w:b w:val="false"/>
          <w:i w:val="false"/>
          <w:color w:val="13232C"/>
          <w:sz w:val="21"/>
        </w:rPr>
        <w:t>:</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File</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Contents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full_grid_log.csv, legacy_log.csv, adaptive_log.csv</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per-candidate trajectory, one row per TX-FFE candidate considered</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adaptive_radius_log.csv</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adaptive-search internals per iteration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summary.json</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per-method COM, best FOM, evaluated/skipped counts, speedup, the winning EQ point, and whether each method matched the full grid</w:t>
            </w:r>
          </w:p>
        </w:tc>
      </w:tr>
    </w:tbl>
    <w:p>
      <w:pPr>
        <w:pStyle w:val="Normal"/>
        <w:spacing w:before="0" w:after="120"/>
        <w:rPr/>
      </w:pPr>
      <w:r>
        <w:rPr/>
      </w:r>
    </w:p>
    <w:p>
      <w:pPr>
        <w:pStyle w:val="Heading2"/>
        <w:rPr/>
      </w:pPr>
      <w:bookmarkStart w:id="47" w:name="__RefHeading___Toc10474_518488682"/>
      <w:bookmarkEnd w:id="47"/>
      <w:r>
        <w:rPr/>
        <w:t>8.4  Recomputing true COM near the optimum</w:t>
      </w:r>
    </w:p>
    <w:p>
      <w:pPr>
        <w:pStyle w:val="Normal"/>
        <w:shd w:val="clear" w:fill="F2F6F8"/>
        <w:spacing w:before="80" w:after="180"/>
        <w:ind w:start="187"/>
        <w:rPr/>
      </w:pPr>
      <w:r>
        <w:rPr>
          <w:rFonts w:ascii="Consolas" w:hAnsi="Consolas"/>
          <w:color w:val="13232C"/>
          <w:sz w:val="17"/>
        </w:rPr>
        <w:t>python tools/fom_com_probe.py &lt;config.xlsx&gt; &lt;thru.s4p&gt; \</w:t>
        <w:br/>
        <w:t xml:space="preserve">       --sweep-dir sweep_results --top-k 20</w:t>
      </w:r>
    </w:p>
    <w:p>
      <w:pPr>
        <w:pStyle w:val="Normal"/>
        <w:spacing w:before="0" w:after="140"/>
        <w:rPr/>
      </w:pPr>
      <w:r>
        <w:rPr>
          <w:b w:val="false"/>
          <w:i w:val="false"/>
          <w:color w:val="13232C"/>
          <w:sz w:val="21"/>
        </w:rPr>
        <w:t>This takes the top-K candidates by FOM, pins the search to each one in turn, and computes its actual COM. It reports the rank correlation between FOM and COM, and the COM regret — how much COM is given up by trusting the FOM ranking.</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0A6E94"/>
                <w:kern w:val="0"/>
                <w:sz w:val="20"/>
                <w:szCs w:val="22"/>
                <w:lang w:val="en-US" w:eastAsia="en-US" w:bidi="ar-SA"/>
              </w:rPr>
              <w:t>Use at least K = 20</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With small K the Spearman correlation can only take a handful of values and carries almost no information. K = 20 is what produces a trustworthy coefficient.</w:t>
            </w:r>
          </w:p>
        </w:tc>
      </w:tr>
    </w:tbl>
    <w:p>
      <w:pPr>
        <w:pStyle w:val="Normal"/>
        <w:spacing w:before="0" w:after="180"/>
        <w:rPr/>
      </w:pPr>
      <w:r>
        <w:rPr/>
      </w:r>
    </w:p>
    <w:p>
      <w:pPr>
        <w:pStyle w:val="Heading2"/>
        <w:rPr/>
      </w:pPr>
      <w:bookmarkStart w:id="48" w:name="__RefHeading___Toc10476_518488682"/>
      <w:bookmarkEnd w:id="48"/>
      <w:r>
        <w:rPr/>
        <w:t>8.5  Running a corpus</w:t>
      </w:r>
    </w:p>
    <w:p>
      <w:pPr>
        <w:pStyle w:val="Normal"/>
        <w:spacing w:before="0" w:after="140"/>
        <w:rPr/>
      </w:pPr>
      <w:r>
        <w:rPr>
          <w:b w:val="false"/>
          <w:i w:val="false"/>
          <w:color w:val="13232C"/>
          <w:sz w:val="21"/>
        </w:rPr>
        <w:t>A single channel can only ever say "no difference here". A distribution needs many channels, which is what the corpus driver produces.</w:t>
      </w:r>
    </w:p>
    <w:p>
      <w:pPr>
        <w:pStyle w:val="Normal"/>
        <w:shd w:val="clear" w:fill="F2F6F8"/>
        <w:spacing w:before="80" w:after="180"/>
        <w:ind w:start="187"/>
        <w:rPr/>
      </w:pPr>
      <w:r>
        <w:rPr>
          <w:rFonts w:ascii="Consolas" w:hAnsi="Consolas"/>
          <w:color w:val="13232C"/>
          <w:sz w:val="17"/>
        </w:rPr>
        <w:t># estimate cost and list channels without running anything</w:t>
        <w:br/>
        <w:t>python tools/corpus_sweep.py &lt;config.xlsx&gt; --channel-dir &lt;dir&gt; --dry-run</w:t>
        <w:br/>
        <w:br/>
        <w:t># run it</w:t>
        <w:br/>
        <w:t>python tools/corpus_sweep.py &lt;config.xlsx&gt; --channel-dir &lt;dir&gt;</w:t>
        <w:br/>
        <w:br/>
        <w:t># re-aggregate existing results without recomputing</w:t>
        <w:br/>
        <w:t>python tools/corpus_sweep.py --aggregate-only --out corpus_results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Option</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Effect</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--methods full_grid,adaptive</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drop legacy; saves roughly 40% of the time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--probe-top-k N</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per-channel probe depth; 0 skips the proxy measurement</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--crosstalk</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include matching FEXT/NEXT files per channel</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--threshold 3.0</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pass/fail level used for flip detection</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--limit N</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only the first N channels</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--force</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re-run channels already complete</w:t>
            </w:r>
          </w:p>
        </w:tc>
      </w:tr>
    </w:tbl>
    <w:p>
      <w:pPr>
        <w:pStyle w:val="Normal"/>
        <w:spacing w:before="0" w:after="120"/>
        <w:rPr/>
      </w:pPr>
      <w:r>
        <w:rPr/>
      </w:r>
    </w:p>
    <w:p>
      <w:pPr>
        <w:pStyle w:val="Normal"/>
        <w:spacing w:before="0" w:after="140"/>
        <w:rPr/>
      </w:pPr>
      <w:r>
        <w:rPr>
          <w:b w:val="false"/>
          <w:i w:val="false"/>
          <w:color w:val="13232C"/>
          <w:sz w:val="21"/>
        </w:rPr>
        <w:t>Runs are checkpointed per channel, so an interrupted corpus resumes rather than restarting, and a channel that fails is logged and skipped rather than killing a multi-hour run. Expect roughly an hour per channel for all three methods at a realistic grid size.</w:t>
      </w:r>
    </w:p>
    <w:p>
      <w:pPr>
        <w:pStyle w:val="Heading3"/>
        <w:rPr/>
      </w:pPr>
      <w:r>
        <w:rPr/>
        <w:t>What it reports</w:t>
      </w:r>
    </w:p>
    <w:p>
      <w:pPr>
        <w:pStyle w:val="Normal"/>
        <w:spacing w:before="0" w:after="140"/>
        <w:rPr/>
      </w:pPr>
      <w:r>
        <w:rPr>
          <w:b w:val="false"/>
          <w:i w:val="false"/>
          <w:color w:val="13232C"/>
          <w:sz w:val="21"/>
        </w:rPr>
        <w:t>The aggregation deliberately leads with the tail rather than the mean. A good average proves little; a single channel that turns a passing margin into a failing one would sink a proposal.</w:t>
      </w:r>
    </w:p>
    <w:p>
      <w:pPr>
        <w:pStyle w:val="ListBullet"/>
        <w:numPr>
          <w:ilvl w:val="0"/>
          <w:numId w:val="1"/>
        </w:numPr>
        <w:spacing w:before="0" w:after="60"/>
        <w:contextualSpacing/>
        <w:rPr/>
      </w:pPr>
      <w:r>
        <w:rPr>
          <w:b/>
          <w:color w:val="13232C"/>
          <w:sz w:val="21"/>
        </w:rPr>
        <w:t>Delta COM distribution</w:t>
      </w:r>
      <w:r>
        <w:rPr>
          <w:color w:val="13232C"/>
          <w:sz w:val="21"/>
        </w:rPr>
        <w:t xml:space="preserve">  median, P95 and maximum absolute deviation from the full grid, plus a count of channels that matched exactly.</w:t>
      </w:r>
    </w:p>
    <w:p>
      <w:pPr>
        <w:pStyle w:val="ListBullet"/>
        <w:numPr>
          <w:ilvl w:val="0"/>
          <w:numId w:val="1"/>
        </w:numPr>
        <w:spacing w:before="0" w:after="60"/>
        <w:contextualSpacing/>
        <w:rPr/>
      </w:pPr>
      <w:r>
        <w:rPr>
          <w:b/>
          <w:color w:val="13232C"/>
          <w:sz w:val="21"/>
        </w:rPr>
        <w:t>Operating point agreement</w:t>
      </w:r>
      <w:r>
        <w:rPr>
          <w:color w:val="13232C"/>
          <w:sz w:val="21"/>
        </w:rPr>
        <w:t xml:space="preserve">  how many channels selected the identical EQ setting, not merely a similar score.</w:t>
      </w:r>
    </w:p>
    <w:p>
      <w:pPr>
        <w:pStyle w:val="ListBullet"/>
        <w:numPr>
          <w:ilvl w:val="0"/>
          <w:numId w:val="1"/>
        </w:numPr>
        <w:spacing w:before="0" w:after="60"/>
        <w:contextualSpacing/>
        <w:rPr/>
      </w:pPr>
      <w:r>
        <w:rPr>
          <w:b/>
          <w:color w:val="13232C"/>
          <w:sz w:val="21"/>
        </w:rPr>
        <w:t>Pass/fail flips</w:t>
      </w:r>
      <w:r>
        <w:rPr>
          <w:color w:val="13232C"/>
          <w:sz w:val="21"/>
        </w:rPr>
        <w:t xml:space="preserve">  channels where a pruned method lands on the opposite side of the threshold from the exhaustive grid. Reported with the channel named.</w:t>
      </w:r>
    </w:p>
    <w:p>
      <w:pPr>
        <w:pStyle w:val="ListBullet"/>
        <w:numPr>
          <w:ilvl w:val="0"/>
          <w:numId w:val="1"/>
        </w:numPr>
        <w:spacing w:before="0" w:after="60"/>
        <w:contextualSpacing/>
        <w:rPr/>
      </w:pPr>
      <w:r>
        <w:rPr>
          <w:b/>
          <w:color w:val="13232C"/>
          <w:sz w:val="21"/>
        </w:rPr>
        <w:t>Regret and rank correlation</w:t>
      </w:r>
      <w:r>
        <w:rPr>
          <w:color w:val="13232C"/>
          <w:sz w:val="21"/>
        </w:rPr>
        <w:t xml:space="preserve">  the FOM-as-proxy cost, per channel and aggregated.</w:t>
      </w:r>
    </w:p>
    <w:p>
      <w:pPr>
        <w:pStyle w:val="Heading2"/>
        <w:rPr/>
      </w:pPr>
      <w:bookmarkStart w:id="49" w:name="__RefHeading___Toc10478_518488682"/>
      <w:bookmarkEnd w:id="49"/>
      <w:r>
        <w:rPr/>
        <w:t>8.6  Results to date</w:t>
      </w:r>
    </w:p>
    <w:p>
      <w:pPr>
        <w:pStyle w:val="Normal"/>
        <w:spacing w:before="0" w:after="140"/>
        <w:rPr/>
      </w:pPr>
      <w:r>
        <w:rPr>
          <w:b w:val="false"/>
          <w:i w:val="false"/>
          <w:color w:val="13232C"/>
          <w:sz w:val="21"/>
        </w:rPr>
        <w:t>Seven channels spanning 100–1400 mm, three methods, at a reduced but consistent grid:</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68"/>
        <w:gridCol w:w="3168"/>
        <w:gridCol w:w="3168"/>
      </w:tblGrid>
      <w:tr>
        <w:trPr/>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Metric</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Adaptive</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Legacy</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Channels with COM identical to full grid</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7 / 7</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7 / 7</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Maximum |delta COM|</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0.000000 dB</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0.000000 dB</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Same winning EQ operating point</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7 / 7</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7 / 7</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Median speedup</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12.9x</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1.27x</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Speedup range</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11.75 – 15.10x</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1.19 – 1.40x</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Grid actually evaluated</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~7%</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~81%</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Pass/fail flips at 3 dB</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none</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none</w:t>
            </w:r>
          </w:p>
        </w:tc>
      </w:tr>
    </w:tbl>
    <w:p>
      <w:pPr>
        <w:pStyle w:val="Normal"/>
        <w:spacing w:before="60" w:after="220"/>
        <w:rPr/>
      </w:pPr>
      <w:r>
        <w:rPr>
          <w:b w:val="false"/>
          <w:i/>
          <w:color w:val="5A6B74"/>
          <w:sz w:val="17"/>
        </w:rPr>
        <w:t>Table 3. Corpus result, August 2026. Delta COM is exactly zero — identical to all 17 significant digits, not merely small.</w:t>
      </w:r>
    </w:p>
    <w:p>
      <w:pPr>
        <w:pStyle w:val="Normal"/>
        <w:spacing w:before="0" w:after="140"/>
        <w:rPr/>
      </w:pPr>
      <w:r>
        <w:rPr>
          <w:b w:val="false"/>
          <w:i w:val="false"/>
          <w:color w:val="13232C"/>
          <w:sz w:val="21"/>
        </w:rPr>
        <w:t>The winning EQ setting moves with channel length across the corpus, so the agreement is not an artifact of a constant answer: the pruned search tracks a genuinely shifting optimum while skipping most of the work.</w:t>
      </w:r>
    </w:p>
    <w:p>
      <w:pPr>
        <w:pStyle w:val="Normal"/>
        <w:spacing w:before="0" w:after="140"/>
        <w:rPr/>
      </w:pPr>
      <w:r>
        <w:rPr>
          <w:b w:val="false"/>
          <w:i w:val="false"/>
          <w:color w:val="13232C"/>
          <w:sz w:val="21"/>
        </w:rPr>
        <w:t>Corroborated since on a second, independent corpus. Nine channels spanning all four families — chosen to include every case where this implementation and MATLAB pick a different sampling phase, i.e. the hardest available — were run against an exhaustive full grid. Adaptive local search was bit-identical on FOM, COM and sampling phase, 9 of 9, and the sanity check FOM(full grid) &gt;= FOM(adaptive) holds 9/9. Two figures in this paragraph have since moved and are quoted here only as the state at the time: the runtime saving was then a median 113x, but the later engine optimisation (§11.1) sped the full grid up more than the pruned search, so the honest current figure is about 13x; and the sampling-phase divergences this corpus was built to probe were subsequently root-caused to a Tx FFE search-space mismatch between the two engines, not to pruning. The result that pruning is not responsible stands — it was simply not the whole answer.</w:t>
      </w:r>
    </w:p>
    <w:p>
      <w:pPr>
        <w:pStyle w:val="Heading3"/>
        <w:rPr/>
      </w:pPr>
      <w:r>
        <w:rPr/>
        <w:t>The proxy measurement</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752"/>
        <w:gridCol w:w="4752"/>
      </w:tblGrid>
      <w:tr>
        <w:trPr/>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Metric</w:t>
            </w:r>
          </w:p>
        </w:tc>
        <w:tc>
          <w:tcPr>
            <w:tcW w:w="4752"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Value</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Spearman rho (FOM, COM), range across channels</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0.770 – 0.952</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Channels where the FOM winner is also the COM winner</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7 / 7</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Median COM regret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0.000000 dB</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Maximum COM regret</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0.000000 dB</w:t>
            </w:r>
          </w:p>
        </w:tc>
      </w:tr>
      <w:tr>
        <w:trPr/>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True COM optimum found at FOM rank, every channel</w:t>
            </w:r>
          </w:p>
        </w:tc>
        <w:tc>
          <w:tcPr>
            <w:tcW w:w="4752"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1</w:t>
            </w:r>
          </w:p>
        </w:tc>
      </w:tr>
    </w:tbl>
    <w:p>
      <w:pPr>
        <w:pStyle w:val="Normal"/>
        <w:spacing w:before="0" w:after="120"/>
        <w:rPr/>
      </w:pPr>
      <w:r>
        <w:rPr/>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0A6E94"/>
                <w:kern w:val="0"/>
                <w:sz w:val="20"/>
                <w:szCs w:val="22"/>
                <w:lang w:val="en-US" w:eastAsia="en-US" w:bidi="ar-SA"/>
              </w:rPr>
              <w:t>A correction, and what it teaches</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An earlier version of this table reported a maximum regret of 0.035892 dB, the FOM winner losing on 2 of 7 channels, and rho spanning 0.60–0.81 — and concluded that the regret was the unavoidable cost of using FOM as the objective at all. That conclusion was wrong. Those numbers came from a run that predates the engine defects the MATLAB correlation later found and fixed; regenerated on the corrected engine, the regret is zero on every channel and the FOM argmax is the COM argmax every time. The regret was substantially an artifact of the defects, not a property of FOM. What survives is narrower: rho never reaches 1, so the FOM ordering is imperfect deeper down the list — but a FOM-driven search only uses the top of it, and there the two agree.</w:t>
            </w:r>
          </w:p>
        </w:tc>
      </w:tr>
    </w:tbl>
    <w:p>
      <w:pPr>
        <w:pStyle w:val="Normal"/>
        <w:spacing w:before="0" w:after="180"/>
        <w:rPr/>
      </w:pPr>
      <w:r>
        <w:rPr/>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B3261E"/>
                <w:kern w:val="0"/>
                <w:sz w:val="20"/>
                <w:szCs w:val="22"/>
                <w:lang w:val="en-US" w:eastAsia="en-US" w:bidi="ar-SA"/>
              </w:rPr>
              <w:t>What this does not establish</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One channel family (same topology, varying only cable length), one configuration, thru-only. These are correlated samples, not seven independent channels. The pass/fail flip test is also weakly exercised, though the reason has inverted: on the pre-fix engine six of the seven failed COM, so almost nothing sat near the threshold; on the corrected engine all seven pass, spanning 4.45–6.72 dB, so almost nothing sits near it from the other side. Either way this corpus contains no boundary cases, and "no flips" is reassuring rather than conclusive.</w:t>
            </w:r>
          </w:p>
        </w:tc>
      </w:tr>
    </w:tbl>
    <w:p>
      <w:pPr>
        <w:pStyle w:val="Normal"/>
        <w:spacing w:before="0" w:after="180"/>
        <w:rPr/>
      </w:pPr>
      <w:r>
        <w:rPr/>
      </w:r>
    </w:p>
    <w:p>
      <w:pPr>
        <w:pStyle w:val="Heading2"/>
        <w:rPr/>
      </w:pPr>
      <w:bookmarkStart w:id="50" w:name="__RefHeading___Toc10480_518488682"/>
      <w:bookmarkEnd w:id="50"/>
      <w:r>
        <w:rPr/>
        <w:t>8.7  Diagnosing history dependence</w:t>
      </w:r>
    </w:p>
    <w:p>
      <w:pPr>
        <w:pStyle w:val="Normal"/>
        <w:spacing w:before="0" w:after="140"/>
        <w:rPr/>
      </w:pPr>
      <w:r>
        <w:rPr>
          <w:rFonts w:ascii="Consolas" w:hAnsi="Consolas"/>
          <w:b w:val="false"/>
          <w:i w:val="false"/>
          <w:color w:val="13232C"/>
          <w:sz w:val="19"/>
        </w:rPr>
        <w:t>tools/hist_dep_repro.py</w:t>
      </w:r>
      <w:r>
        <w:rPr>
          <w:b w:val="false"/>
          <w:i w:val="false"/>
          <w:color w:val="13232C"/>
          <w:sz w:val="21"/>
        </w:rPr>
        <w:t xml:space="preserve"> solves one operating point twice — once with a single candidate evaluated, once with many — and diffs the complete engine state at the moment COM computation begins. If COM ever appears to depend on how many candidates the search happened to visit, this is the tool that localises it.</w:t>
      </w:r>
    </w:p>
    <w:p>
      <w:pPr>
        <w:pStyle w:val="Normal"/>
        <w:spacing w:before="0" w:after="140"/>
        <w:rPr/>
      </w:pPr>
      <w:r>
        <w:rPr>
          <w:b w:val="false"/>
          <w:i w:val="false"/>
          <w:color w:val="13232C"/>
          <w:sz w:val="21"/>
        </w:rPr>
        <w:t>A COM value that changes with search history rather than with the selected operating point is a serious defect: it makes results depend on a path that is invisible in the answer. This harness exists because that class of problem is otherwise very hard to see.</w:t>
      </w:r>
      <w:r>
        <w:br w:type="page"/>
      </w:r>
    </w:p>
    <w:p>
      <w:pPr>
        <w:pStyle w:val="Heading1"/>
        <w:spacing w:before="0" w:after="160"/>
        <w:rPr/>
      </w:pPr>
      <w:bookmarkStart w:id="51" w:name="__RefHeading___Toc10482_518488682"/>
      <w:bookmarkEnd w:id="51"/>
      <w:r>
        <w:rPr/>
        <w:t>9  The R reporting layer</w:t>
      </w:r>
    </w:p>
    <w:p>
      <w:pPr>
        <w:pStyle w:val="Normal"/>
        <w:spacing w:before="0" w:after="140"/>
        <w:rPr/>
      </w:pPr>
      <w:r>
        <w:rPr>
          <w:b w:val="false"/>
          <w:i w:val="false"/>
          <w:color w:val="13232C"/>
          <w:sz w:val="21"/>
        </w:rPr>
        <w:t>Three R scripts turn the outputs into interactive HTML. All use plotly, so every point is hoverable — which matters when the question is "what exact equalizer setting produced that point?".</w:t>
      </w:r>
    </w:p>
    <w:p>
      <w:pPr>
        <w:pStyle w:val="Normal"/>
        <w:shd w:val="clear" w:fill="F2F6F8"/>
        <w:spacing w:before="80" w:after="180"/>
        <w:ind w:start="187"/>
        <w:rPr/>
      </w:pPr>
      <w:r>
        <w:rPr>
          <w:rFonts w:ascii="Consolas" w:hAnsi="Consolas"/>
          <w:color w:val="13232C"/>
          <w:sz w:val="17"/>
        </w:rPr>
        <w:t>install.packages(c("plotly", "htmltools", "jsonlite", "R.matlab"))</w:t>
      </w:r>
    </w:p>
    <w:p>
      <w:pPr>
        <w:pStyle w:val="Heading2"/>
        <w:rPr/>
      </w:pPr>
      <w:bookmarkStart w:id="52" w:name="__RefHeading___Toc10484_518488682"/>
      <w:bookmarkEnd w:id="52"/>
      <w:r>
        <w:rPr/>
        <w:t>9.1  Single-run engineering dashboard</w:t>
      </w:r>
    </w:p>
    <w:p>
      <w:pPr>
        <w:pStyle w:val="Normal"/>
        <w:shd w:val="clear" w:fill="F2F6F8"/>
        <w:spacing w:before="80" w:after="180"/>
        <w:ind w:start="187"/>
        <w:rPr/>
      </w:pPr>
      <w:r>
        <w:rPr>
          <w:rFonts w:ascii="Consolas" w:hAnsi="Consolas"/>
          <w:color w:val="13232C"/>
          <w:sz w:val="17"/>
        </w:rPr>
        <w:t>Rscript R/com_analysis.R results/&lt;...&gt;/&lt;config-name&gt;_case01.mat</w:t>
      </w:r>
    </w:p>
    <w:p>
      <w:pPr>
        <w:pStyle w:val="Normal"/>
        <w:spacing w:before="0" w:after="140"/>
        <w:rPr/>
      </w:pPr>
      <w:r>
        <w:rPr>
          <w:b w:val="false"/>
          <w:i w:val="false"/>
          <w:color w:val="13232C"/>
          <w:sz w:val="21"/>
        </w:rPr>
        <w:t xml:space="preserve">Consumes the </w:t>
      </w:r>
      <w:r>
        <w:rPr>
          <w:rFonts w:ascii="Consolas" w:hAnsi="Consolas"/>
          <w:b w:val="false"/>
          <w:i w:val="false"/>
          <w:color w:val="13232C"/>
          <w:sz w:val="19"/>
        </w:rPr>
        <w:t>--export-mat</w:t>
      </w:r>
      <w:r>
        <w:rPr>
          <w:b w:val="false"/>
          <w:i w:val="false"/>
          <w:color w:val="13232C"/>
          <w:sz w:val="21"/>
        </w:rPr>
        <w:t xml:space="preserve"> snapshot and produces a single HTML page covering the channel frequency response, the CTLE bank and the selected CTLE, impulse and pulse responses, the statistical eye with BER density, the equalizer contribution breakdown, and collapsible tables of the full results and configuration.</w:t>
      </w:r>
    </w:p>
    <w:p>
      <w:pPr>
        <w:pStyle w:val="Normal"/>
        <w:spacing w:before="0" w:after="140"/>
        <w:rPr/>
      </w:pPr>
      <w:r>
        <w:rPr>
          <w:b w:val="false"/>
          <w:i w:val="false"/>
          <w:color w:val="13232C"/>
          <w:sz w:val="21"/>
        </w:rPr>
        <w:t>This is the tool for understanding one run in depth.</w:t>
      </w:r>
    </w:p>
    <w:p>
      <w:pPr>
        <w:pStyle w:val="Heading2"/>
        <w:rPr/>
      </w:pPr>
      <w:bookmarkStart w:id="53" w:name="__RefHeading___Toc10486_518488682"/>
      <w:bookmarkEnd w:id="53"/>
      <w:r>
        <w:rPr/>
        <w:t>9.2  Single-channel search comparison</w:t>
      </w:r>
    </w:p>
    <w:p>
      <w:pPr>
        <w:pStyle w:val="Normal"/>
        <w:shd w:val="clear" w:fill="F2F6F8"/>
        <w:spacing w:before="80" w:after="180"/>
        <w:ind w:start="187"/>
        <w:rPr/>
      </w:pPr>
      <w:r>
        <w:rPr>
          <w:rFonts w:ascii="Consolas" w:hAnsi="Consolas"/>
          <w:color w:val="13232C"/>
          <w:sz w:val="17"/>
        </w:rPr>
        <w:t>Rscript R/sweep_compare.R sweep_results</w:t>
      </w:r>
    </w:p>
    <w:p>
      <w:pPr>
        <w:pStyle w:val="Normal"/>
        <w:spacing w:before="0" w:after="140"/>
        <w:rPr/>
      </w:pPr>
      <w:r>
        <w:rPr>
          <w:b w:val="false"/>
          <w:i w:val="false"/>
          <w:color w:val="13232C"/>
          <w:sz w:val="21"/>
        </w:rPr>
        <w:t>Reads the per-candidate logs and renders the search itself: best-so-far FOM against candidates evaluated, the winning sampling phase, TX-FFE tap-space coverage coloured by FOM, and parallel coordinates over all equalizer dimensions. Sections that need data a run did not produce degrade to an explanatory note rather than failing.</w:t>
      </w:r>
    </w:p>
    <w:p>
      <w:pPr>
        <w:pStyle w:val="Normal"/>
        <w:jc w:val="center"/>
        <w:rPr/>
      </w:pPr>
      <w:r>
        <w:rPr/>
        <w:drawing>
          <wp:inline distT="0" distB="0" distL="0" distR="0">
            <wp:extent cx="5669280" cy="4346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69280" cy="4346575"/>
                    </a:xfrm>
                    <a:prstGeom prst="rect">
                      <a:avLst/>
                    </a:prstGeom>
                    <a:noFill/>
                  </pic:spPr>
                </pic:pic>
              </a:graphicData>
            </a:graphic>
          </wp:inline>
        </w:drawing>
      </w:r>
    </w:p>
    <w:p>
      <w:pPr>
        <w:pStyle w:val="Normal"/>
        <w:spacing w:before="40" w:after="240"/>
        <w:jc w:val="center"/>
        <w:rPr/>
      </w:pPr>
      <w:r>
        <w:rPr>
          <w:b w:val="false"/>
          <w:i/>
          <w:color w:val="5A6B74"/>
          <w:sz w:val="17"/>
        </w:rPr>
        <w:t>Figure 8. Single-channel report. The convergence and coverage panels answer whether a pruned method reached the same optimum, and which regions of tap space it never visited.</w:t>
      </w:r>
    </w:p>
    <w:p>
      <w:pPr>
        <w:pStyle w:val="Heading2"/>
        <w:rPr/>
      </w:pPr>
      <w:bookmarkStart w:id="54" w:name="__RefHeading___Toc10488_518488682"/>
      <w:bookmarkEnd w:id="54"/>
      <w:r>
        <w:rPr/>
        <w:t>9.3  Corpus report</w:t>
      </w:r>
    </w:p>
    <w:p>
      <w:pPr>
        <w:pStyle w:val="Normal"/>
        <w:shd w:val="clear" w:fill="F2F6F8"/>
        <w:spacing w:before="80" w:after="180"/>
        <w:ind w:start="187"/>
        <w:rPr/>
      </w:pPr>
      <w:r>
        <w:rPr>
          <w:rFonts w:ascii="Consolas" w:hAnsi="Consolas"/>
          <w:color w:val="13232C"/>
          <w:sz w:val="17"/>
        </w:rPr>
        <w:t>Rscript R/corpus_report.R corpus_results</w:t>
      </w:r>
    </w:p>
    <w:p>
      <w:pPr>
        <w:pStyle w:val="Normal"/>
        <w:spacing w:before="0" w:after="140"/>
        <w:rPr/>
      </w:pPr>
      <w:r>
        <w:rPr>
          <w:b w:val="false"/>
          <w:i w:val="false"/>
          <w:color w:val="13232C"/>
          <w:sz w:val="21"/>
        </w:rPr>
        <w:t>The N-channel counterpart, organised around the two questions a reviewer actually asks: does pruning change COM, and how bad is the worst case.</w:t>
      </w:r>
    </w:p>
    <w:p>
      <w:pPr>
        <w:pStyle w:val="Normal"/>
        <w:jc w:val="center"/>
        <w:rPr/>
      </w:pPr>
      <w:r>
        <w:rPr/>
        <w:drawing>
          <wp:inline distT="0" distB="0" distL="0" distR="0">
            <wp:extent cx="5669280" cy="4346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669280" cy="4346575"/>
                    </a:xfrm>
                    <a:prstGeom prst="rect">
                      <a:avLst/>
                    </a:prstGeom>
                    <a:noFill/>
                  </pic:spPr>
                </pic:pic>
              </a:graphicData>
            </a:graphic>
          </wp:inline>
        </w:drawing>
      </w:r>
    </w:p>
    <w:p>
      <w:pPr>
        <w:pStyle w:val="Normal"/>
        <w:spacing w:before="40" w:after="240"/>
        <w:jc w:val="center"/>
        <w:rPr/>
      </w:pPr>
      <w:r>
        <w:rPr>
          <w:b w:val="false"/>
          <w:i/>
          <w:color w:val="5A6B74"/>
          <w:sz w:val="17"/>
        </w:rPr>
        <w:t>Figure 9. Corpus report. Two presentation problems are solved deliberately here: the delta-COM panel is banded at the FOM-proxy scale so that "exactly zero" is legible in context, and the COM-by-channel markers are nested so three coincident methods remain visible rather than hiding one another.</w:t>
      </w:r>
    </w:p>
    <w:p>
      <w:pPr>
        <w:pStyle w:val="Heading2"/>
        <w:rPr/>
      </w:pPr>
      <w:bookmarkStart w:id="55" w:name="__RefHeading___Toc10490_518488682"/>
      <w:bookmarkEnd w:id="55"/>
      <w:r>
        <w:rPr/>
        <w:t>9.4  Building the review deck</w:t>
      </w:r>
    </w:p>
    <w:p>
      <w:pPr>
        <w:pStyle w:val="Normal"/>
        <w:shd w:val="clear" w:fill="F2F6F8"/>
        <w:spacing w:before="80" w:after="180"/>
        <w:ind w:start="187"/>
        <w:rPr/>
      </w:pPr>
      <w:r>
        <w:rPr>
          <w:rFonts w:ascii="Consolas" w:hAnsi="Consolas"/>
          <w:color w:val="13232C"/>
          <w:sz w:val="17"/>
        </w:rPr>
        <w:t>python tools/build_pptx.py</w:t>
      </w:r>
    </w:p>
    <w:p>
      <w:pPr>
        <w:pStyle w:val="Normal"/>
        <w:spacing w:before="0" w:after="140"/>
        <w:rPr/>
      </w:pPr>
      <w:r>
        <w:rPr>
          <w:b w:val="false"/>
          <w:i w:val="false"/>
          <w:color w:val="13232C"/>
          <w:sz w:val="21"/>
        </w:rPr>
        <w:t>Generates a slide deck from the corpus artifacts. Because it reads the result files rather than hard-coded values, re-running it after a new corpus updates every number in the deck automatically.</w:t>
      </w:r>
      <w:r>
        <w:br w:type="page"/>
      </w:r>
    </w:p>
    <w:p>
      <w:pPr>
        <w:pStyle w:val="Heading1"/>
        <w:spacing w:before="0" w:after="160"/>
        <w:rPr/>
      </w:pPr>
      <w:bookmarkStart w:id="56" w:name="__RefHeading___Toc10492_518488682"/>
      <w:bookmarkEnd w:id="56"/>
      <w:r>
        <w:rPr/>
        <w:t>10  Development workflow</w:t>
      </w:r>
    </w:p>
    <w:p>
      <w:pPr>
        <w:pStyle w:val="Heading2"/>
        <w:rPr/>
      </w:pPr>
      <w:bookmarkStart w:id="57" w:name="__RefHeading___Toc10494_518488682"/>
      <w:bookmarkEnd w:id="57"/>
      <w:r>
        <w:rPr/>
        <w:t>10.1  Changing behaviour</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B3261E"/>
                <w:kern w:val="0"/>
                <w:sz w:val="20"/>
                <w:szCs w:val="22"/>
                <w:lang w:val="en-US" w:eastAsia="en-US" w:bidi="ar-SA"/>
              </w:rPr>
              <w:t>Never edit sicopr.py directly</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It is generated. An edit there will be silently destroyed the next time anyone runs the assembler.</w:t>
            </w:r>
          </w:p>
        </w:tc>
      </w:tr>
    </w:tbl>
    <w:p>
      <w:pPr>
        <w:pStyle w:val="Normal"/>
        <w:spacing w:before="0" w:after="180"/>
        <w:rPr/>
      </w:pPr>
      <w:r>
        <w:rPr/>
      </w:r>
    </w:p>
    <w:p>
      <w:pPr>
        <w:pStyle w:val="Normal"/>
        <w:shd w:val="clear" w:fill="F2F6F8"/>
        <w:spacing w:before="80" w:after="180"/>
        <w:ind w:start="187"/>
        <w:rPr/>
      </w:pPr>
      <w:r>
        <w:rPr>
          <w:rFonts w:ascii="Consolas" w:hAnsi="Consolas"/>
          <w:color w:val="13232C"/>
          <w:sz w:val="17"/>
        </w:rPr>
        <w:t># 1. edit the per-function source</w:t>
        <w:br/>
        <w:t>#    com_functions/fn/&lt;name&gt;/py_impl.py</w:t>
        <w:br/>
        <w:br/>
        <w:t># 2. test that function alone</w:t>
        <w:br/>
        <w:t>python -m pytest com_functions/fn/&lt;name&gt;/test_verify.py -q</w:t>
        <w:br/>
        <w:br/>
        <w:t># 3. regenerate the engine</w:t>
        <w:br/>
        <w:t>python assemble_sicopr.py</w:t>
        <w:br/>
        <w:br/>
        <w:t># 4. run the full suite</w:t>
        <w:br/>
        <w:t>python -m pytest com_functions/fn -q</w:t>
      </w:r>
    </w:p>
    <w:p>
      <w:pPr>
        <w:pStyle w:val="Heading2"/>
        <w:rPr/>
      </w:pPr>
      <w:bookmarkStart w:id="58" w:name="__RefHeading___Toc10496_518488682"/>
      <w:bookmarkEnd w:id="58"/>
      <w:r>
        <w:rPr/>
        <w:t>10.2  The test suites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68"/>
        <w:gridCol w:w="3168"/>
        <w:gridCol w:w="3168"/>
      </w:tblGrid>
      <w:tr>
        <w:trPr/>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Suite</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How to run</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Notes</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com_functions/fn</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python -m pytest com_functions/fn -q</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main suite; 890 tests</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tests/</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python tests/&lt;name&gt;.py</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Mixed: test_smoke.py, test_checkpoints.py and test_end_to_end.py ARE pytest modules; every other file is a standalone script. Do not point pytest at the directory — the scripts call sys.exit() at import, so collection aborts, pytest reports "no tests ran" AND STILL EXITS 0. Nothing runs and nothing complains.</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everything</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7"/>
                <w:szCs w:val="22"/>
                <w:lang w:val="en-US" w:eastAsia="en-US" w:bidi="ar-SA"/>
              </w:rPr>
              <w:t>powershell -ExecutionPolicy Bypass -File tests/run_all.ps1</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The full harness, and what to run before committing: pre-flight audit, assembly, interface checks, unit tests, then every cross-check script. Dispatches both kinds of file above correctly. Current totals: 890 per-function tests, and 656 checks across 31 audit scripts with 25 accepted divergences.</w:t>
            </w:r>
          </w:p>
        </w:tc>
      </w:tr>
    </w:tbl>
    <w:p>
      <w:pPr>
        <w:pStyle w:val="Normal"/>
        <w:spacing w:before="0" w:after="120"/>
        <w:rPr/>
      </w:pPr>
      <w:r>
        <w:rPr/>
      </w:r>
    </w:p>
    <w:p>
      <w:pPr>
        <w:pStyle w:val="Heading2"/>
        <w:rPr/>
      </w:pPr>
      <w:bookmarkStart w:id="59" w:name="__RefHeading___Toc10498_518488682"/>
      <w:bookmarkEnd w:id="59"/>
      <w:r>
        <w:rPr/>
        <w:t>10.3  Conventions worth knowing</w:t>
      </w:r>
    </w:p>
    <w:p>
      <w:pPr>
        <w:rPr/>
      </w:pPr>
      <w:bookmarkStart w:id="59" w:name="__RefHeading___Toc10498_518488682"/>
      <w:bookmarkEnd w:id="59"/>
      <w:r>
        <w:rPr>
          <w:b/>
        </w:rPr>
        <w:t>Cross-cutting guards</w:t>
      </w:r>
      <w:r>
        <w:t xml:space="preserve">  Four audit scripts guard defect classes the per-function tests cannot see, each built from a real failure and verified by re-introducing it. test_reference_leaks.py catches writes to a parameter the function never returns — MATLAB passes structs by value, Python by reference, and five of the eight engine defects were this class; it caught a new instance during the 4p16p0 port. test_inlined_copies.py compares each of the 178 inlined copies of 70 functions against its canonical version, because a fix to py_impl.py reaches only one of them. test_optimization_invariants.py pins what the speed work depends on and found a live cache-aliasing defect. test_matlab_stage_oracles.py holds 208 cases x 35 scalars plus 14 vector families taken from the reference workbooks — the only tests in the repo that assert against MATLAB rather than against Python.</w:t>
      </w:r>
    </w:p>
    <w:p>
      <w:pPr>
        <w:pStyle w:val="ListBullet"/>
        <w:numPr>
          <w:ilvl w:val="0"/>
          <w:numId w:val="1"/>
        </w:numPr>
        <w:spacing w:before="0" w:after="60"/>
        <w:contextualSpacing/>
        <w:rPr/>
      </w:pPr>
      <w:r>
        <w:rPr>
          <w:b/>
          <w:color w:val="13232C"/>
          <w:sz w:val="21"/>
        </w:rPr>
        <w:t>MATLAB line references</w:t>
      </w:r>
      <w:r>
        <w:rPr>
          <w:color w:val="13232C"/>
          <w:sz w:val="21"/>
        </w:rPr>
        <w:t xml:space="preserve">  Most functions carry a comment naming the MATLAB source lines they translate. Keep these accurate — they are how the port is reviewed.</w:t>
      </w:r>
    </w:p>
    <w:p>
      <w:pPr>
        <w:pStyle w:val="ListBullet"/>
        <w:numPr>
          <w:ilvl w:val="0"/>
          <w:numId w:val="1"/>
        </w:numPr>
        <w:spacing w:before="0" w:after="60"/>
        <w:contextualSpacing/>
        <w:rPr/>
      </w:pPr>
      <w:r>
        <w:rPr>
          <w:b/>
          <w:color w:val="13232C"/>
          <w:sz w:val="21"/>
        </w:rPr>
        <w:t>One-based versus zero-based</w:t>
      </w:r>
      <w:r>
        <w:rPr>
          <w:color w:val="13232C"/>
          <w:sz w:val="21"/>
        </w:rPr>
        <w:t xml:space="preserve">  Several structures hold MATLAB-style 1-based indices deliberately, to keep the translation legible. Convert at the point of use rather than changing what is stored, and check what a value already is before indexing with it.</w:t>
      </w:r>
    </w:p>
    <w:p>
      <w:pPr>
        <w:pStyle w:val="ListBullet"/>
        <w:numPr>
          <w:ilvl w:val="0"/>
          <w:numId w:val="1"/>
        </w:numPr>
        <w:spacing w:before="0" w:after="60"/>
        <w:contextualSpacing/>
        <w:rPr/>
      </w:pPr>
      <w:r>
        <w:rPr>
          <w:b/>
          <w:color w:val="13232C"/>
          <w:sz w:val="21"/>
        </w:rPr>
        <w:t>Value versus reference semantics</w:t>
      </w:r>
      <w:r>
        <w:rPr>
          <w:color w:val="13232C"/>
          <w:sz w:val="21"/>
        </w:rPr>
        <w:t xml:space="preserve">  MATLAB assigns structs by value; Python assigns references. Where the original relies on copy-on-assign, the port must copy explicitly. This class of difference does not surface in unit tests — and it proved to be the most damaging one in the port: five of the eight engine defects found by the 208-case MATLAB correlation were instances of it. The worst, a by-reference OP leak in process_sxp, let a TDR-only truncation threshold escape into every later stage and biased FOM low on 95.7% of cases while the whole unit suite stayed green.</w:t>
      </w:r>
    </w:p>
    <w:p>
      <w:pPr>
        <w:pStyle w:val="Heading1"/>
        <w:rPr/>
      </w:pPr>
      <w:bookmarkStart w:id="60" w:name="__RefHeading___Toc10500_518488682"/>
      <w:bookmarkEnd w:id="60"/>
      <w:r>
        <w:rPr/>
        <w:t>11  Verification status and limitations</w:t>
      </w:r>
    </w:p>
    <w:p>
      <w:pPr>
        <w:pStyle w:val="Heading2"/>
        <w:rPr/>
      </w:pPr>
      <w:bookmarkStart w:id="61" w:name="__RefHeading___Toc10502_518488682"/>
      <w:bookmarkEnd w:id="61"/>
      <w:r>
        <w:rPr/>
        <w:t>11.1  What has been verified</w:t>
      </w:r>
    </w:p>
    <w:p>
      <w:pPr>
        <w:pStyle w:val="Normal"/>
        <w:spacing w:before="0" w:after="140"/>
        <w:rPr/>
      </w:pPr>
      <w:r>
        <w:rPr>
          <w:b w:val="false"/>
          <w:i w:val="false"/>
          <w:color w:val="13232C"/>
          <w:sz w:val="21"/>
        </w:rPr>
        <w:t>Every major feature is implemented and unit-tested against the MATLAB source: TX-FFE, CTLE, DFE, RX-FFE (MMSE), floating DFE and floating RX-FFE taps, MLSE, crosstalk (FEXT/NEXT and ICN), common-mode modal masks, receiver calibration, frequency-domain processing, ERL/TDR, and TD-ILN/RILN. The unit suite is green at 890 tests, and the 802.3ck configuration runs end to end once its workbook and channel are in place.</w:t>
      </w:r>
    </w:p>
    <w:p>
      <w:pPr>
        <w:pStyle w:val="Normal"/>
        <w:spacing w:before="0" w:after="140"/>
        <w:rPr/>
      </w:pPr>
      <w:r>
        <w:rPr>
          <w:b w:val="false"/>
          <w:i w:val="false"/>
          <w:color w:val="13232C"/>
          <w:sz w:val="21"/>
        </w:rPr>
        <w:t>A structured conversion audit classified all 157 MATLAB functions (146 equivalent, 11 divergent; docs/AUDIT_FINDINGS.md). That audit is necessary but was not sufficient: the largest defect in the port — the process_sxp reference leak — was not in its ledger, and one EQUIVALENT verdict was later proven wrong. Treat its verdicts as evidence rather than proof.</w:t>
      </w:r>
    </w:p>
    <w:p>
      <w:pPr>
        <w:pStyle w:val="Normal"/>
        <w:spacing w:before="0" w:after="140"/>
        <w:rPr/>
      </w:pPr>
      <w:r>
        <w:rPr>
          <w:b w:val="0"/>
          <w:i w:val="false"/>
          <w:color w:val="13232C"/>
          <w:sz w:val="21"/>
        </w:rPr>
        <w:t>Correlation against the MATLAB reference is the primary numeric evidence: 208 cases from com_ieee8023_4p15p0, across four channel families, with and without crosstalk. Run on the configurations exactly as supplied, FOM is bit-exact on 198 of 208, COM on 199, the sampling tick on 200, with max |ΔCOM| 0.185 dB. Run with each crosstalk condition on the settings its own reference was produced with (see §11.2), FOM, COM and the sampling tick are ALL bit-exact on 208 of 208, with max |ΔCOM| = 3.3e-14 dB — double-precision noise rather than agreement to a tolerance — and no pass/fail disagreements. Fifteen engine-level defects were found and fixed by this exercise, none of which the unit suite could see. The largest single class is MATLAB-by-value versus Python-by-reference (six of the fifteen); the last one closed was a banker's-rounding tie that dropped a single ISI sample. Detail in MATLAB_Correlation_Review.md.</w:t>
      </w:r>
    </w:p>
    <w:p>
      <w:pPr>
        <w:pStyle w:val="Normal"/>
        <w:spacing w:before="0" w:after="140"/>
        <w:rPr/>
      </w:pPr>
      <w:r>
        <w:rPr>
          <w:b/>
          <w:i w:val="false"/>
          <w:color w:val="13232C"/>
          <w:sz w:val="21"/>
        </w:rPr>
        <w:t>MATLAB version support</w:t>
      </w:r>
      <w:r>
        <w:t xml:space="preserve">  The engine emulates com_ieee8023_4p15p0 by default, and that default is deliberate: the 208 reference workbooks are 4p15p0 output, so it is the version the parity result above is evidence for. Pass --matlab-version 4p16p0 (or set sicopr.COM_MATLAB_VERSION, or a COM Version keyword in the config) to emulate the newer release. 4p16p0 is a small delta — 146 of 152 function bodies unchanged, 6 changed, 3 added, none removed — and the three additions are the adaptive local search, now adopted into the released mainline rather than living in a branch.</w:t>
      </w:r>
    </w:p>
    <w:p>
      <w:pPr>
        <w:pStyle w:val="Normal"/>
        <w:spacing w:before="0" w:after="140"/>
        <w:rPr/>
      </w:pPr>
      <w:r>
        <w:rPr>
          <w:b/>
          <w:i w:val="false"/>
          <w:color w:val="13232C"/>
          <w:sz w:val="21"/>
        </w:rPr>
        <w:t>Measured 4p16p0 impact</w:t>
      </w:r>
      <w:r/>
      <w:r>
        <w:t xml:space="preserve">  The same 208 cases have been run in both modes. 210 of 213 output columns are identical on every case, and no COM, FOM, VEO, VEC, itick or ERL value moves. Two columns change: peak_uneq_pulse_mV and steady_state_voltage_mV are now multiplied by the channel amplitude A, which 4p15p0 applied to the impulse response but not to the pulse response built from it — the new values are the corrected ones. Two further changes the corpus could not reach were measured separately on a config with a 1584-point Tx FFE grid: the Clip Method default moving from Fast to Slow shifts COM by about +0.007 dB and FOM by +0.22 dB, but only for configs that omit the keyword; and the adaptive search minimum radius moving from 1 to 2 gives a bit-identical answer while evaluating 4.3x the candidates. Detail in docs/MATLAB_4p16p0_CHANGES.md and docs/MATLAB_4p16p0_IMPACT.md.</w:t>
      </w:r>
    </w:p>
    <w:p>
      <w:pPr>
        <w:pStyle w:val="Normal"/>
        <w:spacing w:before="0" w:after="140"/>
        <w:rPr/>
      </w:pPr>
      <w:r>
        <w:rPr>
          <w:b w:val="false"/>
          <w:i w:val="false"/>
          <w:color w:val="13232C"/>
          <w:sz w:val="21"/>
        </w:rPr>
        <w:t>The engine was subsequently optimised to roughly 4.5-5x its previous speed (208-case corpus: 16.1 h of CPU time down to about 3.5 h, versus 14.4 h for the MATLAB reference on its own machine). Accuracy was the gate: every reported COM, VEO and VEC value is bit-identical before and after, verified by re-running the full corpus after each change rather than sampling. Measurement noise on this machine is about 13%, so treat the multiplier as approximate.</w:t>
      </w:r>
    </w:p>
    <w:p>
      <w:pPr>
        <w:pStyle w:val="Heading2"/>
        <w:rPr/>
      </w:pPr>
      <w:bookmarkStart w:id="62" w:name="__RefHeading___Toc10504_518488682"/>
      <w:bookmarkEnd w:id="62"/>
      <w:r>
        <w:rPr/>
        <w:t>11.2  Limitations</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504"/>
      </w:tblGrid>
      <w:tr>
        <w:trPr/>
        <w:tc>
          <w:tcPr>
            <w:tcW w:w="9504" w:type="dxa"/>
            <w:tcBorders/>
            <w:shd w:fill="F2F6F8" w:val="clear"/>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color w:val="B3261E"/>
                <w:kern w:val="0"/>
                <w:sz w:val="20"/>
                <w:szCs w:val="22"/>
                <w:lang w:val="en-US" w:eastAsia="en-US" w:bidi="ar-SA"/>
              </w:rPr>
              <w:t>End-to-end MATLAB cross-check: done</w:t>
            </w:r>
          </w:p>
          <w:p>
            <w:pPr>
              <w:pStyle w:val="Normal"/>
              <w:widowControl/>
              <w:suppressAutoHyphens w:val="true"/>
              <w:spacing w:before="0" w:after="40"/>
              <w:jc w:val="start"/>
              <w:rPr>
                <w:rFonts w:eastAsia="ＭＳ 明朝" w:cs=""/>
                <w:kern w:val="0"/>
                <w:szCs w:val="22"/>
                <w:lang w:val="en-US" w:eastAsia="en-US" w:bidi="ar-SA"/>
              </w:rPr>
            </w:pPr>
            <w:r>
              <w:rPr>
                <w:rFonts w:eastAsia="ＭＳ 明朝" w:cs=""/>
                <w:color w:val="13232C"/>
                <w:kern w:val="0"/>
                <w:sz w:val="19"/>
                <w:szCs w:val="22"/>
                <w:lang w:val="en-US" w:eastAsia="en-US" w:bidi="ar-SA"/>
              </w:rPr>
              <w:t>208 reference cases from Hansel D’silva’s com_ieee8023_4p15p0 runs were compared case by case. FOM is bit-exact on 198/208, COM on 135/208, and the sampling phase on 200/208; max |delta COM| is 0.176 dB and rms 0.019 dB, with 2 pass/fail disagreements, both within 0.02 dB of the threshold. Eight engine defects were found and fixed in the process. Reproduce with tools/matlab_compare.py; the write-up is MATLAB_Correlation_Review.md.</w:t>
            </w:r>
          </w:p>
        </w:tc>
      </w:tr>
    </w:tbl>
    <w:p>
      <w:pPr>
        <w:pStyle w:val="Normal"/>
        <w:spacing w:before="0" w:after="180"/>
        <w:rPr/>
      </w:pPr>
      <w:r>
        <w:rPr/>
      </w:r>
    </w:p>
    <w:p>
      <w:pPr>
        <w:pStyle w:val="ListBullet"/>
        <w:numPr>
          <w:ilvl w:val="0"/>
          <w:numId w:val="1"/>
        </w:numPr>
        <w:spacing w:before="0" w:after="60"/>
        <w:contextualSpacing/>
        <w:rPr/>
      </w:pPr>
      <w:r>
        <w:rPr>
          <w:b/>
          <w:color w:val="13232C"/>
          <w:sz w:val="21"/>
        </w:rPr>
        <w:t>Coverage of end-to-end paths</w:t>
      </w:r>
      <w:r>
        <w:rPr>
          <w:color w:val="13232C"/>
          <w:sz w:val="21"/>
        </w:rPr>
        <w:t xml:space="preserve">  Only the C2M TX-FFE/CTLE/DFE path is exercised end to end by a real configuration. The remaining features are implemented and unit-tested but not covered by an end-to-end run.</w:t>
      </w:r>
    </w:p>
    <w:p>
      <w:pPr>
        <w:pStyle w:val="ListBullet"/>
        <w:numPr>
          <w:ilvl w:val="0"/>
          <w:numId w:val="1"/>
        </w:numPr>
        <w:spacing w:before="0" w:after="60"/>
        <w:contextualSpacing/>
        <w:rPr/>
      </w:pPr>
      <w:r>
        <w:rPr>
          <w:b/>
          <w:color w:val="13232C"/>
          <w:sz w:val="21"/>
        </w:rPr>
        <w:t>Results predating August 2026</w:t>
      </w:r>
      <w:r>
        <w:rPr>
          <w:color w:val="13232C"/>
          <w:sz w:val="21"/>
        </w:rPr>
        <w:t xml:space="preserve">  The fifteen engine fixes of August 2026 changed COM materially — the largest removed a systematic FOM bias affecting 95.7% of cases. On the 802.3ck configuration the shift is about 0.1 dB (Case 1 3.5664 → 3.4694 dB), enough to move Case 2 from PASS to FAIL. Regenerate rather than comparing against archived output.</w:t>
      </w:r>
    </w:p>
    <w:p>
      <w:pPr>
        <w:pStyle w:val="ListBullet"/>
        <w:numPr>
          <w:ilvl w:val="0"/>
          <w:numId w:val="1"/>
        </w:numPr>
        <w:spacing w:before="0" w:after="60"/>
        <w:contextualSpacing/>
        <w:rPr/>
      </w:pPr>
      <w:r>
        <w:rPr>
          <w:b/>
          <w:color w:val="13232C"/>
          <w:sz w:val="21"/>
        </w:rPr>
        <w:t>Reference configuration is partly reconstructed</w:t>
      </w:r>
      <w:r>
        <w:rPr/>
        <w:t xml:space="preserve">  The strongest parity result (§11.1) pairs the with-crosstalk condition with a swept Tx FFE grid and adaptive minimum radius 2. That is a reconstruction inferred from the reference output, not a configuration that was supplied: the two reference workbooks were evidently produced with different Tx FFE settings, and only the without-crosstalk one was sent. It is supported by reproducing MATLAB’s tap vector, sampling phase and FOM on all ten cases that diverged under the supplied config, and by a 2x2 control in which each condition is near-exact on its own settings and materially worse on the other’s. Open question with the MATLAB author; report both the as-supplied and the settings-aligned figures.</w:t>
      </w:r>
    </w:p>
    <w:p>
      <w:pPr>
        <w:pStyle w:val="ListBullet"/>
        <w:numPr>
          <w:ilvl w:val="0"/>
          <w:numId w:val="1"/>
        </w:numPr>
        <w:spacing w:before="0" w:after="60"/>
        <w:contextualSpacing/>
        <w:rPr/>
      </w:pPr>
      <w:r>
        <w:rPr>
          <w:b/>
          <w:color w:val="13232C"/>
          <w:sz w:val="21"/>
        </w:rPr>
        <w:t>Residual in the COM PDF path</w:t>
      </w:r>
      <w:r>
        <w:rPr/>
        <w:t xml:space="preserve">  Closed. The systematic bias was an off-by-one in the ADC-clip sampling phase (docs/COM_PDF_RESIDUAL.md); the last remaining case, wXtalk_T4_R10 at +0.0076 dB, was a separate defect — Python's round() is banker's rounding where MATLAB's rounds half away from zero, and nui = round(len/M) in get_pdf landed on a tie, dropping one ISI sample. With both fixed, COM is bit-exact on all 208 settings-aligned cases.</w:t>
      </w:r>
    </w:p>
    <w:p>
      <w:pPr>
        <w:pStyle w:val="ListBullet"/>
        <w:numPr>
          <w:ilvl w:val="0"/>
          <w:numId w:val="1"/>
        </w:numPr>
        <w:spacing w:before="0" w:after="60"/>
        <w:contextualSpacing/>
        <w:rPr/>
      </w:pPr>
      <w:r>
        <w:rPr>
          <w:b/>
          <w:color w:val="13232C"/>
          <w:sz w:val="21"/>
        </w:rPr>
        <w:t>FFE_OPT_METHOD = 'WIENER-HOPF'</w:t>
      </w:r>
      <w:r>
        <w:rPr>
          <w:color w:val="13232C"/>
          <w:sz w:val="21"/>
        </w:rPr>
        <w:t xml:space="preserve">  Intentionally non-functional; its helper is undefined in the MATLAB reference. Use MMSE.</w:t>
      </w:r>
    </w:p>
    <w:p>
      <w:pPr>
        <w:pStyle w:val="ListBullet"/>
        <w:numPr>
          <w:ilvl w:val="0"/>
          <w:numId w:val="1"/>
        </w:numPr>
        <w:spacing w:before="0" w:after="60"/>
        <w:contextualSpacing/>
        <w:rPr/>
      </w:pPr>
      <w:r>
        <w:rPr>
          <w:b/>
          <w:color w:val="13232C"/>
          <w:sz w:val="21"/>
        </w:rPr>
        <w:t>FAST_NOISE_CONV</w:t>
      </w:r>
      <w:r>
        <w:rPr>
          <w:color w:val="13232C"/>
          <w:sz w:val="21"/>
        </w:rPr>
        <w:t xml:space="preserve">  A speed approximation that lumps small noise taps into a single Gaussian. The exact path is the default and is recommended for reported results.</w:t>
      </w:r>
    </w:p>
    <w:p>
      <w:pPr>
        <w:pStyle w:val="ListBullet"/>
        <w:numPr>
          <w:ilvl w:val="0"/>
          <w:numId w:val="1"/>
        </w:numPr>
        <w:spacing w:before="0" w:after="60"/>
        <w:contextualSpacing/>
        <w:rPr/>
      </w:pPr>
      <w:r>
        <w:rPr>
          <w:b/>
          <w:color w:val="13232C"/>
          <w:sz w:val="21"/>
        </w:rPr>
        <w:t>GUI file pickers</w:t>
      </w:r>
      <w:r>
        <w:rPr>
          <w:color w:val="13232C"/>
          <w:sz w:val="21"/>
        </w:rPr>
        <w:t xml:space="preserve">  Not ported. File lists are always passed on the command line.</w:t>
      </w:r>
    </w:p>
    <w:p>
      <w:pPr>
        <w:pStyle w:val="ListBullet"/>
        <w:numPr>
          <w:ilvl w:val="0"/>
          <w:numId w:val="1"/>
        </w:numPr>
        <w:spacing w:before="0" w:after="60"/>
        <w:contextualSpacing/>
        <w:rPr/>
      </w:pPr>
      <w:r>
        <w:rPr>
          <w:b/>
          <w:color w:val="13232C"/>
          <w:sz w:val="21"/>
        </w:rPr>
        <w:t>Adaptive-search constants</w:t>
      </w:r>
      <w:r>
        <w:rPr>
          <w:color w:val="13232C"/>
          <w:sz w:val="21"/>
        </w:rPr>
        <w:t xml:space="preserve">  The adaptive method carries about ten hand-tuned values — shrink factors, distance weights, the L2/L1 ratio, the CTLE window — whose provenance is not documented in the source. Expect this to be asked about.</w:t>
      </w:r>
      <w:r>
        <w:br w:type="page"/>
      </w:r>
    </w:p>
    <w:p>
      <w:pPr>
        <w:pStyle w:val="Heading1"/>
        <w:spacing w:before="0" w:after="160"/>
        <w:rPr/>
      </w:pPr>
      <w:bookmarkStart w:id="63" w:name="__RefHeading___Toc10506_518488682"/>
      <w:bookmarkEnd w:id="63"/>
      <w:r>
        <w:rPr/>
        <w:t>Appendix A  COM concepts</w:t>
      </w:r>
    </w:p>
    <w:p>
      <w:pPr>
        <w:pStyle w:val="Normal"/>
        <w:spacing w:before="0" w:after="140"/>
        <w:rPr/>
      </w:pPr>
      <w:r>
        <w:rPr>
          <w:b w:val="false"/>
          <w:i w:val="false"/>
          <w:color w:val="13232C"/>
          <w:sz w:val="21"/>
        </w:rPr>
        <w:t>A short refresher for readers who are new to the methodology. Experienced SerDes engineers can skip this.</w:t>
      </w:r>
    </w:p>
    <w:p>
      <w:pPr>
        <w:pStyle w:val="Heading2"/>
        <w:rPr/>
      </w:pPr>
      <w:bookmarkStart w:id="64" w:name="__RefHeading___Toc10508_518488682"/>
      <w:bookmarkEnd w:id="64"/>
      <w:r>
        <w:rPr/>
        <w:t>A.1  What COM measures</w:t>
      </w:r>
    </w:p>
    <w:p>
      <w:pPr>
        <w:pStyle w:val="Normal"/>
        <w:spacing w:before="0" w:after="140"/>
        <w:rPr/>
      </w:pPr>
      <w:r>
        <w:rPr>
          <w:b w:val="false"/>
          <w:i w:val="false"/>
          <w:color w:val="13232C"/>
          <w:sz w:val="21"/>
        </w:rPr>
        <w:t>COM expresses, in decibels, the ratio between the available signal amplitude and the total impairment amplitude at the decision point, evaluated at a target bit error ratio. Above the threshold — conventionally 3 dB — the channel is deemed able to support the link.</w:t>
      </w:r>
    </w:p>
    <w:p>
      <w:pPr>
        <w:pStyle w:val="Normal"/>
        <w:shd w:val="clear" w:fill="F2F6F8"/>
        <w:spacing w:before="80" w:after="180"/>
        <w:ind w:start="187"/>
        <w:rPr/>
      </w:pPr>
      <w:r>
        <w:rPr>
          <w:rFonts w:ascii="Consolas" w:hAnsi="Consolas"/>
          <w:color w:val="13232C"/>
          <w:sz w:val="17"/>
        </w:rPr>
        <w:t>COM = 20 * log10( A_signal / A_noise_and_interference )</w:t>
      </w:r>
    </w:p>
    <w:p>
      <w:pPr>
        <w:pStyle w:val="Normal"/>
        <w:spacing w:before="0" w:after="140"/>
        <w:rPr/>
      </w:pPr>
      <w:r>
        <w:rPr>
          <w:b w:val="false"/>
          <w:i w:val="false"/>
          <w:color w:val="13232C"/>
          <w:sz w:val="21"/>
        </w:rPr>
        <w:t>The denominator is not a simple RMS sum. It is derived from the tail of a convolved probability distribution combining residual inter-symbol interference, crosstalk, jitter-induced noise and receiver noise. That is why a Gaussian approximation understates the impairment, and why the calculation is expensive.</w:t>
      </w:r>
    </w:p>
    <w:p>
      <w:pPr>
        <w:pStyle w:val="Heading2"/>
        <w:rPr/>
      </w:pPr>
      <w:bookmarkStart w:id="65" w:name="__RefHeading___Toc10510_518488682"/>
      <w:bookmarkEnd w:id="65"/>
      <w:r>
        <w:rPr/>
        <w:t>A.2  The equalizer chain</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68"/>
        <w:gridCol w:w="3168"/>
        <w:gridCol w:w="3168"/>
      </w:tblGrid>
      <w:tr>
        <w:trPr/>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Stage</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Where</w:t>
            </w:r>
          </w:p>
        </w:tc>
        <w:tc>
          <w:tcPr>
            <w:tcW w:w="3168"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7"/>
                <w:szCs w:val="22"/>
                <w:lang w:val="en-US" w:eastAsia="en-US" w:bidi="ar-SA"/>
              </w:rPr>
              <w:t>What it does</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TX FFE</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transmitter</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pre-distorts the launched pulse to counter downstream loss; taps are swept over a configured grid</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CTLE</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receiver, analog</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continuous-time linear boost, selected from a bank of gain/pole/zero settings</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RX FFE</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receiver, digital</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feed-forward equalization, tap values solved rather than swept</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DFE</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receiver, digital</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cancels post-cursor ISI using already-decided symbols; cannot help with pre-cursor ISI</w:t>
            </w:r>
          </w:p>
        </w:tc>
      </w:tr>
      <w:tr>
        <w:trPr/>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MLSE</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receiver, digital</w:t>
            </w:r>
          </w:p>
        </w:tc>
        <w:tc>
          <w:tcPr>
            <w:tcW w:w="3168"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color w:val="13232C"/>
                <w:kern w:val="0"/>
                <w:sz w:val="17"/>
                <w:szCs w:val="22"/>
                <w:lang w:val="en-US" w:eastAsia="en-US" w:bidi="ar-SA"/>
              </w:rPr>
              <w:t>sequence estimation applied after the main evaluation</w:t>
            </w:r>
          </w:p>
        </w:tc>
      </w:tr>
    </w:tbl>
    <w:p>
      <w:pPr>
        <w:pStyle w:val="Normal"/>
        <w:spacing w:before="0" w:after="120"/>
        <w:rPr/>
      </w:pPr>
      <w:r>
        <w:rPr/>
      </w:r>
    </w:p>
    <w:p>
      <w:pPr>
        <w:pStyle w:val="Heading2"/>
        <w:rPr/>
      </w:pPr>
      <w:bookmarkStart w:id="66" w:name="__RefHeading___Toc10512_518488682"/>
      <w:bookmarkEnd w:id="66"/>
      <w:r>
        <w:rPr/>
        <w:t>A.3  FOM versus COM</w:t>
      </w:r>
    </w:p>
    <w:p>
      <w:pPr>
        <w:pStyle w:val="Normal"/>
        <w:spacing w:before="0" w:after="140"/>
        <w:rPr/>
      </w:pPr>
      <w:r>
        <w:rPr>
          <w:b w:val="false"/>
          <w:i w:val="false"/>
          <w:color w:val="13232C"/>
          <w:sz w:val="21"/>
        </w:rPr>
        <w:t>Searching the equalizer space directly on COM is impractical, because each evaluation requires the full statistical convolution. The tool therefore optimises a cheaper figure of merit and computes COM once, at the end, for the winning setting.</w:t>
      </w:r>
    </w:p>
    <w:p>
      <w:pPr>
        <w:pStyle w:val="Normal"/>
        <w:spacing w:before="0" w:after="140"/>
        <w:rPr/>
      </w:pPr>
      <w:r>
        <w:rPr>
          <w:b w:val="false"/>
          <w:i w:val="false"/>
          <w:color w:val="13232C"/>
          <w:sz w:val="21"/>
        </w:rPr>
        <w:t>This substitution is the reason Chapter 8 exists. FOM is a proxy, and the measured rank correlation between FOM and COM across channels runs between 0.60 and 0.81 — informative, but not faithful.</w:t>
      </w:r>
    </w:p>
    <w:p>
      <w:pPr>
        <w:pStyle w:val="Heading2"/>
        <w:rPr/>
      </w:pPr>
      <w:bookmarkStart w:id="67" w:name="__RefHeading___Toc10514_518488682"/>
      <w:bookmarkEnd w:id="67"/>
      <w:r>
        <w:rPr/>
        <w:t>A.4  Reading a result</w:t>
      </w:r>
    </w:p>
    <w:p>
      <w:pPr>
        <w:pStyle w:val="ListBullet"/>
        <w:numPr>
          <w:ilvl w:val="0"/>
          <w:numId w:val="1"/>
        </w:numPr>
        <w:spacing w:before="0" w:after="60"/>
        <w:contextualSpacing/>
        <w:rPr/>
      </w:pPr>
      <w:r>
        <w:rPr>
          <w:b/>
          <w:color w:val="13232C"/>
          <w:sz w:val="21"/>
        </w:rPr>
        <w:t>COM_dB</w:t>
      </w:r>
      <w:r>
        <w:rPr>
          <w:color w:val="13232C"/>
          <w:sz w:val="21"/>
        </w:rPr>
        <w:t xml:space="preserve">  the margin. Compared against COM Pass threshold.</w:t>
      </w:r>
    </w:p>
    <w:p>
      <w:pPr>
        <w:pStyle w:val="ListBullet"/>
        <w:numPr>
          <w:ilvl w:val="0"/>
          <w:numId w:val="1"/>
        </w:numPr>
        <w:spacing w:before="0" w:after="60"/>
        <w:contextualSpacing/>
        <w:rPr/>
      </w:pPr>
      <w:r>
        <w:rPr>
          <w:b/>
          <w:color w:val="13232C"/>
          <w:sz w:val="21"/>
        </w:rPr>
        <w:t>VEO / VEC</w:t>
      </w:r>
      <w:r>
        <w:rPr>
          <w:color w:val="13232C"/>
          <w:sz w:val="21"/>
        </w:rPr>
        <w:t xml:space="preserve">  vertical eye opening and closure; C2M configurations gate on these in addition to COM.</w:t>
      </w:r>
    </w:p>
    <w:p>
      <w:pPr>
        <w:pStyle w:val="ListBullet"/>
        <w:numPr>
          <w:ilvl w:val="0"/>
          <w:numId w:val="1"/>
        </w:numPr>
        <w:spacing w:before="0" w:after="60"/>
        <w:contextualSpacing/>
        <w:rPr/>
      </w:pPr>
      <w:r>
        <w:rPr>
          <w:b/>
          <w:color w:val="13232C"/>
          <w:sz w:val="21"/>
        </w:rPr>
        <w:t>ICN</w:t>
      </w:r>
      <w:r>
        <w:rPr>
          <w:color w:val="13232C"/>
          <w:sz w:val="21"/>
        </w:rPr>
        <w:t xml:space="preserve">  integrated crosstalk noise. Zero when no aggressor files were supplied — which means a run without crosstalk is not a crosstalk-free result, it is an unevaluated one.</w:t>
      </w:r>
    </w:p>
    <w:p>
      <w:pPr>
        <w:pStyle w:val="ListBullet"/>
        <w:numPr>
          <w:ilvl w:val="0"/>
          <w:numId w:val="1"/>
        </w:numPr>
        <w:spacing w:before="0" w:after="60"/>
        <w:contextualSpacing/>
        <w:rPr/>
      </w:pPr>
      <w:r>
        <w:rPr>
          <w:b/>
          <w:color w:val="13232C"/>
          <w:sz w:val="21"/>
        </w:rPr>
        <w:t>Package cases</w:t>
      </w:r>
      <w:r>
        <w:rPr>
          <w:color w:val="13232C"/>
          <w:sz w:val="21"/>
        </w:rPr>
        <w:t xml:space="preserve">  a configuration may define several; each is solved and reported independently, and all must pass.</w:t>
      </w:r>
      <w:r>
        <w:br w:type="page"/>
      </w:r>
    </w:p>
    <w:p>
      <w:pPr>
        <w:pStyle w:val="Heading1"/>
        <w:spacing w:before="0" w:after="160"/>
        <w:rPr/>
      </w:pPr>
      <w:bookmarkStart w:id="68" w:name="__RefHeading___Toc10516_518488682"/>
      <w:bookmarkEnd w:id="68"/>
      <w:r>
        <w:rPr/>
        <w:t>Appendix B  Complete configuration parameter index</w:t>
      </w:r>
    </w:p>
    <w:p>
      <w:pPr>
        <w:pStyle w:val="Normal"/>
        <w:spacing w:before="0" w:after="140"/>
        <w:rPr/>
      </w:pPr>
      <w:r>
        <w:rPr>
          <w:b w:val="false"/>
          <w:i w:val="false"/>
          <w:color w:val="13232C"/>
          <w:sz w:val="21"/>
        </w:rPr>
        <w:t>Every keyword the engine reads from the configuration spreadsheet, extracted directly from the source so that it cannot drift from the implementation. Grouped by function; within each group, alphabetical.</w:t>
      </w:r>
    </w:p>
    <w:p>
      <w:pPr>
        <w:pStyle w:val="Normal"/>
        <w:spacing w:before="0" w:after="140"/>
        <w:rPr/>
      </w:pPr>
      <w:r>
        <w:rPr>
          <w:b/>
          <w:i w:val="false"/>
          <w:color w:val="13232C"/>
          <w:sz w:val="21"/>
        </w:rPr>
        <w:t>Mandatory</w:t>
      </w:r>
      <w:r>
        <w:rPr>
          <w:b w:val="false"/>
          <w:i w:val="false"/>
          <w:color w:val="13232C"/>
          <w:sz w:val="21"/>
        </w:rPr>
        <w:t xml:space="preserve"> keywords have no default: the run stops if they are absent from the sheet. Everything else falls back to the listed </w:t>
      </w:r>
      <w:r>
        <w:rPr>
          <w:b/>
          <w:i w:val="false"/>
          <w:color w:val="13232C"/>
          <w:sz w:val="21"/>
        </w:rPr>
        <w:t>Default</w:t>
      </w:r>
      <w:r>
        <w:rPr>
          <w:b w:val="false"/>
          <w:i w:val="false"/>
          <w:color w:val="13232C"/>
          <w:sz w:val="21"/>
        </w:rPr>
        <w:t xml:space="preserve">, so an absent row and a row set to that value behave identically. </w:t>
      </w:r>
      <w:r>
        <w:rPr>
          <w:b/>
          <w:i w:val="false"/>
          <w:color w:val="13232C"/>
          <w:sz w:val="21"/>
        </w:rPr>
        <w:t>Attribute</w:t>
      </w:r>
      <w:r>
        <w:rPr>
          <w:b w:val="false"/>
          <w:i w:val="false"/>
          <w:color w:val="13232C"/>
          <w:sz w:val="21"/>
        </w:rPr>
        <w:t xml:space="preserve"> is where the value lands internally — search for it when tracing behaviour through the code. A </w:t>
      </w:r>
      <w:r>
        <w:rPr>
          <w:rFonts w:ascii="Consolas" w:hAnsi="Consolas"/>
          <w:b w:val="false"/>
          <w:i w:val="false"/>
          <w:color w:val="13232C"/>
          <w:sz w:val="19"/>
        </w:rPr>
        <w:t>*</w:t>
      </w:r>
      <w:r>
        <w:rPr>
          <w:b w:val="false"/>
          <w:i w:val="false"/>
          <w:color w:val="13232C"/>
          <w:sz w:val="21"/>
        </w:rPr>
        <w:t xml:space="preserve"> in the Eval column means a text cell is evaluated as a MATLAB expression, so entries such as </w:t>
      </w:r>
      <w:r>
        <w:rPr>
          <w:rFonts w:ascii="Consolas" w:hAnsi="Consolas"/>
          <w:b w:val="false"/>
          <w:i w:val="false"/>
          <w:color w:val="13232C"/>
          <w:sz w:val="19"/>
        </w:rPr>
        <w:t>[1 3 2 4]</w:t>
      </w:r>
      <w:r>
        <w:rPr>
          <w:b w:val="false"/>
          <w:i w:val="false"/>
          <w:color w:val="13232C"/>
          <w:sz w:val="21"/>
        </w:rPr>
        <w:t xml:space="preserve"> or </w:t>
      </w:r>
      <w:r>
        <w:rPr>
          <w:rFonts w:ascii="Consolas" w:hAnsi="Consolas"/>
          <w:b w:val="false"/>
          <w:i w:val="false"/>
          <w:color w:val="13232C"/>
          <w:sz w:val="19"/>
        </w:rPr>
        <w:t>1e9*[1:5]</w:t>
      </w:r>
      <w:r>
        <w:rPr>
          <w:b w:val="false"/>
          <w:i w:val="false"/>
          <w:color w:val="13232C"/>
          <w:sz w:val="21"/>
        </w:rPr>
        <w:t xml:space="preserve"> are accepted.</w:t>
      </w:r>
    </w:p>
    <w:p>
      <w:pPr>
        <w:pStyle w:val="Normal"/>
        <w:spacing w:before="0" w:after="140"/>
        <w:rPr/>
      </w:pPr>
      <w:r>
        <w:rPr>
          <w:b w:val="false"/>
          <w:i/>
          <w:color w:val="5A6B74"/>
          <w:sz w:val="19"/>
        </w:rPr>
        <w:t>Mandatory keywords are listed first within their group and marked in bold.</w:t>
      </w:r>
    </w:p>
    <w:p>
      <w:pPr>
        <w:pStyle w:val="Heading2"/>
        <w:rPr/>
      </w:pPr>
      <w:bookmarkStart w:id="69" w:name="__RefHeading___Toc10518_518488682"/>
      <w:bookmarkEnd w:id="69"/>
      <w:r>
        <w:rPr/>
        <w:t>Signalling &amp; test limits  (23)</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DER_0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param.specBER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f_b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param.fb</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param.levels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CDR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OP.CDR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Clip Method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'Fast'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param.clip_method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COM Pass threshold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param.pass_threshold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DER_CDR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1e-2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param.DER_CDR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EH_max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np.inf</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param.Max_VEO</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EH_min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param.Min_VEO</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EH_min_test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param.Min_VEO_Test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ERL Pass threshold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param.ERL_pass_threshold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32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param.samples_per_ui</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Max burst length calculated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OP.nburst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Min_VEO_Test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param.Min_VEO_Test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param.Min_VEO_Test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PHY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OP.PMD_type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OP.PHY</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PMD_type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'C2C'</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OP.PMD_type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Sigma BBN step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5e-3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OP.sigma_bn_STEP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T_h</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param.T_O</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param.T_O</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T_O</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param.T_O</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T_r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8e-3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OP.transmitter_transition_time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T_r_filter_type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OP.T_r_filter_type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T_r_meas_point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OP.T_r_meas_point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VEC Pass threshold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param.VEC_pass_threshold</w:t>
            </w:r>
          </w:p>
        </w:tc>
      </w:tr>
    </w:tbl>
    <w:p>
      <w:pPr>
        <w:pStyle w:val="Normal"/>
        <w:spacing w:before="0" w:after="120"/>
        <w:rPr/>
      </w:pPr>
      <w:r>
        <w:rPr/>
      </w:r>
    </w:p>
    <w:p>
      <w:pPr>
        <w:pStyle w:val="Heading2"/>
        <w:rPr/>
      </w:pPr>
      <w:bookmarkStart w:id="70" w:name="__RefHeading___Toc10520_518488682"/>
      <w:bookmarkEnd w:id="70"/>
      <w:r>
        <w:rPr/>
        <w:t>EQ search control  (5)</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Local Search</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param.LOCAL_SEARCH</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Non-zero Local Search Method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param.NonZeroLSMethod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Optimize_loop_speed_up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OP.Optimize_loop_speed_up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sample_adjustment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 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param.ts_sample_adj_range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TS_SRCH_MODE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'full-sweep'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OP.TS_SRCH_MODE</w:t>
            </w:r>
          </w:p>
        </w:tc>
      </w:tr>
    </w:tbl>
    <w:p>
      <w:pPr>
        <w:pStyle w:val="Normal"/>
        <w:spacing w:before="0" w:after="120"/>
        <w:rPr/>
      </w:pPr>
      <w:r>
        <w:rPr/>
      </w:r>
    </w:p>
    <w:p>
      <w:pPr>
        <w:pStyle w:val="Heading2"/>
        <w:rPr/>
      </w:pPr>
      <w:bookmarkStart w:id="71" w:name="__RefHeading___Toc10522_518488682"/>
      <w:bookmarkEnd w:id="71"/>
      <w:r>
        <w:rPr/>
        <w:t>Equalization — TX FFE  (12)</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c(0)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param.tx_ffe_c0_min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param.tx_ffe_cm1_values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param.tx_ffe_cm2_values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param.tx_ffe_cm3_values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c(-4)</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param.tx_ffe_cm4_values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param.tx_ffe_cp1_values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param.tx_ffe_cp2_values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param.tx_ffe_cp3_values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crusor_gain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param.cursor_gain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Dynamic TXFFE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OP.dynamic_txffe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ffe_main_cursor_min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param.ffe_main_cursor_min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preset_txffe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preset_txffe</w:t>
            </w:r>
          </w:p>
        </w:tc>
      </w:tr>
    </w:tbl>
    <w:p>
      <w:pPr>
        <w:pStyle w:val="Normal"/>
        <w:spacing w:before="0" w:after="120"/>
        <w:rPr/>
      </w:pPr>
      <w:r>
        <w:rPr/>
      </w:r>
    </w:p>
    <w:p>
      <w:pPr>
        <w:pStyle w:val="Heading2"/>
        <w:rPr/>
      </w:pPr>
      <w:bookmarkStart w:id="72" w:name="__RefHeading___Toc10524_518488682"/>
      <w:bookmarkEnd w:id="72"/>
      <w:r>
        <w:rPr/>
        <w:t>Equalization — CTLE  (14)</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g_DC</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param.ctle_gdc_values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CTLE_type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'CL93'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param.CTLE_type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f_hp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param.f_hp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f_HP_P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f_HP_PZ</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f_HP_Z</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f_z</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param.fb / 4 / 1e9</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G2_Qual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g2qual_raw</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g_DC_HP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param.g_DC_HP_values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G_Qual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gqual_raw</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GDC_MIN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param.GDC_MIN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INCLUDE_CTLE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OP.INCLUDE_CTLE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kappa1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param.kappa1</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kappa2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param.kappa2</w:t>
            </w:r>
          </w:p>
        </w:tc>
      </w:tr>
    </w:tbl>
    <w:p>
      <w:pPr>
        <w:pStyle w:val="Normal"/>
        <w:spacing w:before="0" w:after="120"/>
        <w:rPr/>
      </w:pPr>
      <w:r>
        <w:rPr/>
      </w:r>
    </w:p>
    <w:p>
      <w:pPr>
        <w:pStyle w:val="Heading2"/>
        <w:rPr/>
      </w:pPr>
      <w:bookmarkStart w:id="73" w:name="__RefHeading___Toc10526_518488682"/>
      <w:bookmarkEnd w:id="73"/>
      <w:r>
        <w:rPr/>
        <w:t>Equalization — DFE &amp; MLSE  (14)</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N_b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param.ndfe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B_float_RSS_MAX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param.B_float_RSS_MAX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b_max(2..N_b)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bmax2</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b_min(1)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-param.bmax[0]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bmin1</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b_min(2..N_b)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-float(bmax2_arr[0])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bmin2</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bmaxg</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param.bmaxg</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FloatingDFE_Development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OP.FloatingDFE_Development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LIMIT_JITTER_CONTRIB_TO_DFE_SPAN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OP.LIMIT_JITTER_CONTRIB_TO_DFE_SPAN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OP.MLSD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OP.MLSE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N_b_step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param.dfe_delta</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N_bf</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6</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param.N_bf</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N_bg</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param.N_bg</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N_bmax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param.ndfe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param.N_bmax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N_f</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param.ndfe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param.N_bmax</w:t>
            </w:r>
          </w:p>
        </w:tc>
      </w:tr>
    </w:tbl>
    <w:p>
      <w:pPr>
        <w:pStyle w:val="Normal"/>
        <w:spacing w:before="0" w:after="120"/>
        <w:rPr/>
      </w:pPr>
      <w:r>
        <w:rPr/>
      </w:r>
    </w:p>
    <w:p>
      <w:pPr>
        <w:pStyle w:val="Heading2"/>
        <w:rPr/>
      </w:pPr>
      <w:bookmarkStart w:id="74" w:name="__RefHeading___Toc10528_518488682"/>
      <w:bookmarkEnd w:id="74"/>
      <w:r>
        <w:rPr/>
        <w:t>Equalization — RX FFE  (10)</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ffe_backoff</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param.ffe_backoff</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FFE_OPT_METHOD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'MMSE'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OP.FFE_OPT_METHOD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ffe_post_tap1_max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0.7</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param.ffe_post_tap1_max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ffe_post_tap_len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param.ffe_post_tap_len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ffe_pre_tap1_max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0.7</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param.ffe_pre_tap1_max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ffe_pre_tap_len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param.ffe_pre_tap_len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ffe_tap_step_size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param.ffe_tap_step_size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ffe_tapn_max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0.7</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param.ffe_tapn_max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RXFFE FLOAT CTL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'FOM'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OP.RXFFE_FLOAT_CTL</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RXFFE TAP CONSTRAINT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'Unity Cursor'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OP.RXFFE_TAP_CONSTRAINT</w:t>
            </w:r>
          </w:p>
        </w:tc>
      </w:tr>
    </w:tbl>
    <w:p>
      <w:pPr>
        <w:pStyle w:val="Normal"/>
        <w:spacing w:before="0" w:after="120"/>
        <w:rPr/>
      </w:pPr>
      <w:r>
        <w:rPr/>
      </w:r>
    </w:p>
    <w:p>
      <w:pPr>
        <w:pStyle w:val="Heading2"/>
        <w:rPr/>
      </w:pPr>
      <w:bookmarkStart w:id="75" w:name="__RefHeading___Toc10530_518488682"/>
      <w:bookmarkEnd w:id="75"/>
      <w:r>
        <w:rPr/>
        <w:t>Receiver filter &amp; windowing  (11)</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Bessel_Thomson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OP.Bessel_Thomson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BTorder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4</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param.BTorder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Butterworth</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OP.Butterworth</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4</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param.f_r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INCLUDE_TX_RX_FILTER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OP.INCLUDE_FILTER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RC_end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param.fb * param.f_r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param.RC_end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RC_Start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param.fb / 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param.RC_Start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TDR_Butterworth</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True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OP.TDR_Butterworth</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Tukey_Window</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param.Tukey_Window</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ZERO_PAD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OP.ZERO_PAD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zero_pad_tukey_window_in_fb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param.zero_pad_tukey_window_in_fb</w:t>
            </w:r>
          </w:p>
        </w:tc>
      </w:tr>
    </w:tbl>
    <w:p>
      <w:pPr>
        <w:pStyle w:val="Normal"/>
        <w:spacing w:before="0" w:after="120"/>
        <w:rPr/>
      </w:pPr>
      <w:r>
        <w:rPr/>
      </w:r>
    </w:p>
    <w:p>
      <w:pPr>
        <w:pStyle w:val="Heading2"/>
        <w:rPr/>
      </w:pPr>
      <w:bookmarkStart w:id="76" w:name="__RefHeading___Toc10532_518488682"/>
      <w:bookmarkEnd w:id="76"/>
      <w:r>
        <w:rPr/>
        <w:t>Noise, jitter &amp; crosstalk  (19)</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A_DD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param.A_DD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eta_0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param.eta_0</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sigma_RJ</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param.sigma_RJ</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A_fe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0.5</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param.a_fext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A_ft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param.a_fext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param.a_icn_fext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A_ne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0.5</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param.a_next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A_nt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param.a_next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param.a_icn_next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A_v</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0.5</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param.a_thru</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AC_CM_RMS</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param.AC_CM_RMS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ACCM_MAX_Freq</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param.ACCM_MAX_Freq</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add_rx_noise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param.pass_threshold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param.add_rx_noise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Do_Colored_Noise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OP.Do_Colored_Noise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Do_White_Noise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OP.Do_White_Noise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Do_XT_Noise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OP.Do_XT_Noise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FFE_SNR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OP.FFE_SNR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Noise_Crest_Factor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param.Noise_Crest_Factor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num_ui_RXFF_noise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2048</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param.num_ui_RXFF_noise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sigma_r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0.020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param.sigma_r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SNR_TXwC0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OP.SNR_TXwC0</w:t>
            </w:r>
          </w:p>
        </w:tc>
      </w:tr>
    </w:tbl>
    <w:p>
      <w:pPr>
        <w:pStyle w:val="Normal"/>
        <w:spacing w:before="0" w:after="120"/>
        <w:rPr/>
      </w:pPr>
      <w:r>
        <w:rPr/>
      </w:r>
    </w:p>
    <w:p>
      <w:pPr>
        <w:pStyle w:val="Heading2"/>
        <w:rPr/>
      </w:pPr>
      <w:bookmarkStart w:id="77" w:name="__RefHeading___Toc10534_518488682"/>
      <w:bookmarkEnd w:id="77"/>
      <w:r>
        <w:rPr/>
        <w:t>Package, die &amp; termination  (30)</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board_tl_gamma0_a1_a2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np.array([0.0, 4.114e-4, 2.547e...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param.brd_gamma0_a1_a2</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board_tl_tau</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6.191e-3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param.brd_tau</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board_Z_c</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109.8</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param.brd_Z_c</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C_b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param.C_bump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C_d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param.C_diepad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C_p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param.C_pkg_board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C_v</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param.C_v</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D_p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4</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param.D_p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IDEAL_RX_TERM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OP.IDEAL_RX_TERM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IDEAL_TX_TERM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OP.IDEAL_TX_TERM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imb_C_fctr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param.imb_C_fctr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imb_Z_fctr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param.imb_Z_fctr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INC_PACKAGE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True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OP.INC_PACKAGE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inc_reflect_board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OP.inc_reflect_board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L_s</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param.L_comp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package_tl_gamma0_a1_a2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np.array([0.0, 1.734e-3, 1.455e...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param.pkg_gamma0_a1_a2</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package_tl_tau</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6.141e-3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param.pkg_tau</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package_Z_c</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_default_Zc_str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raw_zc</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PKG_NAME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param.PKG_NAME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PKG_Tx_FFE_preset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param.PKG_Tx_FFE_preset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R_0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50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param.Z0</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R_d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[50, 50]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param.R_diepad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TDR_duration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5</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OP.TDR_duration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TDR_W_TXPKG</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OP.TDR_W_TXPKG</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z_bp (FEXT)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72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param.z_bp_fext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z_bp (NEXT)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72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param.z_bp_next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z_bp (RX)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151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param.z_bp_rx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z_bp (TX)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151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param.z_bp_tx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z_p select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OP.pkg_len_select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Z_t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param.Z0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param.Z_t</w:t>
            </w:r>
          </w:p>
        </w:tc>
      </w:tr>
    </w:tbl>
    <w:p>
      <w:pPr>
        <w:pStyle w:val="Normal"/>
        <w:spacing w:before="0" w:after="120"/>
        <w:rPr/>
      </w:pPr>
      <w:r>
        <w:rPr/>
      </w:r>
    </w:p>
    <w:p>
      <w:pPr>
        <w:pStyle w:val="Heading2"/>
        <w:rPr/>
      </w:pPr>
      <w:bookmarkStart w:id="78" w:name="__RefHeading___Toc10536_518488682"/>
      <w:bookmarkEnd w:id="78"/>
      <w:r>
        <w:rPr/>
        <w:t>Channel / S-parameter handling  (16)</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Delta_f</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param.max_freq_step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f_min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param.max_start_freq</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AUTO_TFX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OP.AUTO_TFX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Enforce Causality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OP.ENFORCE_CAUSALITY</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Enforce Causality DIFF_TOL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1e-3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OP.EC_DIFF_TOL</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Enforce Causality pulse start tolerance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0.01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OP.EC_PULSE_TOL</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Enforce Causality REL_TOL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1e-2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OP.EC_REL_TOL</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fixture delay time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param.tfx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flim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1000e9</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param.flim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flip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param.flip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FORCE_TR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OP.FORCE_TR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fraction_of_F_range_start_extrap_from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0.75</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OP.fraction_of_F_range_start_extrap_from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Port Order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 3, 2, 4]</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param.snpPortsOrder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Report_Modal_ERL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OP.Report_Modal_ERL</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S-parameter magnitude extrapolation policy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'linear_trend_to_DC'</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OP.interp_sparam_mag</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S-parameter phase extrapolation policy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'extrap_cubic_to_dc_linear_to_inf'</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OP.interp_sparam_phase</w:t>
            </w:r>
          </w:p>
        </w:tc>
      </w:tr>
    </w:tbl>
    <w:p>
      <w:pPr>
        <w:pStyle w:val="Normal"/>
        <w:spacing w:before="0" w:after="120"/>
        <w:rPr/>
      </w:pPr>
      <w:r>
        <w:rPr/>
      </w:r>
    </w:p>
    <w:p>
      <w:pPr>
        <w:pStyle w:val="Heading2"/>
        <w:rPr/>
      </w:pPr>
      <w:bookmarkStart w:id="79" w:name="__RefHeading___Toc10538_518488682"/>
      <w:bookmarkEnd w:id="79"/>
      <w:r>
        <w:rPr/>
        <w:t>Frequency-domain metrics (ILD/ICN)  (8)</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delta_IL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param.delta_IL</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Display frequency domain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OP.GET_FD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OP.GET_FD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param.max_start_freq / 1e9</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param.f1</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param.fb / 1e9</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param.f2</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f_2_ILD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param.f2 / 1e9</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param.f2_ild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f_f</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4</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param.f_f</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4</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param.f_n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f_v</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4</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param.f_v</w:t>
            </w:r>
          </w:p>
        </w:tc>
      </w:tr>
    </w:tbl>
    <w:p>
      <w:pPr>
        <w:pStyle w:val="Normal"/>
        <w:spacing w:before="0" w:after="120"/>
        <w:rPr/>
      </w:pPr>
      <w:r>
        <w:rPr/>
      </w:r>
    </w:p>
    <w:p>
      <w:pPr>
        <w:pStyle w:val="Heading2"/>
        <w:rPr/>
      </w:pPr>
      <w:bookmarkStart w:id="80" w:name="__RefHeading___Toc10540_518488682"/>
      <w:bookmarkEnd w:id="80"/>
      <w:r>
        <w:rPr/>
        <w:t>ERL / TDR / reflection  (14)</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beta_x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param.beta_x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COMPUTE_RILN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OP.COMPUTE_RILN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COMPUTE_TDILN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OP.COMPUTE_RILN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OP.COMPUTE_TDILN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ERL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OP.ERL</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ERL_FOM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OP.RL_norm_test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ERL_ONLY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OP.ERL_ONLY</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Grr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param.Grr_limit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param.Grr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Grr_limit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param.Grr_limit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Gx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param.Gx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N_bx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param.ndfe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param.N_bx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rho_x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0.618</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param.rho_x</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TDR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OP.TDR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TDR_f_BT_3db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0.4730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param.fb_BT_cutoff</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TR_TDR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8e-3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param.TR_TDR</w:t>
            </w:r>
          </w:p>
        </w:tc>
      </w:tr>
    </w:tbl>
    <w:p>
      <w:pPr>
        <w:pStyle w:val="Normal"/>
        <w:spacing w:before="0" w:after="120"/>
        <w:rPr/>
      </w:pPr>
      <w:r>
        <w:rPr/>
      </w:r>
    </w:p>
    <w:p>
      <w:pPr>
        <w:pStyle w:val="Heading2"/>
        <w:rPr/>
      </w:pPr>
      <w:bookmarkStart w:id="81" w:name="__RefHeading___Toc10542_518488682"/>
      <w:bookmarkEnd w:id="81"/>
      <w:r>
        <w:rPr/>
        <w:t>Statistical / PDF construction  (16)</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BBN Q factor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5</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OP.BBN_Q_factor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Force BBN Q factor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OP.force_BBN_Q_factor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Force PDF bin size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OP.force_pdf_bin_size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Histogram_Window_Weight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'rectangle'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OP.Histogram_Window_Weight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Impulse response truncation threshold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1e-3</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OP.impulse_response_truncation_threshold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N_qb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param.N_qb</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N_tail_start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param.N_tail_start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N_tc</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param.trunc</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param.trunc</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P_peak</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param.specBER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param.P_peak</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P_qc</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2 * param.specBER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param.P_qc</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PDF bin size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1e-5</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OP.BinSize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Q</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param.Q</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Q_budget_adj</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param.Q_budget_adj</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QL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_ql_default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param.QL</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Qr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param.sigma_r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param.Qr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trunc</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128</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param.trunc</w:t>
            </w:r>
          </w:p>
        </w:tc>
      </w:tr>
    </w:tbl>
    <w:p>
      <w:pPr>
        <w:pStyle w:val="Normal"/>
        <w:spacing w:before="0" w:after="120"/>
        <w:rPr/>
      </w:pPr>
      <w:r>
        <w:rPr/>
      </w:r>
    </w:p>
    <w:p>
      <w:pPr>
        <w:pStyle w:val="Heading2"/>
        <w:rPr/>
      </w:pPr>
      <w:bookmarkStart w:id="82" w:name="__RefHeading___Toc10544_518488682"/>
      <w:bookmarkEnd w:id="82"/>
      <w:r>
        <w:rPr/>
        <w:t>Error propagation  (3)</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Error propagation COM margin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OP.COM_EP_margin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MLSD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OP.MLSD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Use simple error propagation model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OP.use_simple_EP_model</w:t>
            </w:r>
          </w:p>
        </w:tc>
      </w:tr>
    </w:tbl>
    <w:p>
      <w:pPr>
        <w:pStyle w:val="Normal"/>
        <w:spacing w:before="0" w:after="120"/>
        <w:rPr/>
      </w:pPr>
      <w:r>
        <w:rPr/>
      </w:r>
    </w:p>
    <w:p>
      <w:pPr>
        <w:pStyle w:val="Heading2"/>
        <w:rPr/>
      </w:pPr>
      <w:bookmarkStart w:id="83" w:name="__RefHeading___Toc10546_518488682"/>
      <w:bookmarkEnd w:id="83"/>
      <w:r>
        <w:rPr/>
        <w:t>RX calibration  (4)</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SNR_TX</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param.SNDR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PSDRXCAL</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OP.PSDRXCAL</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RX_CALIBRATION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OP.RX_CALIBRATION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SNDR_REF</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OP.SNDR_REF</w:t>
            </w:r>
          </w:p>
        </w:tc>
      </w:tr>
    </w:tbl>
    <w:p>
      <w:pPr>
        <w:pStyle w:val="Normal"/>
        <w:spacing w:before="0" w:after="120"/>
        <w:rPr/>
      </w:pPr>
      <w:r>
        <w:rPr/>
      </w:r>
    </w:p>
    <w:p>
      <w:pPr>
        <w:pStyle w:val="Heading2"/>
        <w:rPr/>
      </w:pPr>
      <w:bookmarkStart w:id="84" w:name="__RefHeading___Toc10548_518488682"/>
      <w:bookmarkEnd w:id="84"/>
      <w:r>
        <w:rPr/>
        <w:t>Skew  (5)</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Rxnskew</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param.Rxnskew</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Rxpskew</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param.Rxpskew</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skew_ps</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param.skew_ps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Txnskew</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param.Txnskew</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Txpskew</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param.Txpskew</w:t>
            </w:r>
          </w:p>
        </w:tc>
      </w:tr>
    </w:tbl>
    <w:p>
      <w:pPr>
        <w:pStyle w:val="Normal"/>
        <w:spacing w:before="0" w:after="120"/>
        <w:rPr/>
      </w:pPr>
      <w:r>
        <w:rPr/>
      </w:r>
    </w:p>
    <w:p>
      <w:pPr>
        <w:pStyle w:val="Heading2"/>
        <w:rPr/>
      </w:pPr>
      <w:bookmarkStart w:id="85" w:name="__RefHeading___Toc10550_518488682"/>
      <w:bookmarkEnd w:id="85"/>
      <w:r>
        <w:rPr/>
        <w:t>Output, reporting &amp; execution  (28)</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BREAD_CRUMBS</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OP.BREAD_CRUMBS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BREAD_CRUMBS_FIELDS</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OP.BREAD_CRUMBS_FIELDS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CM_MASK_REPORT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OP.CM_MASK_REPORT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COM_CONTRIBUTION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OP.COM_CONTRIBUTION_CURVES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CSV_REPORT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True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OP.CSV_REPORT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DIAGNOSTICS</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OP.DEBUG</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DISPLAY_WINDOW</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True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OP.DISPLAY_WINDOW</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DO_NOT_COMPUTE_COM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OP.DO_NOT_COMPUTE_COM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EW</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OP.EW</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EXE_MODE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OP.EXE_MODE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exit if deployed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OP.exit_if_deployed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FT_COOP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OP.FT_COOP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NO_COM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OP.DO_NOT_COMPUTE_COM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OP.DO_NOT_COMPUTE_COM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PLOT_CM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OP.PLOT_CM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RESULT_DIR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result_dir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RIT_REF_PTR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'clause_179'</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OP.RIT_REF_PTR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RUNTAG</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OP.RUNTAG</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SAVE_CONFIG2MAT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OP.SAVE_CONFIG2MAT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SAVE_FIGURE_to_CSV</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OP.SAVE_FIGURE_to_CSV</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SAVE_FIGURES</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OP.SAVE_FIGURES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SAVE_KEYWORD_FILE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OP.SAVE_KEYWORD_FILE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SAVE_TD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OP.SAVE_TD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SHOW_BRD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OP.SHOW_BRD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TDECQ</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OP.TDECQ</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TDMODE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OP.TDMODE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OP.TDMODE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TIME_AXIS</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'UI'</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OP.TIME_AXIS</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TIMESTAMP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OP.TIMESTAMP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WRITE_CSV_TRANSPOSED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OP.WRITE_CSV_TRANSPOSED</w:t>
            </w:r>
          </w:p>
        </w:tc>
      </w:tr>
    </w:tbl>
    <w:p>
      <w:pPr>
        <w:pStyle w:val="Normal"/>
        <w:spacing w:before="0" w:after="120"/>
        <w:rPr/>
      </w:pPr>
      <w:r>
        <w:rPr/>
      </w:r>
    </w:p>
    <w:p>
      <w:pPr>
        <w:pStyle w:val="Heading2"/>
        <w:rPr/>
      </w:pPr>
      <w:bookmarkStart w:id="86" w:name="__RefHeading___Toc10552_518488682"/>
      <w:bookmarkEnd w:id="86"/>
      <w:r>
        <w:rPr/>
        <w:t>Other / advanced  (15)</w:t>
      </w:r>
    </w:p>
    <w:tbl>
      <w:tblPr>
        <w:tblStyle w:val="TableGrid"/>
        <w:tblW w:w="95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76"/>
        <w:gridCol w:w="2376"/>
        <w:gridCol w:w="2376"/>
        <w:gridCol w:w="2376"/>
      </w:tblGrid>
      <w:tr>
        <w:trPr/>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Spreadsheet keyword</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Default</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Eval</w:t>
            </w:r>
          </w:p>
        </w:tc>
        <w:tc>
          <w:tcPr>
            <w:tcW w:w="2376" w:type="dxa"/>
            <w:tcBorders/>
            <w:shd w:fill="E4EFF4" w:val="clear"/>
          </w:tcPr>
          <w:p>
            <w:pPr>
              <w:pStyle w:val="Normal"/>
              <w:widowControl/>
              <w:suppressAutoHyphens w:val="true"/>
              <w:spacing w:before="0" w:after="20"/>
              <w:jc w:val="start"/>
              <w:rPr>
                <w:rFonts w:eastAsia="ＭＳ 明朝" w:cs=""/>
                <w:kern w:val="0"/>
                <w:szCs w:val="22"/>
                <w:lang w:val="en-US" w:eastAsia="en-US" w:bidi="ar-SA"/>
              </w:rPr>
            </w:pPr>
            <w:r>
              <w:rPr>
                <w:rFonts w:eastAsia="ＭＳ 明朝" w:cs=""/>
                <w:b/>
                <w:color w:val="13232C"/>
                <w:kern w:val="0"/>
                <w:sz w:val="16"/>
                <w:szCs w:val="22"/>
                <w:lang w:val="en-US" w:eastAsia="en-US" w:bidi="ar-SA"/>
              </w:rPr>
              <w:t>Attribute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b_max(1)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Include PCB</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OP.include_pcb</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 xml:space="preserve">● </w:t>
            </w:r>
            <w:r>
              <w:rPr>
                <w:rFonts w:eastAsia="ＭＳ 明朝" w:cs="" w:ascii="Consolas" w:hAnsi="Consolas"/>
                <w:color w:val="13232C"/>
                <w:kern w:val="0"/>
                <w:sz w:val="16"/>
                <w:szCs w:val="22"/>
                <w:lang w:val="en-US" w:eastAsia="en-US" w:bidi="ar-SA"/>
              </w:rPr>
              <w:t>R_LM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MANDATORY</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param.R_LM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f_p1</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param.fb / 4 / 1e9</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f_p2</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param.fb / 1e9</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OP.N</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N_p</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400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param.N_p</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N_v</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param.ndfe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param.N_v</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Raised_Cosine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OP.Raised_Cosine</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S_tn_w_AM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param.S_tn_w_AM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samples_for_C2M</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100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param.samples_for_C2M</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T_k</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0.6</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OP.T_k</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ts_anchor</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param.ts_anchor</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USE_ETA0_PSD</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0</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OP.USE_ETA0_PSD</w:t>
            </w:r>
          </w:p>
        </w:tc>
      </w:tr>
      <w:tr>
        <w:trPr/>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WC_PORTZ</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False</w:t>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kern w:val="0"/>
                <w:szCs w:val="22"/>
                <w:lang w:val="en-US" w:eastAsia="en-US" w:bidi="ar-SA"/>
              </w:rPr>
            </w:r>
          </w:p>
        </w:tc>
        <w:tc>
          <w:tcPr>
            <w:tcW w:w="2376" w:type="dxa"/>
            <w:tcBorders/>
          </w:tcPr>
          <w:p>
            <w:pPr>
              <w:pStyle w:val="Normal"/>
              <w:widowControl/>
              <w:suppressAutoHyphens w:val="true"/>
              <w:spacing w:before="0" w:after="20"/>
              <w:jc w:val="start"/>
              <w:rPr>
                <w:rFonts w:eastAsia="ＭＳ 明朝" w:cs=""/>
                <w:kern w:val="0"/>
                <w:szCs w:val="22"/>
                <w:lang w:val="en-US" w:eastAsia="en-US" w:bidi="ar-SA"/>
              </w:rPr>
            </w:pPr>
            <w:r>
              <w:rPr>
                <w:rFonts w:eastAsia="ＭＳ 明朝" w:cs="" w:ascii="Consolas" w:hAnsi="Consolas"/>
                <w:color w:val="13232C"/>
                <w:kern w:val="0"/>
                <w:sz w:val="16"/>
                <w:szCs w:val="22"/>
                <w:lang w:val="en-US" w:eastAsia="en-US" w:bidi="ar-SA"/>
              </w:rPr>
              <w:t>OP.WC_PORTZ</w:t>
            </w:r>
          </w:p>
        </w:tc>
      </w:tr>
    </w:tbl>
    <w:p>
      <w:pPr>
        <w:pStyle w:val="Normal"/>
        <w:spacing w:before="0" w:after="120"/>
        <w:rPr/>
      </w:pPr>
      <w:r>
        <w:rPr/>
      </w:r>
    </w:p>
    <w:p>
      <w:pPr>
        <w:pStyle w:val="Normal"/>
        <w:spacing w:before="0" w:after="140"/>
        <w:rPr/>
      </w:pPr>
      <w:r>
        <w:rPr>
          <w:b w:val="false"/>
          <w:i/>
          <w:color w:val="5A6B74"/>
          <w:sz w:val="19"/>
        </w:rPr>
        <w:t>247 of the engine’s 249 keywords, 15 of them mandatory (marked ●).</w:t>
      </w:r>
      <w:r>
        <w:br w:type="page"/>
      </w:r>
    </w:p>
    <w:p>
      <w:pPr>
        <w:pStyle w:val="Heading1"/>
        <w:spacing w:before="0" w:after="160"/>
        <w:rPr/>
      </w:pPr>
      <w:bookmarkStart w:id="87" w:name="__RefHeading___Toc10554_518488682"/>
      <w:bookmarkEnd w:id="87"/>
      <w:r>
        <w:rPr/>
        <w:t>Appendix C  Command reference</w:t>
      </w:r>
    </w:p>
    <w:p>
      <w:pPr>
        <w:pStyle w:val="Heading2"/>
        <w:rPr/>
      </w:pPr>
      <w:bookmarkStart w:id="88" w:name="__RefHeading___Toc10556_518488682"/>
      <w:bookmarkEnd w:id="88"/>
      <w:r>
        <w:rPr/>
        <w:t>C.1  Running COM</w:t>
      </w:r>
    </w:p>
    <w:p>
      <w:pPr>
        <w:pStyle w:val="Normal"/>
        <w:shd w:val="clear" w:fill="F2F6F8"/>
        <w:spacing w:before="80" w:after="180"/>
        <w:ind w:start="187"/>
        <w:rPr/>
      </w:pPr>
      <w:r>
        <w:rPr>
          <w:rFonts w:ascii="Consolas" w:hAnsi="Consolas"/>
          <w:color w:val="13232C"/>
          <w:sz w:val="17"/>
        </w:rPr>
        <w:t># basic run</w:t>
        <w:br/>
        <w:t>python sicopr.py &lt;config.xlsx&gt; &lt;thru.s4p&gt;</w:t>
        <w:br/>
        <w:br/>
        <w:t># with crosstalk aggressors</w:t>
        <w:br/>
        <w:t>python sicopr.py &lt;config.xlsx&gt; &lt;thru.s4p&gt; --fext f1.s4p f2.s4p --next n1.s4p</w:t>
        <w:br/>
        <w:br/>
        <w:t># with the engineering .mat snapshot for R analysis</w:t>
        <w:br/>
        <w:t>python sicopr.py &lt;config.xlsx&gt; &lt;thru.s4p&gt; --export-mat</w:t>
        <w:br/>
        <w:br/>
        <w:t># emulate MATLAB 4p16p0 instead of the 4p15p0 default</w:t>
        <w:br/>
        <w:t>python sicopr.py &lt;config.xlsx&gt; &lt;thru.s4p&gt; --matlab-version 4p16p0</w:t>
        <w:br/>
        <w:br/>
        <w:t># eye contour + timing bathtub even with MLSE on (plotting only)</w:t>
        <w:br/>
        <w:t>python sicopr.py &lt;config.xlsx&gt; &lt;thru.s4p&gt; --export-mat --eye-under-mlse</w:t>
      </w:r>
    </w:p>
    <w:p>
      <w:pPr>
        <w:pStyle w:val="Heading2"/>
        <w:rPr/>
      </w:pPr>
      <w:bookmarkStart w:id="89" w:name="__RefHeading___Toc10558_518488682"/>
      <w:bookmarkEnd w:id="89"/>
      <w:r>
        <w:rPr/>
        <w:t>C.2  The search study</w:t>
      </w:r>
    </w:p>
    <w:p>
      <w:pPr>
        <w:pStyle w:val="Normal"/>
        <w:shd w:val="clear" w:fill="F2F6F8"/>
        <w:spacing w:before="80" w:after="180"/>
        <w:ind w:start="187"/>
        <w:rPr/>
      </w:pPr>
      <w:r>
        <w:rPr>
          <w:rFonts w:ascii="Consolas" w:hAnsi="Consolas"/>
          <w:color w:val="13232C"/>
          <w:sz w:val="17"/>
        </w:rPr>
        <w:t># three methods on one channel</w:t>
        <w:br/>
        <w:t>python tools/sweep_compare.py &lt;config.xlsx&gt; &lt;thru.s4p&gt; \</w:t>
        <w:br/>
        <w:t xml:space="preserve">       --local-search 2 --max-ctle 3 --max-tap-vals 3</w:t>
        <w:br/>
        <w:br/>
        <w:t># true COM for the top-20 FOM candidates</w:t>
        <w:br/>
        <w:t>python tools/fom_com_probe.py &lt;config.xlsx&gt; &lt;thru.s4p&gt; \</w:t>
        <w:br/>
        <w:t xml:space="preserve">       --sweep-dir sweep_results --top-k 20</w:t>
        <w:br/>
        <w:br/>
        <w:t># corpus: estimate first, then run</w:t>
        <w:br/>
        <w:t>python tools/corpus_sweep.py &lt;config.xlsx&gt; --channel-dir &lt;dir&gt; --dry-run</w:t>
        <w:br/>
        <w:t>python tools/corpus_sweep.py &lt;config.xlsx&gt; --channel-dir &lt;dir&gt;</w:t>
        <w:br/>
        <w:br/>
        <w:t># re-aggregate without recomputing</w:t>
        <w:br/>
        <w:t>python tools/corpus_sweep.py --aggregate-only --out corpus_results</w:t>
        <w:br/>
        <w:br/>
        <w:t># diagnose COM that depends on search history</w:t>
        <w:br/>
        <w:t>python tools/hist_dep_repro.py</w:t>
      </w:r>
    </w:p>
    <w:p>
      <w:pPr>
        <w:pStyle w:val="Heading2"/>
        <w:rPr/>
      </w:pPr>
      <w:bookmarkStart w:id="90" w:name="__RefHeading___Toc10560_518488682"/>
      <w:bookmarkEnd w:id="90"/>
      <w:r>
        <w:rPr/>
        <w:t>C.3  Reports</w:t>
      </w:r>
    </w:p>
    <w:p>
      <w:pPr>
        <w:pStyle w:val="Normal"/>
        <w:shd w:val="clear" w:fill="F2F6F8"/>
        <w:spacing w:before="80" w:after="180"/>
        <w:ind w:start="187"/>
        <w:rPr/>
      </w:pPr>
      <w:r>
        <w:rPr>
          <w:rFonts w:ascii="Consolas" w:hAnsi="Consolas"/>
          <w:color w:val="13232C"/>
          <w:sz w:val="17"/>
        </w:rPr>
        <w:t>Rscript R/com_analysis.R results/&lt;...&gt;/&lt;name&gt;_case01.mat   # single run, from .mat</w:t>
        <w:br/>
        <w:t>Rscript R/sweep_compare.R sweep_results                    # one channel, 3 methods</w:t>
        <w:br/>
        <w:t>Rscript R/corpus_report.R corpus_results                   # N channels</w:t>
        <w:br/>
        <w:t>python  tools/build_pptx.py                                # review deck</w:t>
      </w:r>
    </w:p>
    <w:p>
      <w:pPr>
        <w:pStyle w:val="Normal"/>
        <w:spacing w:before="0" w:after="140"/>
        <w:rPr/>
      </w:pPr>
      <w:r>
        <w:rPr>
          <w:b w:val="false"/>
          <w:i w:val="false"/>
          <w:color w:val="5A6B74"/>
          <w:sz w:val="19"/>
        </w:rPr>
        <w:t>Rscript may not be on PATH. If it is not, invoke it by full path, for example "C:\Program Files\R\R-4.4.1\bin\Rscript.exe".</w:t>
      </w:r>
    </w:p>
    <w:p>
      <w:pPr>
        <w:pStyle w:val="Heading2"/>
        <w:rPr/>
      </w:pPr>
      <w:bookmarkStart w:id="91" w:name="__RefHeading___Toc10562_518488682"/>
      <w:bookmarkEnd w:id="91"/>
      <w:r>
        <w:rPr/>
        <w:t>C.4  Development</w:t>
      </w:r>
    </w:p>
    <w:p>
      <w:pPr>
        <w:pStyle w:val="Normal"/>
        <w:shd w:val="clear" w:fill="F2F6F8"/>
        <w:spacing w:before="80" w:after="180"/>
        <w:ind w:start="187"/>
        <w:rPr/>
      </w:pPr>
      <w:r>
        <w:rPr>
          <w:rFonts w:ascii="Consolas" w:hAnsi="Consolas"/>
          <w:color w:val="13232C"/>
          <w:sz w:val="17"/>
        </w:rPr>
        <w:t>python -m pytest com_functions/fn/&lt;name&gt;/test_verify.py -q   # one function</w:t>
        <w:br/>
        <w:t>python assemble_sicopr.py                                       # regenerate sicopr.py</w:t>
        <w:br/>
        <w:t>python -m pytest com_functions/fn -q                         # full suite (890)</w:t>
        <w:br/>
        <w:t>python tests/&lt;name&gt;.py                                       # standalone checks</w:t>
      </w:r>
    </w:p>
    <w:sectPr>
      <w:footerReference w:type="even" r:id="rId11"/>
      <w:footerReference w:type="default" r:id="rId12"/>
      <w:footerReference w:type="first" r:id="rId13"/>
      <w:type w:val="nextPage"/>
      <w:pgSz w:w="12240" w:h="15840"/>
      <w:pgMar w:left="1368" w:right="1368" w:gutter="0" w:header="0" w:top="1224" w:footer="720" w:bottom="12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egoe UI">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A6B74"/>
        <w:sz w:val="16"/>
      </w:rPr>
      <w:t>SiCoPR — Signal Integrity COM in Python and R</w:t>
      <w:tab/>
      <w:tab/>
    </w:r>
    <w:r>
      <w:rPr/>
      <w:fldChar w:fldCharType="begin"/>
    </w:r>
    <w:r>
      <w:rPr/>
      <w:instrText xml:space="preserve"> PAGE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A6B74"/>
        <w:sz w:val="16"/>
      </w:rPr>
      <w:t>SiCoPR — Signal Integrity COM in Python and R</w:t>
      <w:tab/>
      <w:tab/>
    </w:r>
    <w:r>
      <w:rPr/>
      <w:fldChar w:fldCharType="begin"/>
    </w:r>
    <w:r>
      <w:rPr/>
      <w:instrText xml:space="preserve"> PAGE </w:instrText>
    </w:r>
    <w:r>
      <w:rPr/>
      <w:fldChar w:fldCharType="separate"/>
    </w:r>
    <w:r>
      <w:rPr/>
      <w:t>44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1" w:before="0" w:after="140"/>
      <w:jc w:val="start"/>
    </w:pPr>
    <w:rPr>
      <w:rFonts w:ascii="Segoe UI" w:hAnsi="Segoe UI" w:eastAsia="ＭＳ 明朝" w:cs=""/>
      <w:color w:val="13232C"/>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40" w:after="160"/>
      <w:outlineLvl w:val="0"/>
    </w:pPr>
    <w:rPr>
      <w:rFonts w:ascii="Calibri" w:hAnsi="Calibri" w:eastAsia="" w:cs="" w:asciiTheme="majorHAnsi" w:cstheme="majorBidi" w:eastAsiaTheme="majorEastAsia" w:hAnsiTheme="majorHAnsi"/>
      <w:b/>
      <w:bCs/>
      <w:color w:val="0A6E94"/>
      <w:sz w:val="38"/>
      <w:szCs w:val="28"/>
    </w:rPr>
  </w:style>
  <w:style w:type="paragraph" w:styleId="Heading2">
    <w:name w:val="heading 2"/>
    <w:basedOn w:val="Normal"/>
    <w:next w:val="Normal"/>
    <w:link w:val="Heading2Char"/>
    <w:uiPriority w:val="9"/>
    <w:unhideWhenUsed/>
    <w:qFormat/>
    <w:rsid w:val="00fc693f"/>
    <w:pPr>
      <w:keepNext w:val="true"/>
      <w:keepLines/>
      <w:spacing w:before="300" w:after="120"/>
      <w:outlineLvl w:val="1"/>
    </w:pPr>
    <w:rPr>
      <w:rFonts w:ascii="Calibri" w:hAnsi="Calibri" w:eastAsia="" w:cs="" w:asciiTheme="majorHAnsi" w:cstheme="majorBidi" w:eastAsiaTheme="majorEastAsia" w:hAnsiTheme="majorHAnsi"/>
      <w:b/>
      <w:bCs/>
      <w:color w:val="0A6E94"/>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3232C"/>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504" w:leader="dot"/>
      </w:tabs>
      <w:ind w:hanging="0" w:start="0"/>
    </w:pPr>
    <w:rPr/>
  </w:style>
  <w:style w:type="paragraph" w:styleId="TOC2">
    <w:name w:val="toc 2"/>
    <w:basedOn w:val="Index"/>
    <w:pPr>
      <w:tabs>
        <w:tab w:val="clear" w:pos="720"/>
        <w:tab w:val="right" w:pos="9221"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LibreOffice/26.2.5.2$Windows_X86_64 LibreOffice_project/cd7284b4cbbfeb507e630c1aac019f4157393acb</Application>
  <AppVersion>15.0000</AppVersion>
  <Pages>44</Pages>
  <Words>7981</Words>
  <Characters>46401</Characters>
  <CharactersWithSpaces>53544</CharactersWithSpaces>
  <Paragraphs>1643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2026-08-18T21:35:25Z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