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33</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33</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33</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33</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35</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35</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36</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36</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36</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37</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37</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37</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38</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38</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39</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39</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40</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40</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41</w:t>
            </w:r>
          </w:hyperlink>
        </w:p>
        <w:p>
          <w:pPr>
            <w:pStyle w:val="TOC2"/>
            <w:tabs>
              <w:tab w:val="clear" w:pos="9221"/>
              <w:tab w:val="right" w:pos="9503" w:leader="dot"/>
            </w:tabs>
            <w:rPr/>
          </w:pPr>
          <w:hyperlink w:anchor="__RefHeading___Toc10546_518488682" w:tooltip="RX calibration (4)">
            <w:r>
              <w:rPr>
                <w:rStyle w:val="IndexLink"/>
                <w:webHidden/>
              </w:rPr>
              <w:t>RX calibration (4)</w:t>
              <w:tab/>
              <w:t>41</w:t>
            </w:r>
          </w:hyperlink>
        </w:p>
        <w:p>
          <w:pPr>
            <w:pStyle w:val="TOC2"/>
            <w:tabs>
              <w:tab w:val="clear" w:pos="9221"/>
              <w:tab w:val="right" w:pos="9503" w:leader="dot"/>
            </w:tabs>
            <w:rPr/>
          </w:pPr>
          <w:hyperlink w:anchor="__RefHeading___Toc10548_518488682" w:tooltip="Skew (5)">
            <w:r>
              <w:rPr>
                <w:rStyle w:val="IndexLink"/>
                <w:webHidden/>
              </w:rPr>
              <w:t>Skew (5)</w:t>
              <w:tab/>
              <w:t>41</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41</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42</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43</w:t>
            </w:r>
          </w:hyperlink>
        </w:p>
        <w:p>
          <w:pPr>
            <w:pStyle w:val="TOC2"/>
            <w:tabs>
              <w:tab w:val="clear" w:pos="9221"/>
              <w:tab w:val="right" w:pos="9503" w:leader="dot"/>
            </w:tabs>
            <w:rPr/>
          </w:pPr>
          <w:hyperlink w:anchor="__RefHeading___Toc10556_518488682" w:tooltip="C.1 Running COM">
            <w:r>
              <w:rPr>
                <w:rStyle w:val="IndexLink"/>
                <w:webHidden/>
              </w:rPr>
              <w:t>C.1 Running COM</w:t>
              <w:tab/>
              <w:t>43</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43</w:t>
            </w:r>
          </w:hyperlink>
        </w:p>
        <w:p>
          <w:pPr>
            <w:pStyle w:val="TOC2"/>
            <w:tabs>
              <w:tab w:val="clear" w:pos="9221"/>
              <w:tab w:val="right" w:pos="9503" w:leader="dot"/>
            </w:tabs>
            <w:rPr/>
          </w:pPr>
          <w:hyperlink w:anchor="__RefHeading___Toc10560_518488682" w:tooltip="C.3 Reports">
            <w:r>
              <w:rPr>
                <w:rStyle w:val="IndexLink"/>
                <w:webHidden/>
              </w:rPr>
              <w:t>C.3 Reports</w:t>
              <w:tab/>
              <w:t>43</w:t>
            </w:r>
          </w:hyperlink>
        </w:p>
        <w:p>
          <w:pPr>
            <w:pStyle w:val="TOC2"/>
            <w:tabs>
              <w:tab w:val="clear" w:pos="9221"/>
              <w:tab w:val="right" w:pos="9503" w:leader="dot"/>
            </w:tabs>
            <w:rPr/>
          </w:pPr>
          <w:hyperlink w:anchor="__RefHeading___Toc10562_518488682" w:tooltip="C.4 Development">
            <w:r>
              <w:rPr>
                <w:rStyle w:val="IndexLink"/>
                <w:webHidden/>
              </w:rPr>
              <w:t>C.4 Development</w:t>
              <w:tab/>
              <w:t>43</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874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including the one significant outstanding item. Read it before relying on a number in a submission.</w:t>
            </w:r>
          </w:p>
        </w:tc>
      </w:tr>
    </w:tbl>
    <w:p>
      <w:pPr>
        <w:pStyle w:val="Normal"/>
        <w:spacing w:before="0" w:after="180"/>
        <w:rPr/>
      </w:pPr>
      <w:r>
        <w:rPr/>
      </w:r>
      <w:r>
        <w:br w:type="page"/>
      </w:r>
    </w:p>
    <w:p>
      <w:pPr>
        <w:pStyle w:val="Heading1"/>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The repository contains code, not channel data</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All .s4p Touchstone files are excluded, along with vendor-marked configs and the 1.1 GB of generated results. A fresh clone cannot run anything until you supply channel data. Every command in this document assumes you have done so.</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-75.8 dB</w:t>
        <w:br/>
        <w:t xml:space="preserve">  optimize_fom: 1 gffe x 14 CTLE x 7 g_DC_HP x 396 TXFFE x 1 itick = 38808 evals</w:t>
        <w:br/>
        <w:t xml:space="preserve">  C2M pass 1/2</w:t>
        <w:br/>
        <w:t xml:space="preserve">    CTLE 1/14  g_dc=-13.00  best_FOM=-inf dB</w:t>
        <w:br/>
        <w:t xml:space="preserve">      ** new best FOM = 1.871 dB (CTLE 3, TXFFE 12, itick=0)</w:t>
        <w:br/>
        <w:t xml:space="preserve">      ** new best FOM = 2.380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159</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412</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18,121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874 passing</w:t>
            </w:r>
          </w:p>
        </w:tc>
      </w:tr>
    </w:tbl>
    <w:p>
      <w:pPr>
        <w:pStyle w:val="Normal"/>
        <w:spacing w:before="60" w:after="220"/>
        <w:rPr/>
      </w:pPr>
      <w:r>
        <w:rPr>
          <w:b w:val="false"/>
          <w:i/>
          <w:color w:val="5A6B74"/>
          <w:sz w:val="17"/>
        </w:rPr>
        <w:t>Table 2. Scale of the port as of August 2026.</w:t>
      </w:r>
    </w:p>
    <w:p>
      <w:pPr>
        <w:pStyle w:val="Normal"/>
        <w:spacing w:before="0" w:after="140"/>
        <w:rPr/>
      </w:pPr>
      <w:r>
        <w:rPr>
          <w:b w:val="false"/>
          <w:i w:val="false"/>
          <w:color w:val="13232C"/>
          <w:sz w:val="21"/>
        </w:rPr>
        <w:t>The reason for this structure is verification. A single 18,000-line file is difficult to review against a MATLAB original; 159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(159 functions)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874 tests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 they are not pytest tests and will error if collected as such</w:t>
            </w:r>
          </w:p>
        </w:tc>
      </w:tr>
    </w:tbl>
    <w:p>
      <w:pPr>
        <w:pStyle w:val="Normal"/>
        <w:spacing w:before="0" w:after="120"/>
        <w:rPr/>
      </w:pPr>
      <w:r>
        <w:rPr/>
      </w:r>
    </w:p>
    <w:p>
      <w:pPr>
        <w:pStyle w:val="Heading2"/>
        <w:rPr/>
      </w:pPr>
      <w:bookmarkStart w:id="59" w:name="__RefHeading___Toc10498_518488682"/>
      <w:bookmarkEnd w:id="59"/>
      <w:r>
        <w:rPr/>
        <w:t>10.3  Conventions worth knowing</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w:t>
      </w:r>
      <w:r>
        <w:br w:type="page"/>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874 tests, and the bundled 802.3ck configuration runs end to end reproducing its documented result.</w:t>
      </w:r>
    </w:p>
    <w:p>
      <w:pPr>
        <w:pStyle w:val="Normal"/>
        <w:spacing w:before="0" w:after="140"/>
        <w:rPr/>
      </w:pPr>
      <w:r>
        <w:rPr>
          <w:b w:val="false"/>
          <w:i w:val="false"/>
          <w:color w:val="13232C"/>
          <w:sz w:val="21"/>
        </w:rPr>
        <w:t>A structured conversion audit classified all 157 MATLAB functions (147 equivalent, 11 divergent, findings written up in docs/AUDIT_FINDINGS.md).</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No end-to-end MATLAB cross-check has been performed</w:t>
            </w:r>
          </w:p>
          <w:p>
            <w:pPr>
              <w:pStyle w:val="Normal"/>
              <w:widowControl/>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Verification rests on line-by-line translation, per-function unit tests, internal consistency and physical behaviour. No COM value produced by this implementation has been compared against a MATLAB run of the same configuration. A single golden run — same config, COM reported to full precision — would close this, and is the most valuable outstanding item.</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Port fixes applied then changed COM on RX-FFE configurations by roughly 0.02 dB. Regenerate rather than comparing against archived output.</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(874)</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ＭＳ ゴシック"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ＭＳ ゴシック"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ＭＳ ゴシック"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43</Pages>
  <Words>7490</Words>
  <Characters>43724</Characters>
  <CharactersWithSpaces>50377</CharactersWithSpaces>
  <Paragraphs>1635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2026-08-11T07:35:38Z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