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33</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33</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33</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33</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35</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35</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36</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36</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36</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37</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37</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37</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38</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38</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39</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39</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40</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40</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41</w:t>
            </w:r>
          </w:hyperlink>
        </w:p>
        <w:p>
          <w:pPr>
            <w:pStyle w:val="TOC2"/>
            <w:tabs>
              <w:tab w:val="clear" w:pos="9221"/>
              <w:tab w:val="right" w:pos="9503" w:leader="dot"/>
            </w:tabs>
            <w:rPr/>
          </w:pPr>
          <w:hyperlink w:anchor="__RefHeading___Toc10546_518488682" w:tooltip="RX calibration (4)">
            <w:r>
              <w:rPr>
                <w:rStyle w:val="IndexLink"/>
                <w:webHidden/>
              </w:rPr>
              <w:t>RX calibration (4)</w:t>
              <w:tab/>
              <w:t>41</w:t>
            </w:r>
          </w:hyperlink>
        </w:p>
        <w:p>
          <w:pPr>
            <w:pStyle w:val="TOC2"/>
            <w:tabs>
              <w:tab w:val="clear" w:pos="9221"/>
              <w:tab w:val="right" w:pos="9503" w:leader="dot"/>
            </w:tabs>
            <w:rPr/>
          </w:pPr>
          <w:hyperlink w:anchor="__RefHeading___Toc10548_518488682" w:tooltip="Skew (5)">
            <w:r>
              <w:rPr>
                <w:rStyle w:val="IndexLink"/>
                <w:webHidden/>
              </w:rPr>
              <w:t>Skew (5)</w:t>
              <w:tab/>
              <w:t>41</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41</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42</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43</w:t>
            </w:r>
          </w:hyperlink>
        </w:p>
        <w:p>
          <w:pPr>
            <w:pStyle w:val="TOC2"/>
            <w:tabs>
              <w:tab w:val="clear" w:pos="9221"/>
              <w:tab w:val="right" w:pos="9503" w:leader="dot"/>
            </w:tabs>
            <w:rPr/>
          </w:pPr>
          <w:hyperlink w:anchor="__RefHeading___Toc10556_518488682" w:tooltip="C.1 Running COM">
            <w:r>
              <w:rPr>
                <w:rStyle w:val="IndexLink"/>
                <w:webHidden/>
              </w:rPr>
              <w:t>C.1 Running COM</w:t>
              <w:tab/>
              <w:t>43</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43</w:t>
            </w:r>
          </w:hyperlink>
        </w:p>
        <w:p>
          <w:pPr>
            <w:pStyle w:val="TOC2"/>
            <w:tabs>
              <w:tab w:val="clear" w:pos="9221"/>
              <w:tab w:val="right" w:pos="9503" w:leader="dot"/>
            </w:tabs>
            <w:rPr/>
          </w:pPr>
          <w:hyperlink w:anchor="__RefHeading___Toc10560_518488682" w:tooltip="C.3 Reports">
            <w:r>
              <w:rPr>
                <w:rStyle w:val="IndexLink"/>
                <w:webHidden/>
              </w:rPr>
              <w:t>C.3 Reports</w:t>
              <w:tab/>
              <w:t>43</w:t>
            </w:r>
          </w:hyperlink>
        </w:p>
        <w:p>
          <w:pPr>
            <w:pStyle w:val="TOC2"/>
            <w:tabs>
              <w:tab w:val="clear" w:pos="9221"/>
              <w:tab w:val="right" w:pos="9503" w:leader="dot"/>
            </w:tabs>
            <w:rPr/>
          </w:pPr>
          <w:hyperlink w:anchor="__RefHeading___Toc10562_518488682" w:tooltip="C.4 Development">
            <w:r>
              <w:rPr>
                <w:rStyle w:val="IndexLink"/>
                <w:webHidden/>
              </w:rPr>
              <w:t>C.4 Development</w:t>
              <w:tab/>
              <w:t>43</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876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including the one significant outstanding item. Read it before relying on a number in a submission.</w:t>
            </w:r>
          </w:p>
        </w:tc>
      </w:tr>
    </w:tbl>
    <w:p>
      <w:pPr>
        <w:pStyle w:val="Normal"/>
        <w:spacing w:before="0" w:after="180"/>
        <w:rPr/>
      </w:pPr>
      <w:r>
        <w:rPr/>
      </w:r>
      <w:r>
        <w:br w:type="page"/>
      </w:r>
    </w:p>
    <w:p>
      <w:pPr>
        <w:pStyle w:val="Heading1"/>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IEEE 802.3dj public-area channels ARE included — 96 Touchstone files under tests/0_IEEE_802p3dj_PublicArea_CR_KR_Channels/, alongside the reference COM configuration sheets and the MATLAB result workbooks used for correlation. Excluded are: vendor-marked .s4p files and configuration sheets, which may not be redistributable; the 210 MB akinwale_3dj_01_2310 channel set that the 208-case MATLAB correlation runs against; and the 1.1 GB of generated results. So a fresh clone can run the bundled channels immediately, but the canonical example in Section 2.3 and the correlation harness both need data you supply.</w:t>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that ships with the repository, run against its reference channel:</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876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at a median 113x runtime saving (range 15x–236x). The sanity check FOM(full grid) &gt;= FOM(adaptive) holds 9/9. This also clears pruning of any role in the sampling-phase divergences: on one case the exhaustive grid independently reaches the same tick the pruned search did, where MATLAB reported another. See MATLAB_Correlation_Review.md section 5.</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876 tests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w:t>
            </w:r>
          </w:p>
        </w:tc>
      </w:tr>
    </w:tbl>
    <w:p>
      <w:pPr>
        <w:pStyle w:val="Normal"/>
        <w:spacing w:before="0" w:after="120"/>
        <w:rPr/>
      </w:pPr>
      <w:r>
        <w:rPr/>
      </w:r>
    </w:p>
    <w:p>
      <w:pPr>
        <w:pStyle w:val="Heading2"/>
        <w:rPr/>
      </w:pPr>
      <w:bookmarkStart w:id="59" w:name="__RefHeading___Toc10498_518488682"/>
      <w:bookmarkEnd w:id="59"/>
      <w:r>
        <w:rPr/>
        <w:t>10.3  Conventions worth knowing</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876 tests, and the bundled 802.3ck configuration runs end to end.</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bundled configuration. The remaining features are implemented and unit-tested but not covered by a bundled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eight engine fixes of August 2026 changed COM materially — the largest removed a systematic FOM bias affecting 95.7% of cases. On the bundled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Sampling-phase divergences</w:t>
      </w:r>
      <w:r>
        <w:rPr>
          <w:color w:val="13232C"/>
          <w:sz w:val="21"/>
        </w:rPr>
      </w:r>
      <w:r>
        <w:t xml:space="preserve">  On 8 of the 208 correlated cases Python cannot reach MATLAB’s FOM at MATLAB’s sampling tick under any equalizer setting, yet the peak values agree — consistent with an anchor-origin offset. Open question with the MATLAB author.</w:t>
      </w:r>
    </w:p>
    <w:p>
      <w:pPr>
        <w:pStyle w:val="ListBullet"/>
        <w:numPr>
          <w:ilvl w:val="0"/>
          <w:numId w:val="1"/>
        </w:numPr>
        <w:spacing w:before="0" w:after="60"/>
        <w:contextualSpacing/>
        <w:rPr/>
      </w:pPr>
      <w:r>
        <w:rPr>
          <w:b/>
          <w:color w:val="13232C"/>
          <w:sz w:val="21"/>
        </w:rPr>
        <w:t>Residual in the COM PDF path</w:t>
      </w:r>
      <w:r>
        <w:rPr>
          <w:color w:val="13232C"/>
          <w:sz w:val="21"/>
        </w:rPr>
      </w:r>
      <w:r/>
      <w:r>
        <w:t xml:space="preserve">  A mean +0.002 dB bias remains (max 0.035 dB). It is what produces the two knife-edge pass/fail disagreements.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(876)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ＭＳ ゴシック"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ＭＳ ゴシック"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ＭＳ ゴシック"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43</Pages>
  <Words>7490</Words>
  <Characters>43724</Characters>
  <CharactersWithSpaces>50377</CharactersWithSpaces>
  <Paragraphs>1635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2026-08-11T07:35:38Z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