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66CC"/>
        </w:rPr>
        <w:t>Strategy, offer and positioning</w:t>
      </w:r>
    </w:p>
    <w:p>
      <w:r>
        <w:rPr>
          <w:b/>
        </w:rPr>
        <w:t xml:space="preserve">1. </w:t>
      </w:r>
      <w:r>
        <w:t>☐ Vision and positioning brief</w:t>
      </w:r>
    </w:p>
    <w:p>
      <w:r>
        <w:rPr>
          <w:b/>
        </w:rPr>
        <w:t xml:space="preserve">2. </w:t>
      </w:r>
      <w:r>
        <w:t>☐ Customer avatar profiles</w:t>
      </w:r>
    </w:p>
    <w:p>
      <w:r>
        <w:rPr>
          <w:b/>
        </w:rPr>
        <w:t xml:space="preserve">3. </w:t>
      </w:r>
      <w:r>
        <w:t>☐ Core offer definition</w:t>
      </w:r>
    </w:p>
    <w:p>
      <w:r>
        <w:rPr>
          <w:b/>
        </w:rPr>
        <w:t xml:space="preserve">4. </w:t>
      </w:r>
      <w:r>
        <w:t>☐ Tiered package matrix</w:t>
      </w:r>
    </w:p>
    <w:p>
      <w:r>
        <w:rPr>
          <w:b/>
        </w:rPr>
        <w:t xml:space="preserve">5. </w:t>
      </w:r>
      <w:r>
        <w:t>☐ Value proposition and messaging map</w:t>
      </w:r>
    </w:p>
    <w:p>
      <w:r>
        <w:rPr>
          <w:b/>
        </w:rPr>
        <w:t xml:space="preserve">6. </w:t>
      </w:r>
      <w:r>
        <w:t>☐ Business model outline</w:t>
      </w:r>
    </w:p>
    <w:p>
      <w:r>
        <w:rPr>
          <w:b/>
        </w:rPr>
        <w:t xml:space="preserve">7. </w:t>
      </w:r>
      <w:r>
        <w:t>☐ Financial model and pricing rationale</w:t>
      </w:r>
    </w:p>
    <w:p>
      <w:r>
        <w:rPr>
          <w:b/>
        </w:rPr>
        <w:t xml:space="preserve">8. </w:t>
      </w:r>
      <w:r>
        <w:t>☐ Competitor and benchmark research</w:t>
      </w:r>
    </w:p>
    <w:p>
      <w:pPr>
        <w:pStyle w:val="Heading1"/>
      </w:pPr>
      <w:r>
        <w:rPr>
          <w:color w:val="0066CC"/>
        </w:rPr>
        <w:t>Legal, compliance and risk</w:t>
      </w:r>
    </w:p>
    <w:p>
      <w:r>
        <w:rPr>
          <w:b/>
        </w:rPr>
        <w:t xml:space="preserve">9. </w:t>
      </w:r>
      <w:r>
        <w:t>☐ Likeness rights and consent agreement</w:t>
      </w:r>
    </w:p>
    <w:p>
      <w:r>
        <w:rPr>
          <w:b/>
        </w:rPr>
        <w:t xml:space="preserve">10. </w:t>
      </w:r>
      <w:r>
        <w:t>☐ Confidentiality and data protection policy</w:t>
      </w:r>
    </w:p>
    <w:p>
      <w:r>
        <w:rPr>
          <w:b/>
        </w:rPr>
        <w:t xml:space="preserve">11. </w:t>
      </w:r>
      <w:r>
        <w:t>☐ Terms of service for iMPLEMENTAi.ae</w:t>
      </w:r>
    </w:p>
    <w:p>
      <w:r>
        <w:rPr>
          <w:b/>
        </w:rPr>
        <w:t xml:space="preserve">12. </w:t>
      </w:r>
      <w:r>
        <w:t>☐ Internal risk register</w:t>
      </w:r>
    </w:p>
    <w:p>
      <w:pPr>
        <w:pStyle w:val="Heading1"/>
      </w:pPr>
      <w:r>
        <w:rPr>
          <w:color w:val="0066CC"/>
        </w:rPr>
        <w:t>Brand and web presence</w:t>
      </w:r>
    </w:p>
    <w:p>
      <w:r>
        <w:rPr>
          <w:b/>
        </w:rPr>
        <w:t xml:space="preserve">13. </w:t>
      </w:r>
      <w:r>
        <w:t>☐ Brand messaging guide</w:t>
      </w:r>
    </w:p>
    <w:p>
      <w:r>
        <w:rPr>
          <w:b/>
        </w:rPr>
        <w:t xml:space="preserve">14. </w:t>
      </w:r>
      <w:r>
        <w:t>☐ Homepage wireframe and copy</w:t>
      </w:r>
    </w:p>
    <w:p>
      <w:r>
        <w:rPr>
          <w:b/>
        </w:rPr>
        <w:t xml:space="preserve">15. </w:t>
      </w:r>
      <w:r>
        <w:t>☐ Dedicated offer landing page</w:t>
      </w:r>
    </w:p>
    <w:p>
      <w:r>
        <w:rPr>
          <w:b/>
        </w:rPr>
        <w:t xml:space="preserve">16. </w:t>
      </w:r>
      <w:r>
        <w:t>☐ Design system and visual kit</w:t>
      </w:r>
    </w:p>
    <w:p>
      <w:r>
        <w:rPr>
          <w:b/>
        </w:rPr>
        <w:t xml:space="preserve">17. </w:t>
      </w:r>
      <w:r>
        <w:t>☐ Case study template</w:t>
      </w:r>
    </w:p>
    <w:p>
      <w:pPr>
        <w:pStyle w:val="Heading1"/>
      </w:pPr>
      <w:r>
        <w:rPr>
          <w:color w:val="0066CC"/>
        </w:rPr>
        <w:t>Funnel, marketing and GTM</w:t>
      </w:r>
    </w:p>
    <w:p>
      <w:r>
        <w:rPr>
          <w:b/>
        </w:rPr>
        <w:t xml:space="preserve">18. </w:t>
      </w:r>
      <w:r>
        <w:t>☐ High level GTM plan</w:t>
      </w:r>
    </w:p>
    <w:p>
      <w:r>
        <w:rPr>
          <w:b/>
        </w:rPr>
        <w:t xml:space="preserve">19. </w:t>
      </w:r>
      <w:r>
        <w:t>☐ Lead magnet or workshop outline</w:t>
      </w:r>
    </w:p>
    <w:p>
      <w:r>
        <w:rPr>
          <w:b/>
        </w:rPr>
        <w:t xml:space="preserve">20. </w:t>
      </w:r>
      <w:r>
        <w:t>☐ Email nurture sequence</w:t>
      </w:r>
    </w:p>
    <w:p>
      <w:r>
        <w:rPr>
          <w:b/>
        </w:rPr>
        <w:t xml:space="preserve">21. </w:t>
      </w:r>
      <w:r>
        <w:t>☐ LinkedIn outreach and DM scripts</w:t>
      </w:r>
    </w:p>
    <w:p>
      <w:r>
        <w:rPr>
          <w:b/>
        </w:rPr>
        <w:t xml:space="preserve">22. </w:t>
      </w:r>
      <w:r>
        <w:t>☐ Ad creative concepts and scripts</w:t>
      </w:r>
    </w:p>
    <w:p>
      <w:r>
        <w:rPr>
          <w:b/>
        </w:rPr>
        <w:t xml:space="preserve">23. </w:t>
      </w:r>
      <w:r>
        <w:t>☐ Content calendar framework</w:t>
      </w:r>
    </w:p>
    <w:p>
      <w:r>
        <w:rPr>
          <w:b/>
        </w:rPr>
        <w:t xml:space="preserve">24. </w:t>
      </w:r>
      <w:r>
        <w:t>☐ Video sales letter script</w:t>
      </w:r>
    </w:p>
    <w:p>
      <w:r>
        <w:rPr>
          <w:b/>
        </w:rPr>
        <w:t xml:space="preserve">25. </w:t>
      </w:r>
      <w:r>
        <w:t>☐ Slide deck for live presentations</w:t>
      </w:r>
    </w:p>
    <w:p>
      <w:pPr>
        <w:pStyle w:val="Heading1"/>
      </w:pPr>
      <w:r>
        <w:rPr>
          <w:color w:val="0066CC"/>
        </w:rPr>
        <w:t>Sales process and client onboarding</w:t>
      </w:r>
    </w:p>
    <w:p>
      <w:r>
        <w:rPr>
          <w:b/>
        </w:rPr>
        <w:t xml:space="preserve">26. </w:t>
      </w:r>
      <w:r>
        <w:t>☐ Discovery call script and question sheet</w:t>
      </w:r>
    </w:p>
    <w:p>
      <w:r>
        <w:rPr>
          <w:b/>
        </w:rPr>
        <w:t xml:space="preserve">27. </w:t>
      </w:r>
      <w:r>
        <w:t>☐ Proposal template</w:t>
      </w:r>
    </w:p>
    <w:p>
      <w:r>
        <w:rPr>
          <w:b/>
        </w:rPr>
        <w:t xml:space="preserve">28. </w:t>
      </w:r>
      <w:r>
        <w:t>☐ Client onboarding checklist</w:t>
      </w:r>
    </w:p>
    <w:p>
      <w:r>
        <w:rPr>
          <w:b/>
        </w:rPr>
        <w:t xml:space="preserve">29. </w:t>
      </w:r>
      <w:r>
        <w:t>☐ Welcome pack for clients</w:t>
      </w:r>
    </w:p>
    <w:p>
      <w:r>
        <w:rPr>
          <w:b/>
        </w:rPr>
        <w:t xml:space="preserve">30. </w:t>
      </w:r>
      <w:r>
        <w:t>☐ Invoice and payment workflow</w:t>
      </w:r>
    </w:p>
    <w:p>
      <w:pPr>
        <w:pStyle w:val="Heading1"/>
      </w:pPr>
      <w:r>
        <w:rPr>
          <w:color w:val="0066CC"/>
        </w:rPr>
        <w:t>Brain extraction and BIVV delivery</w:t>
      </w:r>
    </w:p>
    <w:p>
      <w:r>
        <w:rPr>
          <w:b/>
        </w:rPr>
        <w:t xml:space="preserve">31. </w:t>
      </w:r>
      <w:r>
        <w:t>☐ Brain extraction SOP</w:t>
      </w:r>
    </w:p>
    <w:p>
      <w:r>
        <w:rPr>
          <w:b/>
        </w:rPr>
        <w:t xml:space="preserve">32. </w:t>
      </w:r>
      <w:r>
        <w:t>☐ Client facing explanation of brain extraction</w:t>
      </w:r>
    </w:p>
    <w:p>
      <w:r>
        <w:rPr>
          <w:b/>
        </w:rPr>
        <w:t xml:space="preserve">33. </w:t>
      </w:r>
      <w:r>
        <w:t>☐ Standard recording guide</w:t>
      </w:r>
    </w:p>
    <w:p>
      <w:r>
        <w:rPr>
          <w:b/>
        </w:rPr>
        <w:t xml:space="preserve">34. </w:t>
      </w:r>
      <w:r>
        <w:t>☐ Voice clone SOP</w:t>
      </w:r>
    </w:p>
    <w:p>
      <w:r>
        <w:rPr>
          <w:b/>
        </w:rPr>
        <w:t xml:space="preserve">35. </w:t>
      </w:r>
      <w:r>
        <w:t>☐ Image and avatar SOP</w:t>
      </w:r>
    </w:p>
    <w:p>
      <w:r>
        <w:rPr>
          <w:b/>
        </w:rPr>
        <w:t xml:space="preserve">36. </w:t>
      </w:r>
      <w:r>
        <w:t>☐ Background library and prompt catalogue</w:t>
      </w:r>
    </w:p>
    <w:p>
      <w:r>
        <w:rPr>
          <w:b/>
        </w:rPr>
        <w:t xml:space="preserve">37. </w:t>
      </w:r>
      <w:r>
        <w:t>☐ Content generation playbook</w:t>
      </w:r>
    </w:p>
    <w:p>
      <w:r>
        <w:rPr>
          <w:b/>
        </w:rPr>
        <w:t xml:space="preserve">38. </w:t>
      </w:r>
      <w:r>
        <w:t>☐ Quality assurance checklist</w:t>
      </w:r>
    </w:p>
    <w:p>
      <w:pPr>
        <w:pStyle w:val="Heading1"/>
      </w:pPr>
      <w:r>
        <w:rPr>
          <w:color w:val="0066CC"/>
        </w:rPr>
        <w:t>Operations, tools and team enablement</w:t>
      </w:r>
    </w:p>
    <w:p>
      <w:r>
        <w:rPr>
          <w:b/>
        </w:rPr>
        <w:t xml:space="preserve">39. </w:t>
      </w:r>
      <w:r>
        <w:t>☐ Tool stack architecture diagram</w:t>
      </w:r>
    </w:p>
    <w:p>
      <w:r>
        <w:rPr>
          <w:b/>
        </w:rPr>
        <w:t xml:space="preserve">40. </w:t>
      </w:r>
      <w:r>
        <w:t>☐ Internal training manual</w:t>
      </w:r>
    </w:p>
    <w:p>
      <w:r>
        <w:rPr>
          <w:b/>
        </w:rPr>
        <w:t xml:space="preserve">41. </w:t>
      </w:r>
      <w:r>
        <w:t>☐ Project management board template</w:t>
      </w:r>
    </w:p>
    <w:p>
      <w:r>
        <w:rPr>
          <w:b/>
        </w:rPr>
        <w:t xml:space="preserve">42. </w:t>
      </w:r>
      <w:r>
        <w:t>☐ Client feedback and iteration loop</w:t>
      </w:r>
    </w:p>
    <w:p>
      <w:r>
        <w:br w:type="page"/>
      </w:r>
    </w:p>
    <w:p>
      <w:pPr>
        <w:pStyle w:val="Heading1"/>
      </w:pPr>
      <w:r>
        <w:rPr>
          <w:color w:val="CC0000"/>
        </w:rPr>
        <w:t>Full SOP Manual: Executive AI Clone Delivery</w:t>
      </w:r>
    </w:p>
    <w:p>
      <w:r>
        <w:br/>
        <w:t>INTRODUCTION</w:t>
        <w:br/>
        <w:t>This SOP manual outlines the complete operational workflow for delivering the Executive AI Clone service under iMPLEMENTAi.ae. It covers strategy, onboarding, brain extraction, BIVV creation, quality assurance, delivery and optimisation.</w:t>
        <w:br/>
        <w:br/>
        <w:t>1. LEAD ACQUISITION &amp; SALES</w:t>
        <w:br/>
        <w:t>1.1 Capture inbound or outbound lead.</w:t>
        <w:br/>
        <w:t>1.2 Conduct discovery call using prepared script.</w:t>
        <w:br/>
        <w:t>1.3 Assess fit, needs, timeline, budget and urgency.</w:t>
        <w:br/>
        <w:t>1.4 Send proposal and contract.</w:t>
        <w:br/>
        <w:t>1.5 Collect 50% upfront payment.</w:t>
        <w:br/>
        <w:br/>
        <w:t>2. CLIENT ONBOARDING</w:t>
        <w:br/>
        <w:t>2.1 Send welcome pack and onboarding email.</w:t>
        <w:br/>
        <w:t>2.2 Schedule brain extraction sessions.</w:t>
        <w:br/>
        <w:t>2.3 Share instructions for studio recording, clothing, lighting and equipment.</w:t>
        <w:br/>
        <w:t>2.4 Collect pre-work: CV, brand files, frameworks, social links, testimonials.</w:t>
        <w:br/>
        <w:br/>
        <w:t>3. BRAIN EXTRACTION PHASE (B Layer of BIVV)</w:t>
        <w:br/>
        <w:t>3.1 Conduct 2–4 voice memo or live sessions.</w:t>
        <w:br/>
        <w:t>3.2 Apply Context Engineering Framework (What, Why, How, When, Where, Outcome).</w:t>
        <w:br/>
        <w:t>3.3 Transcribe recordings.</w:t>
        <w:br/>
        <w:t>3.4 Upload transcripts into Claude Projects or chosen LLM.</w:t>
        <w:br/>
        <w:t>3.5 Create named consultants (Ads, Scripts, Copywriting, Curriculum).</w:t>
        <w:br/>
        <w:t>3.6 Build intelligence base and memory through artifacts.</w:t>
        <w:br/>
        <w:br/>
        <w:t>4. IMAGE CAPTURE &amp; AVATAR PREP (I Layer)</w:t>
        <w:br/>
        <w:t>4.1 Follow the 5 image principles.</w:t>
        <w:br/>
        <w:t>4.2 Capture 50–150 shots across angles and expressions.</w:t>
        <w:br/>
        <w:t>4.3 Prepare clean background shots for Gemini prompts.</w:t>
        <w:br/>
        <w:t>4.4 Submit images to avatar engine.</w:t>
        <w:br/>
        <w:br/>
        <w:t>5. VOICE CLONING (V Layer)</w:t>
        <w:br/>
        <w:t>5.1 Record sample scripts in quiet environment.</w:t>
        <w:br/>
        <w:t>5.2 Upload to ElevenLabs.</w:t>
        <w:br/>
        <w:t>5.3 Approve initial clone.</w:t>
        <w:br/>
        <w:t>5.4 Fine tune pronunciation, pacing, tone and energy.</w:t>
        <w:br/>
        <w:br/>
        <w:t>6. VIDEO CLONE CREATION (V Layer)</w:t>
        <w:br/>
        <w:t>6.1 Choose backgrounds from prompt library.</w:t>
        <w:br/>
        <w:t>6.2 Set up HeyGen Avatar IV.</w:t>
        <w:br/>
        <w:t>6.3 Test lipsync, realism and lighting match.</w:t>
        <w:br/>
        <w:t>6.4 Produce starter video set (10–30 samples).</w:t>
        <w:br/>
        <w:br/>
        <w:t>7. CONTENT GENERATION WORKFLOW</w:t>
        <w:br/>
        <w:t>7.1 Use brain-trained consultants to produce scripts.</w:t>
        <w:br/>
        <w:t>7.2 Match scripts with appropriate backgrounds.</w:t>
        <w:br/>
        <w:t>7.3 Render video outputs.</w:t>
        <w:br/>
        <w:t>7.4 Apply brand overlays, captions and formatting.</w:t>
        <w:br/>
        <w:br/>
        <w:t>8. QUALITY ASSURANCE</w:t>
        <w:br/>
        <w:t>8.1 Review authenticity, clarity and tone.</w:t>
        <w:br/>
        <w:t>8.2 Check alignment with client’s real voice and messaging.</w:t>
        <w:br/>
        <w:t>8.3 Verify accuracy of facts and frameworks.</w:t>
        <w:br/>
        <w:t>8.4 Perform compliance screening.</w:t>
        <w:br/>
        <w:br/>
        <w:t>9. CLIENT DELIVERY</w:t>
        <w:br/>
        <w:t>9.1 Deliver initial batch.</w:t>
        <w:br/>
        <w:t>9.2 Gather feedback and adjust brain model.</w:t>
        <w:br/>
        <w:t>9.3 Train client team on usage.</w:t>
        <w:br/>
        <w:br/>
        <w:t>10. RETAINER &amp; OPTIMISATION</w:t>
        <w:br/>
        <w:t>10.1 Monthly content package production.</w:t>
        <w:br/>
        <w:t>10.2 Regular updating of the brain as client evolves.</w:t>
        <w:br/>
        <w:t>10.3 Performance reporting.</w:t>
        <w:br/>
        <w:t>10.4 Continuous improvement of clone realism.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