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259" w:beforeAutospacing="0" w:before="240" w:afterAutospacing="0" w:after="0"/>
        <w:ind w:left="0" w:right="0" w:hanging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  <w:t xml:space="preserve">Temat: </w:t>
      </w:r>
    </w:p>
    <w:p>
      <w:pPr>
        <w:pStyle w:val="Heading1"/>
        <w:bidi w:val="0"/>
        <w:spacing w:lineRule="auto" w:line="259" w:beforeAutospacing="0" w:before="24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Wpływ tweetów na notowania przedsiębiorstwa na przykładzie Tesli.</w:t>
      </w:r>
    </w:p>
    <w:p>
      <w:pPr>
        <w:pStyle w:val="Normal"/>
        <w:bidi w:val="0"/>
        <w:rPr/>
      </w:pPr>
      <w:r>
        <w:rPr/>
      </w:r>
    </w:p>
    <w:p>
      <w:pPr>
        <w:pStyle w:val="Heading1"/>
        <w:bidi w:val="0"/>
        <w:spacing w:lineRule="auto" w:line="259" w:beforeAutospacing="0" w:before="240" w:afterAutospacing="0" w:after="0"/>
        <w:ind w:left="0" w:right="0" w:hanging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  <w:t>Cel: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Celem pracy jest analiza wpływu postów z portalu internetowego Twitter na wartość akcji giełdowych przedsiębiorstwa Tesla.</w:t>
      </w:r>
    </w:p>
    <w:p>
      <w:pPr>
        <w:pStyle w:val="Heading1"/>
        <w:bidi w:val="0"/>
        <w:spacing w:lineRule="auto" w:line="259" w:beforeAutospacing="0" w:before="240" w:afterAutospacing="0" w:after="0"/>
        <w:ind w:left="0" w:right="0" w:hanging="0"/>
        <w:jc w:val="left"/>
        <w:rPr>
          <w:b/>
          <w:b/>
          <w:bCs/>
          <w:color w:val="auto"/>
        </w:rPr>
      </w:pPr>
      <w:r>
        <w:rPr>
          <w:b/>
          <w:bCs/>
          <w:color w:val="auto"/>
        </w:rPr>
        <w:t>Plan pracy:</w:t>
      </w:r>
    </w:p>
    <w:p>
      <w:pPr>
        <w:pStyle w:val="Normal"/>
        <w:bidi w:val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>
          <w:sz w:val="24"/>
          <w:szCs w:val="24"/>
        </w:rPr>
      </w:pPr>
      <w:r>
        <w:rPr>
          <w:sz w:val="24"/>
          <w:szCs w:val="24"/>
        </w:rPr>
        <w:t>Wstęp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Przegląd obecnego stanu wiedzy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Czynniki oddziaływujące na rynek kapitałowy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Portale społecznościowe jako medium kształtujące opinie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Wpływ Twittera na polski rynek 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Metodyka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Proces pozyskiwania oraz przygotowywania danych</w:t>
      </w:r>
    </w:p>
    <w:p>
      <w:pPr>
        <w:pStyle w:val="ListParagraph"/>
        <w:numPr>
          <w:ilvl w:val="2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Dane z portalu Twitter</w:t>
      </w:r>
    </w:p>
    <w:p>
      <w:pPr>
        <w:pStyle w:val="ListParagraph"/>
        <w:numPr>
          <w:ilvl w:val="2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Dane archiwalne notowań giełdy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Analiza sentymentu tweetów</w:t>
      </w:r>
    </w:p>
    <w:p>
      <w:pPr>
        <w:pStyle w:val="ListParagraph"/>
        <w:numPr>
          <w:ilvl w:val="2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Wyzwania i problemy przetwarzania języka naturalnego</w:t>
      </w:r>
    </w:p>
    <w:p>
      <w:pPr>
        <w:pStyle w:val="ListParagraph"/>
        <w:numPr>
          <w:ilvl w:val="2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Miary oceny sentymentu</w:t>
      </w:r>
    </w:p>
    <w:p>
      <w:pPr>
        <w:pStyle w:val="ListParagraph"/>
        <w:numPr>
          <w:ilvl w:val="2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Prezentacja wyników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Badanie korelacji pomiędzy zbiorami danych</w:t>
      </w:r>
    </w:p>
    <w:p>
      <w:pPr>
        <w:pStyle w:val="ListParagraph"/>
        <w:numPr>
          <w:ilvl w:val="0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Badanie przypadku na przykładzie przedsiębiorstwa Tesla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Pozyskanie oraz przygotowanie danych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Analiza 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Wyniki</w:t>
      </w:r>
    </w:p>
    <w:p>
      <w:pPr>
        <w:pStyle w:val="ListParagraph"/>
        <w:numPr>
          <w:ilvl w:val="1"/>
          <w:numId w:val="2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Wnioski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160"/>
        <w:ind w:left="1080" w:right="0" w:hanging="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>Podsumowanie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Literatura: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sz w:val="24"/>
          <w:szCs w:val="24"/>
        </w:rPr>
        <w:t xml:space="preserve">The Essential of Sentiment Analysis an Opinion Mining in Social Media - </w:t>
      </w:r>
    </w:p>
    <w:p>
      <w:pPr>
        <w:pStyle w:val="ListParagraph"/>
        <w:numPr>
          <w:ilvl w:val="0"/>
          <w:numId w:val="1"/>
        </w:numPr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Forecasting Stock Market Movement Direction Using Sentiment Analysis and Support Vector Machine – Rui Ren, Desheng Dash Wu, Tianxiang Liu </w:t>
      </w:r>
    </w:p>
    <w:p>
      <w:pPr>
        <w:pStyle w:val="ListParagraph"/>
        <w:numPr>
          <w:ilvl w:val="0"/>
          <w:numId w:val="1"/>
        </w:numPr>
        <w:spacing w:lineRule="auto" w:line="276" w:before="0" w:after="160"/>
        <w:contextualSpacing/>
        <w:rPr/>
      </w:pPr>
      <w:r>
        <w:rPr>
          <w:sz w:val="24"/>
          <w:szCs w:val="24"/>
        </w:rPr>
        <w:t>Predicting stock market trends using machine learning algorithms via public sentiment and political situation analysis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LibreOffice/6.3.5.2$Linux_X86_64 LibreOffice_project/30$Build-2</Application>
  <Pages>1</Pages>
  <Words>164</Words>
  <Characters>1066</Characters>
  <CharactersWithSpaces>1196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2020-01-24T17:46:41Z</dcterms:created>
  <dc:creator>Tomasz Bilaszewski (175772)</dc:creator>
  <dc:description/>
  <dc:language>en-US</dc:language>
  <cp:lastModifiedBy/>
  <dcterms:modified xsi:type="dcterms:W3CDTF">2020-03-14T15:53:11Z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