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61DF3" w14:textId="77777777" w:rsidR="00AE6C3C" w:rsidRPr="00C41381" w:rsidRDefault="00710D9A">
      <w:pPr>
        <w:pStyle w:val="Title"/>
        <w:keepNext w:val="0"/>
        <w:keepLines w:val="0"/>
        <w:spacing w:before="320" w:after="0" w:line="240" w:lineRule="auto"/>
        <w:rPr>
          <w:rFonts w:ascii="Times New Roman" w:eastAsia="Proxima Nova" w:hAnsi="Times New Roman" w:cs="Times New Roman"/>
          <w:b/>
          <w:color w:val="4A86E8"/>
          <w:sz w:val="58"/>
          <w:szCs w:val="58"/>
        </w:rPr>
      </w:pPr>
      <w:bookmarkStart w:id="0" w:name="_5x0d5h95i329" w:colFirst="0" w:colLast="0"/>
      <w:bookmarkEnd w:id="0"/>
      <w:r w:rsidRPr="00C41381">
        <w:rPr>
          <w:rFonts w:ascii="Times New Roman" w:eastAsia="Google Sans" w:hAnsi="Times New Roman" w:cs="Times New Roman"/>
          <w:b/>
          <w:color w:val="4A86E8"/>
          <w:sz w:val="58"/>
          <w:szCs w:val="58"/>
        </w:rPr>
        <w:t>Vulnerability Assessment Report</w:t>
      </w:r>
    </w:p>
    <w:p w14:paraId="74E7E82A" w14:textId="5BCB613B" w:rsidR="00AE6C3C" w:rsidRPr="00C41381" w:rsidRDefault="00710D9A">
      <w:pPr>
        <w:pStyle w:val="Subtitle"/>
        <w:keepNext w:val="0"/>
        <w:keepLines w:val="0"/>
        <w:spacing w:after="0" w:line="240" w:lineRule="auto"/>
        <w:rPr>
          <w:rFonts w:ascii="Times New Roman" w:eastAsia="Google Sans" w:hAnsi="Times New Roman" w:cs="Times New Roman"/>
          <w:b/>
          <w:sz w:val="28"/>
          <w:szCs w:val="28"/>
        </w:rPr>
      </w:pPr>
      <w:bookmarkStart w:id="1" w:name="_af80tl7prv5v" w:colFirst="0" w:colLast="0"/>
      <w:bookmarkEnd w:id="1"/>
      <w:r w:rsidRPr="00C41381">
        <w:rPr>
          <w:rFonts w:ascii="Times New Roman" w:eastAsia="Google Sans" w:hAnsi="Times New Roman" w:cs="Times New Roman"/>
          <w:b/>
          <w:sz w:val="28"/>
          <w:szCs w:val="28"/>
        </w:rPr>
        <w:t>1</w:t>
      </w:r>
      <w:r w:rsidRPr="00C41381">
        <w:rPr>
          <w:rFonts w:ascii="Times New Roman" w:eastAsia="Google Sans" w:hAnsi="Times New Roman" w:cs="Times New Roman"/>
          <w:b/>
          <w:sz w:val="28"/>
          <w:szCs w:val="28"/>
          <w:vertAlign w:val="superscript"/>
        </w:rPr>
        <w:t>st</w:t>
      </w:r>
      <w:r w:rsidRPr="00C41381">
        <w:rPr>
          <w:rFonts w:ascii="Times New Roman" w:eastAsia="Google Sans" w:hAnsi="Times New Roman" w:cs="Times New Roman"/>
          <w:b/>
          <w:sz w:val="28"/>
          <w:szCs w:val="28"/>
        </w:rPr>
        <w:t xml:space="preserve"> </w:t>
      </w:r>
      <w:r w:rsidR="00365273" w:rsidRPr="00C41381">
        <w:rPr>
          <w:rFonts w:ascii="Times New Roman" w:eastAsia="Google Sans" w:hAnsi="Times New Roman" w:cs="Times New Roman"/>
          <w:b/>
          <w:sz w:val="28"/>
          <w:szCs w:val="28"/>
        </w:rPr>
        <w:t>October</w:t>
      </w:r>
      <w:r w:rsidRPr="00C41381">
        <w:rPr>
          <w:rFonts w:ascii="Times New Roman" w:eastAsia="Google Sans" w:hAnsi="Times New Roman" w:cs="Times New Roman"/>
          <w:b/>
          <w:sz w:val="28"/>
          <w:szCs w:val="28"/>
        </w:rPr>
        <w:t xml:space="preserve"> 20</w:t>
      </w:r>
      <w:r w:rsidR="00365273" w:rsidRPr="00C41381">
        <w:rPr>
          <w:rFonts w:ascii="Times New Roman" w:eastAsia="Google Sans" w:hAnsi="Times New Roman" w:cs="Times New Roman"/>
          <w:b/>
          <w:sz w:val="28"/>
          <w:szCs w:val="28"/>
        </w:rPr>
        <w:t>25</w:t>
      </w:r>
    </w:p>
    <w:p w14:paraId="7FC27AE1" w14:textId="77777777" w:rsidR="00AE6C3C" w:rsidRPr="00C41381" w:rsidRDefault="00C41381">
      <w:pPr>
        <w:pStyle w:val="Subtitle"/>
        <w:keepNext w:val="0"/>
        <w:keepLines w:val="0"/>
        <w:spacing w:after="0" w:line="240" w:lineRule="auto"/>
        <w:rPr>
          <w:rFonts w:ascii="Times New Roman" w:eastAsia="Google Sans" w:hAnsi="Times New Roman" w:cs="Times New Roman"/>
          <w:b/>
          <w:sz w:val="28"/>
          <w:szCs w:val="28"/>
        </w:rPr>
      </w:pPr>
      <w:bookmarkStart w:id="2" w:name="_nhcy8rpxthcf" w:colFirst="0" w:colLast="0"/>
      <w:bookmarkEnd w:id="2"/>
      <w:r w:rsidRPr="00C41381">
        <w:rPr>
          <w:rFonts w:ascii="Times New Roman" w:hAnsi="Times New Roman" w:cs="Times New Roman"/>
        </w:rPr>
        <w:pict w14:anchorId="12DB5B4B">
          <v:rect id="_x0000_i1037" style="width:0;height:1.5pt" o:hralign="center" o:hrstd="t" o:hr="t" fillcolor="#a0a0a0" stroked="f"/>
        </w:pict>
      </w:r>
    </w:p>
    <w:p w14:paraId="554DA654" w14:textId="38D23EDA" w:rsidR="00AE6C3C" w:rsidRPr="00C41381" w:rsidRDefault="00710D9A" w:rsidP="00C41381">
      <w:pPr>
        <w:pStyle w:val="Heading1"/>
        <w:keepNext w:val="0"/>
        <w:keepLines w:val="0"/>
        <w:spacing w:before="480" w:after="0" w:line="480" w:lineRule="auto"/>
        <w:rPr>
          <w:rFonts w:ascii="Times New Roman" w:eastAsia="Proxima Nova" w:hAnsi="Times New Roman" w:cs="Times New Roman"/>
          <w:b/>
          <w:color w:val="353744"/>
          <w:sz w:val="24"/>
          <w:szCs w:val="24"/>
        </w:rPr>
      </w:pPr>
      <w:bookmarkStart w:id="3" w:name="_buc6q0k08dmn" w:colFirst="0" w:colLast="0"/>
      <w:bookmarkEnd w:id="3"/>
      <w:r w:rsidRPr="00C41381">
        <w:rPr>
          <w:rFonts w:ascii="Times New Roman" w:eastAsia="Proxima Nova" w:hAnsi="Times New Roman" w:cs="Times New Roman"/>
          <w:b/>
          <w:color w:val="353744"/>
          <w:sz w:val="24"/>
          <w:szCs w:val="24"/>
        </w:rPr>
        <w:t>System Description</w:t>
      </w:r>
      <w:r w:rsidR="00C41381">
        <w:rPr>
          <w:rFonts w:ascii="Times New Roman" w:eastAsia="Proxima Nova" w:hAnsi="Times New Roman" w:cs="Times New Roman"/>
          <w:b/>
          <w:color w:val="353744"/>
          <w:sz w:val="24"/>
          <w:szCs w:val="24"/>
        </w:rPr>
        <w:br/>
      </w:r>
      <w:r w:rsidRPr="00C41381">
        <w:rPr>
          <w:rFonts w:ascii="Times New Roman" w:eastAsia="Google Sans" w:hAnsi="Times New Roman" w:cs="Times New Roman"/>
          <w:color w:val="353744"/>
          <w:sz w:val="24"/>
          <w:szCs w:val="2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64C1F518" w14:textId="1692625F" w:rsidR="00AE6C3C" w:rsidRPr="00C41381" w:rsidRDefault="00710D9A" w:rsidP="00C41381">
      <w:pPr>
        <w:pStyle w:val="Heading1"/>
        <w:keepNext w:val="0"/>
        <w:keepLines w:val="0"/>
        <w:spacing w:before="480" w:after="0" w:line="480" w:lineRule="auto"/>
        <w:rPr>
          <w:rFonts w:ascii="Times New Roman" w:eastAsia="Proxima Nova" w:hAnsi="Times New Roman" w:cs="Times New Roman"/>
          <w:b/>
          <w:color w:val="353744"/>
          <w:sz w:val="24"/>
          <w:szCs w:val="24"/>
        </w:rPr>
      </w:pPr>
      <w:bookmarkStart w:id="4" w:name="_e64wndl8jmz1" w:colFirst="0" w:colLast="0"/>
      <w:bookmarkEnd w:id="4"/>
      <w:r w:rsidRPr="00C41381">
        <w:rPr>
          <w:rFonts w:ascii="Times New Roman" w:eastAsia="Proxima Nova" w:hAnsi="Times New Roman" w:cs="Times New Roman"/>
          <w:b/>
          <w:color w:val="353744"/>
          <w:sz w:val="24"/>
          <w:szCs w:val="24"/>
        </w:rPr>
        <w:t>Scope</w:t>
      </w:r>
      <w:r w:rsidR="00C41381">
        <w:rPr>
          <w:rFonts w:ascii="Times New Roman" w:eastAsia="Proxima Nova" w:hAnsi="Times New Roman" w:cs="Times New Roman"/>
          <w:b/>
          <w:color w:val="353744"/>
          <w:sz w:val="24"/>
          <w:szCs w:val="24"/>
        </w:rPr>
        <w:br/>
      </w:r>
      <w:r w:rsidRPr="00C41381">
        <w:rPr>
          <w:rFonts w:ascii="Times New Roman" w:eastAsia="Google Sans" w:hAnsi="Times New Roman" w:cs="Times New Roman"/>
          <w:color w:val="353744"/>
          <w:sz w:val="24"/>
          <w:szCs w:val="24"/>
        </w:rPr>
        <w:t xml:space="preserve">The scope of this vulnerability assessment relates to the current access controls of the system. The assessment will cover a period of three months, from June 20XX to August 20XX. </w:t>
      </w:r>
      <w:hyperlink r:id="rId5" w:anchor="heading=h.hvbcmqwzo9do">
        <w:r w:rsidRPr="00C41381">
          <w:rPr>
            <w:rFonts w:ascii="Times New Roman" w:eastAsia="Google Sans" w:hAnsi="Times New Roman" w:cs="Times New Roman"/>
            <w:color w:val="1155CC"/>
            <w:sz w:val="24"/>
            <w:szCs w:val="24"/>
            <w:u w:val="single"/>
          </w:rPr>
          <w:t>NIST SP 800-30 Rev. 1</w:t>
        </w:r>
      </w:hyperlink>
      <w:r w:rsidRPr="00C41381">
        <w:rPr>
          <w:rFonts w:ascii="Times New Roman" w:eastAsia="Google Sans" w:hAnsi="Times New Roman" w:cs="Times New Roman"/>
          <w:color w:val="353744"/>
          <w:sz w:val="24"/>
          <w:szCs w:val="24"/>
        </w:rPr>
        <w:t xml:space="preserve"> is used to guide the risk analysis of the information system.</w:t>
      </w:r>
    </w:p>
    <w:p w14:paraId="36909E63" w14:textId="1868DAD6" w:rsidR="0008148E" w:rsidRPr="00C41381" w:rsidRDefault="00710D9A" w:rsidP="00C41381">
      <w:pPr>
        <w:pStyle w:val="Heading1"/>
        <w:keepNext w:val="0"/>
        <w:keepLines w:val="0"/>
        <w:spacing w:before="480" w:after="0" w:line="480" w:lineRule="auto"/>
        <w:rPr>
          <w:rFonts w:ascii="Times New Roman" w:eastAsia="Proxima Nova" w:hAnsi="Times New Roman" w:cs="Times New Roman"/>
          <w:b/>
          <w:color w:val="353744"/>
          <w:sz w:val="24"/>
          <w:szCs w:val="24"/>
        </w:rPr>
      </w:pPr>
      <w:bookmarkStart w:id="5" w:name="_oymnw3nlvwib" w:colFirst="0" w:colLast="0"/>
      <w:bookmarkEnd w:id="5"/>
      <w:r w:rsidRPr="00C41381">
        <w:rPr>
          <w:rFonts w:ascii="Times New Roman" w:eastAsia="Proxima Nova" w:hAnsi="Times New Roman" w:cs="Times New Roman"/>
          <w:b/>
          <w:color w:val="353744"/>
          <w:sz w:val="24"/>
          <w:szCs w:val="24"/>
        </w:rPr>
        <w:t>Purpose</w:t>
      </w:r>
      <w:r w:rsidR="00C41381">
        <w:rPr>
          <w:rFonts w:ascii="Times New Roman" w:eastAsia="Proxima Nova" w:hAnsi="Times New Roman" w:cs="Times New Roman"/>
          <w:b/>
          <w:color w:val="353744"/>
          <w:sz w:val="24"/>
          <w:szCs w:val="24"/>
        </w:rPr>
        <w:br/>
      </w:r>
      <w:r w:rsidR="0008148E" w:rsidRPr="00C41381">
        <w:rPr>
          <w:rFonts w:ascii="Times New Roman" w:eastAsia="Google Sans" w:hAnsi="Times New Roman" w:cs="Times New Roman"/>
          <w:color w:val="353744"/>
          <w:sz w:val="24"/>
          <w:szCs w:val="24"/>
        </w:rPr>
        <w:t xml:space="preserve">The purpose of this vulnerability assessment is to evaluate the risks associated with the company’s publicly accessible database server. This server stores valuable customer and business information that employees query daily to support sales and customer engagement. Because the server is exposed to the internet and accessed by employees from many different locations, it is at increased risk of unauthorized access, data breaches, and service outages. Assessing these risks helps the organization understand how a compromise could disrupt business operations, damage customer trust, and lead to financial loss. This analysis will also </w:t>
      </w:r>
      <w:r w:rsidR="0008148E" w:rsidRPr="00C41381">
        <w:rPr>
          <w:rFonts w:ascii="Times New Roman" w:eastAsia="Google Sans" w:hAnsi="Times New Roman" w:cs="Times New Roman"/>
          <w:color w:val="353744"/>
          <w:sz w:val="24"/>
          <w:szCs w:val="24"/>
        </w:rPr>
        <w:lastRenderedPageBreak/>
        <w:t>guide leadership in determining the necessary security controls to protect the server and maintain business continuity.</w:t>
      </w:r>
    </w:p>
    <w:p w14:paraId="237AA266" w14:textId="255FE2F6" w:rsidR="00AE6C3C" w:rsidRPr="00C41381" w:rsidRDefault="00710D9A" w:rsidP="00C41381">
      <w:pPr>
        <w:pStyle w:val="Heading1"/>
        <w:keepNext w:val="0"/>
        <w:keepLines w:val="0"/>
        <w:spacing w:before="480" w:after="0" w:line="480" w:lineRule="auto"/>
        <w:rPr>
          <w:rFonts w:ascii="Times New Roman" w:eastAsia="Proxima Nova" w:hAnsi="Times New Roman" w:cs="Times New Roman"/>
          <w:b/>
          <w:color w:val="353744"/>
          <w:sz w:val="24"/>
          <w:szCs w:val="24"/>
        </w:rPr>
      </w:pPr>
      <w:r w:rsidRPr="00C41381">
        <w:rPr>
          <w:rFonts w:ascii="Times New Roman" w:eastAsia="Proxima Nova" w:hAnsi="Times New Roman" w:cs="Times New Roman"/>
          <w:b/>
          <w:color w:val="353744"/>
          <w:sz w:val="24"/>
          <w:szCs w:val="24"/>
        </w:rPr>
        <w:t>Risk Assessment</w:t>
      </w: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AE6C3C" w:rsidRPr="00C41381" w14:paraId="7B269F6A" w14:textId="77777777">
        <w:tc>
          <w:tcPr>
            <w:tcW w:w="1860" w:type="dxa"/>
            <w:shd w:val="clear" w:color="auto" w:fill="C9DAF8"/>
            <w:tcMar>
              <w:top w:w="100" w:type="dxa"/>
              <w:left w:w="100" w:type="dxa"/>
              <w:bottom w:w="100" w:type="dxa"/>
              <w:right w:w="100" w:type="dxa"/>
            </w:tcMar>
          </w:tcPr>
          <w:p w14:paraId="32B4D7BB" w14:textId="77777777" w:rsidR="00AE6C3C" w:rsidRPr="00C41381" w:rsidRDefault="00710D9A" w:rsidP="00C41381">
            <w:pPr>
              <w:widowControl w:val="0"/>
              <w:spacing w:line="480" w:lineRule="auto"/>
              <w:rPr>
                <w:rFonts w:ascii="Times New Roman" w:eastAsia="Google Sans" w:hAnsi="Times New Roman" w:cs="Times New Roman"/>
                <w:b/>
                <w:color w:val="353744"/>
                <w:sz w:val="24"/>
                <w:szCs w:val="24"/>
              </w:rPr>
            </w:pPr>
            <w:r w:rsidRPr="00C41381">
              <w:rPr>
                <w:rFonts w:ascii="Times New Roman" w:eastAsia="Google Sans" w:hAnsi="Times New Roman" w:cs="Times New Roman"/>
                <w:b/>
                <w:color w:val="353744"/>
                <w:sz w:val="24"/>
                <w:szCs w:val="24"/>
              </w:rPr>
              <w:t>Threat source</w:t>
            </w:r>
          </w:p>
        </w:tc>
        <w:tc>
          <w:tcPr>
            <w:tcW w:w="3615" w:type="dxa"/>
            <w:shd w:val="clear" w:color="auto" w:fill="C9DAF8"/>
            <w:tcMar>
              <w:top w:w="100" w:type="dxa"/>
              <w:left w:w="100" w:type="dxa"/>
              <w:bottom w:w="100" w:type="dxa"/>
              <w:right w:w="100" w:type="dxa"/>
            </w:tcMar>
          </w:tcPr>
          <w:p w14:paraId="5EC4EF02" w14:textId="77777777" w:rsidR="00AE6C3C" w:rsidRPr="00C41381" w:rsidRDefault="00710D9A" w:rsidP="00C41381">
            <w:pPr>
              <w:widowControl w:val="0"/>
              <w:spacing w:line="480" w:lineRule="auto"/>
              <w:rPr>
                <w:rFonts w:ascii="Times New Roman" w:eastAsia="Google Sans" w:hAnsi="Times New Roman" w:cs="Times New Roman"/>
                <w:b/>
                <w:color w:val="353744"/>
                <w:sz w:val="24"/>
                <w:szCs w:val="24"/>
              </w:rPr>
            </w:pPr>
            <w:r w:rsidRPr="00C41381">
              <w:rPr>
                <w:rFonts w:ascii="Times New Roman" w:eastAsia="Google Sans" w:hAnsi="Times New Roman" w:cs="Times New Roman"/>
                <w:b/>
                <w:color w:val="353744"/>
                <w:sz w:val="24"/>
                <w:szCs w:val="24"/>
              </w:rPr>
              <w:t>Threat event</w:t>
            </w:r>
          </w:p>
        </w:tc>
        <w:tc>
          <w:tcPr>
            <w:tcW w:w="1395" w:type="dxa"/>
            <w:shd w:val="clear" w:color="auto" w:fill="C9DAF8"/>
            <w:tcMar>
              <w:top w:w="100" w:type="dxa"/>
              <w:left w:w="100" w:type="dxa"/>
              <w:bottom w:w="100" w:type="dxa"/>
              <w:right w:w="100" w:type="dxa"/>
            </w:tcMar>
          </w:tcPr>
          <w:p w14:paraId="441203E8" w14:textId="77777777" w:rsidR="00AE6C3C" w:rsidRPr="00C41381" w:rsidRDefault="00710D9A" w:rsidP="00C41381">
            <w:pPr>
              <w:widowControl w:val="0"/>
              <w:spacing w:line="480" w:lineRule="auto"/>
              <w:rPr>
                <w:rFonts w:ascii="Times New Roman" w:eastAsia="Google Sans" w:hAnsi="Times New Roman" w:cs="Times New Roman"/>
                <w:b/>
                <w:color w:val="353744"/>
                <w:sz w:val="24"/>
                <w:szCs w:val="24"/>
              </w:rPr>
            </w:pPr>
            <w:r w:rsidRPr="00C41381">
              <w:rPr>
                <w:rFonts w:ascii="Times New Roman" w:eastAsia="Google Sans" w:hAnsi="Times New Roman" w:cs="Times New Roman"/>
                <w:b/>
                <w:color w:val="353744"/>
                <w:sz w:val="24"/>
                <w:szCs w:val="24"/>
              </w:rPr>
              <w:t>Likelihood</w:t>
            </w:r>
          </w:p>
        </w:tc>
        <w:tc>
          <w:tcPr>
            <w:tcW w:w="1320" w:type="dxa"/>
            <w:shd w:val="clear" w:color="auto" w:fill="C9DAF8"/>
            <w:tcMar>
              <w:top w:w="100" w:type="dxa"/>
              <w:left w:w="100" w:type="dxa"/>
              <w:bottom w:w="100" w:type="dxa"/>
              <w:right w:w="100" w:type="dxa"/>
            </w:tcMar>
          </w:tcPr>
          <w:p w14:paraId="022CAF81" w14:textId="77777777" w:rsidR="00AE6C3C" w:rsidRPr="00C41381" w:rsidRDefault="00710D9A" w:rsidP="00C41381">
            <w:pPr>
              <w:widowControl w:val="0"/>
              <w:spacing w:line="480" w:lineRule="auto"/>
              <w:rPr>
                <w:rFonts w:ascii="Times New Roman" w:eastAsia="Google Sans" w:hAnsi="Times New Roman" w:cs="Times New Roman"/>
                <w:b/>
                <w:color w:val="353744"/>
                <w:sz w:val="24"/>
                <w:szCs w:val="24"/>
              </w:rPr>
            </w:pPr>
            <w:r w:rsidRPr="00C41381">
              <w:rPr>
                <w:rFonts w:ascii="Times New Roman" w:eastAsia="Google Sans" w:hAnsi="Times New Roman" w:cs="Times New Roman"/>
                <w:b/>
                <w:color w:val="353744"/>
                <w:sz w:val="24"/>
                <w:szCs w:val="24"/>
              </w:rPr>
              <w:t>Severity</w:t>
            </w:r>
          </w:p>
        </w:tc>
        <w:tc>
          <w:tcPr>
            <w:tcW w:w="1110" w:type="dxa"/>
            <w:shd w:val="clear" w:color="auto" w:fill="C9DAF8"/>
            <w:tcMar>
              <w:top w:w="100" w:type="dxa"/>
              <w:left w:w="100" w:type="dxa"/>
              <w:bottom w:w="100" w:type="dxa"/>
              <w:right w:w="100" w:type="dxa"/>
            </w:tcMar>
          </w:tcPr>
          <w:p w14:paraId="0755A1A3" w14:textId="77777777" w:rsidR="00AE6C3C" w:rsidRPr="00C41381" w:rsidRDefault="00710D9A" w:rsidP="00C41381">
            <w:pPr>
              <w:widowControl w:val="0"/>
              <w:spacing w:line="480" w:lineRule="auto"/>
              <w:rPr>
                <w:rFonts w:ascii="Times New Roman" w:eastAsia="Google Sans" w:hAnsi="Times New Roman" w:cs="Times New Roman"/>
                <w:b/>
                <w:color w:val="353744"/>
                <w:sz w:val="24"/>
                <w:szCs w:val="24"/>
              </w:rPr>
            </w:pPr>
            <w:r w:rsidRPr="00C41381">
              <w:rPr>
                <w:rFonts w:ascii="Times New Roman" w:eastAsia="Google Sans" w:hAnsi="Times New Roman" w:cs="Times New Roman"/>
                <w:b/>
                <w:color w:val="353744"/>
                <w:sz w:val="24"/>
                <w:szCs w:val="24"/>
              </w:rPr>
              <w:t>Risk</w:t>
            </w:r>
          </w:p>
        </w:tc>
      </w:tr>
      <w:tr w:rsidR="00AE6C3C" w:rsidRPr="00C41381" w14:paraId="2EE553F9" w14:textId="77777777">
        <w:tc>
          <w:tcPr>
            <w:tcW w:w="1860" w:type="dxa"/>
            <w:tcMar>
              <w:top w:w="100" w:type="dxa"/>
              <w:left w:w="100" w:type="dxa"/>
              <w:bottom w:w="100" w:type="dxa"/>
              <w:right w:w="100" w:type="dxa"/>
            </w:tcMar>
          </w:tcPr>
          <w:p w14:paraId="13BE94FF" w14:textId="1F30B446"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External cybercriminal</w:t>
            </w:r>
          </w:p>
        </w:tc>
        <w:tc>
          <w:tcPr>
            <w:tcW w:w="3615" w:type="dxa"/>
            <w:tcMar>
              <w:top w:w="100" w:type="dxa"/>
              <w:left w:w="100" w:type="dxa"/>
              <w:bottom w:w="100" w:type="dxa"/>
              <w:right w:w="100" w:type="dxa"/>
            </w:tcMar>
          </w:tcPr>
          <w:p w14:paraId="1166A9C5" w14:textId="353B2DE8"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Unauthorized access to the database</w:t>
            </w:r>
          </w:p>
        </w:tc>
        <w:tc>
          <w:tcPr>
            <w:tcW w:w="1395" w:type="dxa"/>
            <w:tcMar>
              <w:top w:w="100" w:type="dxa"/>
              <w:left w:w="100" w:type="dxa"/>
              <w:bottom w:w="100" w:type="dxa"/>
              <w:right w:w="100" w:type="dxa"/>
            </w:tcMar>
          </w:tcPr>
          <w:p w14:paraId="2A8BA7B6" w14:textId="77777777" w:rsidR="00AE6C3C" w:rsidRPr="00C41381" w:rsidRDefault="00710D9A"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3</w:t>
            </w:r>
          </w:p>
        </w:tc>
        <w:tc>
          <w:tcPr>
            <w:tcW w:w="1320" w:type="dxa"/>
            <w:tcMar>
              <w:top w:w="100" w:type="dxa"/>
              <w:left w:w="100" w:type="dxa"/>
              <w:bottom w:w="100" w:type="dxa"/>
              <w:right w:w="100" w:type="dxa"/>
            </w:tcMar>
          </w:tcPr>
          <w:p w14:paraId="4AADACFC" w14:textId="77777777" w:rsidR="00AE6C3C" w:rsidRPr="00C41381" w:rsidRDefault="00710D9A"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3</w:t>
            </w:r>
          </w:p>
        </w:tc>
        <w:tc>
          <w:tcPr>
            <w:tcW w:w="1110" w:type="dxa"/>
            <w:tcMar>
              <w:top w:w="100" w:type="dxa"/>
              <w:left w:w="100" w:type="dxa"/>
              <w:bottom w:w="100" w:type="dxa"/>
              <w:right w:w="100" w:type="dxa"/>
            </w:tcMar>
          </w:tcPr>
          <w:p w14:paraId="03D21E69" w14:textId="77777777" w:rsidR="00AE6C3C" w:rsidRPr="00C41381" w:rsidRDefault="00710D9A"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9</w:t>
            </w:r>
          </w:p>
        </w:tc>
      </w:tr>
      <w:tr w:rsidR="00AE6C3C" w:rsidRPr="00C41381" w14:paraId="0E28E529" w14:textId="77777777">
        <w:tc>
          <w:tcPr>
            <w:tcW w:w="1860" w:type="dxa"/>
            <w:tcMar>
              <w:top w:w="100" w:type="dxa"/>
              <w:left w:w="100" w:type="dxa"/>
              <w:bottom w:w="100" w:type="dxa"/>
              <w:right w:w="100" w:type="dxa"/>
            </w:tcMar>
          </w:tcPr>
          <w:p w14:paraId="2ED34948" w14:textId="4322EDF4"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Malicious insider</w:t>
            </w:r>
          </w:p>
        </w:tc>
        <w:tc>
          <w:tcPr>
            <w:tcW w:w="3615" w:type="dxa"/>
            <w:tcMar>
              <w:top w:w="100" w:type="dxa"/>
              <w:left w:w="100" w:type="dxa"/>
              <w:bottom w:w="100" w:type="dxa"/>
              <w:right w:w="100" w:type="dxa"/>
            </w:tcMar>
          </w:tcPr>
          <w:p w14:paraId="7AAF101E" w14:textId="2F4C8D9D"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Data exfiltration or misuse</w:t>
            </w:r>
          </w:p>
        </w:tc>
        <w:tc>
          <w:tcPr>
            <w:tcW w:w="1395" w:type="dxa"/>
            <w:tcMar>
              <w:top w:w="100" w:type="dxa"/>
              <w:left w:w="100" w:type="dxa"/>
              <w:bottom w:w="100" w:type="dxa"/>
              <w:right w:w="100" w:type="dxa"/>
            </w:tcMar>
          </w:tcPr>
          <w:p w14:paraId="290A3B3F" w14:textId="512F95CB"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2</w:t>
            </w:r>
          </w:p>
        </w:tc>
        <w:tc>
          <w:tcPr>
            <w:tcW w:w="1320" w:type="dxa"/>
            <w:tcMar>
              <w:top w:w="100" w:type="dxa"/>
              <w:left w:w="100" w:type="dxa"/>
              <w:bottom w:w="100" w:type="dxa"/>
              <w:right w:w="100" w:type="dxa"/>
            </w:tcMar>
          </w:tcPr>
          <w:p w14:paraId="088FAC8B" w14:textId="29927B31"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3</w:t>
            </w:r>
          </w:p>
        </w:tc>
        <w:tc>
          <w:tcPr>
            <w:tcW w:w="1110" w:type="dxa"/>
            <w:tcMar>
              <w:top w:w="100" w:type="dxa"/>
              <w:left w:w="100" w:type="dxa"/>
              <w:bottom w:w="100" w:type="dxa"/>
              <w:right w:w="100" w:type="dxa"/>
            </w:tcMar>
          </w:tcPr>
          <w:p w14:paraId="0ADAFD02" w14:textId="738CD699"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6</w:t>
            </w:r>
          </w:p>
        </w:tc>
      </w:tr>
      <w:tr w:rsidR="00AE6C3C" w:rsidRPr="00C41381" w14:paraId="6CEF85FB" w14:textId="77777777">
        <w:tc>
          <w:tcPr>
            <w:tcW w:w="1860" w:type="dxa"/>
            <w:tcMar>
              <w:top w:w="100" w:type="dxa"/>
              <w:left w:w="100" w:type="dxa"/>
              <w:bottom w:w="100" w:type="dxa"/>
              <w:right w:w="100" w:type="dxa"/>
            </w:tcMar>
          </w:tcPr>
          <w:p w14:paraId="51EC088C" w14:textId="6F229C43"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Competitor</w:t>
            </w:r>
          </w:p>
        </w:tc>
        <w:tc>
          <w:tcPr>
            <w:tcW w:w="3615" w:type="dxa"/>
            <w:tcMar>
              <w:top w:w="100" w:type="dxa"/>
              <w:left w:w="100" w:type="dxa"/>
              <w:bottom w:w="100" w:type="dxa"/>
              <w:right w:w="100" w:type="dxa"/>
            </w:tcMar>
          </w:tcPr>
          <w:p w14:paraId="6710B49B" w14:textId="2DF42F3A"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Denial-of-Service (DoS) attack</w:t>
            </w:r>
          </w:p>
        </w:tc>
        <w:tc>
          <w:tcPr>
            <w:tcW w:w="1395" w:type="dxa"/>
            <w:tcMar>
              <w:top w:w="100" w:type="dxa"/>
              <w:left w:w="100" w:type="dxa"/>
              <w:bottom w:w="100" w:type="dxa"/>
              <w:right w:w="100" w:type="dxa"/>
            </w:tcMar>
          </w:tcPr>
          <w:p w14:paraId="06ED7EAC" w14:textId="0BC47DD8"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2</w:t>
            </w:r>
          </w:p>
        </w:tc>
        <w:tc>
          <w:tcPr>
            <w:tcW w:w="1320" w:type="dxa"/>
            <w:tcMar>
              <w:top w:w="100" w:type="dxa"/>
              <w:left w:w="100" w:type="dxa"/>
              <w:bottom w:w="100" w:type="dxa"/>
              <w:right w:w="100" w:type="dxa"/>
            </w:tcMar>
          </w:tcPr>
          <w:p w14:paraId="60213039" w14:textId="0C1C7CAC"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2</w:t>
            </w:r>
          </w:p>
        </w:tc>
        <w:tc>
          <w:tcPr>
            <w:tcW w:w="1110" w:type="dxa"/>
            <w:tcMar>
              <w:top w:w="100" w:type="dxa"/>
              <w:left w:w="100" w:type="dxa"/>
              <w:bottom w:w="100" w:type="dxa"/>
              <w:right w:w="100" w:type="dxa"/>
            </w:tcMar>
          </w:tcPr>
          <w:p w14:paraId="7443ED32" w14:textId="3BE7849D" w:rsidR="00AE6C3C" w:rsidRPr="00C41381" w:rsidRDefault="0008148E" w:rsidP="00C41381">
            <w:pPr>
              <w:widowControl w:val="0"/>
              <w:spacing w:line="480" w:lineRule="auto"/>
              <w:rPr>
                <w:rFonts w:ascii="Times New Roman" w:eastAsia="Google Sans" w:hAnsi="Times New Roman" w:cs="Times New Roman"/>
                <w:i/>
                <w:color w:val="353744"/>
                <w:sz w:val="24"/>
                <w:szCs w:val="24"/>
              </w:rPr>
            </w:pPr>
            <w:r w:rsidRPr="00C41381">
              <w:rPr>
                <w:rFonts w:ascii="Times New Roman" w:eastAsia="Google Sans" w:hAnsi="Times New Roman" w:cs="Times New Roman"/>
                <w:i/>
                <w:color w:val="353744"/>
                <w:sz w:val="24"/>
                <w:szCs w:val="24"/>
              </w:rPr>
              <w:t>4</w:t>
            </w:r>
          </w:p>
        </w:tc>
      </w:tr>
    </w:tbl>
    <w:p w14:paraId="5E847DBC" w14:textId="54073A60" w:rsidR="0008148E" w:rsidRPr="00C41381" w:rsidRDefault="00710D9A" w:rsidP="00C41381">
      <w:pPr>
        <w:pStyle w:val="Heading1"/>
        <w:keepNext w:val="0"/>
        <w:keepLines w:val="0"/>
        <w:spacing w:before="480" w:after="0" w:line="480" w:lineRule="auto"/>
        <w:rPr>
          <w:rFonts w:ascii="Times New Roman" w:eastAsia="Proxima Nova" w:hAnsi="Times New Roman" w:cs="Times New Roman"/>
          <w:b/>
          <w:color w:val="353744"/>
          <w:sz w:val="24"/>
          <w:szCs w:val="24"/>
        </w:rPr>
      </w:pPr>
      <w:bookmarkStart w:id="6" w:name="_a9ivkvfuz16w" w:colFirst="0" w:colLast="0"/>
      <w:bookmarkEnd w:id="6"/>
      <w:r w:rsidRPr="00C41381">
        <w:rPr>
          <w:rFonts w:ascii="Times New Roman" w:eastAsia="Proxima Nova" w:hAnsi="Times New Roman" w:cs="Times New Roman"/>
          <w:b/>
          <w:color w:val="353744"/>
          <w:sz w:val="24"/>
          <w:szCs w:val="24"/>
        </w:rPr>
        <w:t>Approach</w:t>
      </w:r>
      <w:r w:rsidR="00C41381">
        <w:rPr>
          <w:rFonts w:ascii="Times New Roman" w:eastAsia="Proxima Nova" w:hAnsi="Times New Roman" w:cs="Times New Roman"/>
          <w:b/>
          <w:color w:val="353744"/>
          <w:sz w:val="24"/>
          <w:szCs w:val="24"/>
        </w:rPr>
        <w:br/>
      </w:r>
      <w:r w:rsidR="0008148E" w:rsidRPr="00C41381">
        <w:rPr>
          <w:rFonts w:ascii="Times New Roman" w:eastAsia="Google Sans" w:hAnsi="Times New Roman" w:cs="Times New Roman"/>
          <w:color w:val="353744"/>
          <w:sz w:val="24"/>
          <w:szCs w:val="24"/>
        </w:rPr>
        <w:t>I used a qualitative approach to assess the server’s vulnerabilities by considering both the likelihood and the potential business impact of each threat. I selected these three threat sources because they represent realistic and high-impact risks for a public-facing database. External attackers pose the greatest risk due to the server’s exposure and the valuable data it holds. Insider threats were also included because employees around the world access the system, increasing the chance of accidental or intentional misuse. Finally, a DoS threat was considered since public servers are common targets for disruption, which could halt business operations. These risks provide a clear picture of where security improvements are most urgently needed.</w:t>
      </w:r>
    </w:p>
    <w:p w14:paraId="3393E705" w14:textId="0047D35E" w:rsidR="00AE6C3C" w:rsidRPr="00C41381" w:rsidRDefault="00710D9A" w:rsidP="00C41381">
      <w:pPr>
        <w:pStyle w:val="Heading1"/>
        <w:keepNext w:val="0"/>
        <w:keepLines w:val="0"/>
        <w:spacing w:before="480" w:after="0" w:line="480" w:lineRule="auto"/>
        <w:rPr>
          <w:rFonts w:ascii="Times New Roman" w:eastAsia="Proxima Nova" w:hAnsi="Times New Roman" w:cs="Times New Roman"/>
          <w:b/>
          <w:color w:val="353744"/>
          <w:sz w:val="24"/>
          <w:szCs w:val="24"/>
        </w:rPr>
      </w:pPr>
      <w:r w:rsidRPr="00C41381">
        <w:rPr>
          <w:rFonts w:ascii="Times New Roman" w:eastAsia="Proxima Nova" w:hAnsi="Times New Roman" w:cs="Times New Roman"/>
          <w:b/>
          <w:color w:val="353744"/>
          <w:sz w:val="24"/>
          <w:szCs w:val="24"/>
        </w:rPr>
        <w:t>Remediation Strategy</w:t>
      </w:r>
    </w:p>
    <w:p w14:paraId="55AE17FE" w14:textId="7CA2E090" w:rsidR="00710D9A" w:rsidRPr="00C41381" w:rsidRDefault="0008148E" w:rsidP="00C41381">
      <w:pPr>
        <w:spacing w:before="200" w:line="480" w:lineRule="auto"/>
        <w:rPr>
          <w:rFonts w:ascii="Times New Roman" w:eastAsia="Google Sans" w:hAnsi="Times New Roman" w:cs="Times New Roman"/>
          <w:color w:val="353744"/>
          <w:sz w:val="24"/>
          <w:szCs w:val="24"/>
          <w:lang w:val="en-US"/>
        </w:rPr>
      </w:pPr>
      <w:r w:rsidRPr="00C41381">
        <w:rPr>
          <w:rFonts w:ascii="Times New Roman" w:eastAsia="Google Sans" w:hAnsi="Times New Roman" w:cs="Times New Roman"/>
          <w:color w:val="353744"/>
          <w:sz w:val="24"/>
          <w:szCs w:val="24"/>
          <w:lang w:val="en-US"/>
        </w:rPr>
        <w:lastRenderedPageBreak/>
        <w:t>To reduce the risks identified, the company should limit direct access to the server by requiring a VPN connection or applying stricter firewall rules. Using multi-factor authentication and role-based access controls would help ensure that only the right people can access sensitive data. Regular updates, security patches, and system monitoring should be applied to prevent attackers from exploiting weaknesses. To reduce the impact of a DoS attack, the company can use rate-limiting, traffic filtering, and other network protections. Together, these actions will help protect the confidentiality, integrity, and availability of the system.</w:t>
      </w:r>
    </w:p>
    <w:sectPr w:rsidR="00710D9A" w:rsidRPr="00C413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Bold r:id="rId1" w:fontKey="{6BEDB5F6-1BC4-4AD7-85C1-C759AC0174AB}"/>
  </w:font>
  <w:font w:name="Google Sans">
    <w:charset w:val="00"/>
    <w:family w:val="auto"/>
    <w:pitch w:val="default"/>
    <w:embedRegular r:id="rId2" w:fontKey="{243A367A-A6D1-4012-B20E-9415B86B6A92}"/>
    <w:embedBold r:id="rId3" w:fontKey="{387C311F-64CD-40B3-A8EC-4DC099246355}"/>
    <w:embedItalic r:id="rId4" w:fontKey="{3B33EC95-4E3F-48E2-977A-AF454170578C}"/>
  </w:font>
  <w:font w:name="Calibri">
    <w:panose1 w:val="020F0502020204030204"/>
    <w:charset w:val="00"/>
    <w:family w:val="swiss"/>
    <w:pitch w:val="variable"/>
    <w:sig w:usb0="E4002EFF" w:usb1="C200247B" w:usb2="00000009" w:usb3="00000000" w:csb0="000001FF" w:csb1="00000000"/>
    <w:embedRegular r:id="rId5" w:fontKey="{F38DDC67-A316-42CC-B786-96C4081AE845}"/>
  </w:font>
  <w:font w:name="Cambria">
    <w:panose1 w:val="02040503050406030204"/>
    <w:charset w:val="00"/>
    <w:family w:val="roman"/>
    <w:pitch w:val="variable"/>
    <w:sig w:usb0="E00006FF" w:usb1="420024FF" w:usb2="02000000" w:usb3="00000000" w:csb0="0000019F" w:csb1="00000000"/>
    <w:embedRegular r:id="rId6" w:fontKey="{E625E7D3-0205-4371-921F-BCAE223F0F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D6C37"/>
    <w:multiLevelType w:val="multilevel"/>
    <w:tmpl w:val="9296F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4312B8"/>
    <w:multiLevelType w:val="multilevel"/>
    <w:tmpl w:val="B39E4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657BF2"/>
    <w:multiLevelType w:val="multilevel"/>
    <w:tmpl w:val="101C4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0786328">
    <w:abstractNumId w:val="2"/>
  </w:num>
  <w:num w:numId="2" w16cid:durableId="918173913">
    <w:abstractNumId w:val="1"/>
  </w:num>
  <w:num w:numId="3" w16cid:durableId="122926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C3C"/>
    <w:rsid w:val="0008148E"/>
    <w:rsid w:val="00274457"/>
    <w:rsid w:val="00365273"/>
    <w:rsid w:val="00710D9A"/>
    <w:rsid w:val="00AE6C3C"/>
    <w:rsid w:val="00C31E57"/>
    <w:rsid w:val="00C41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3F6B98"/>
  <w15:docId w15:val="{204411B1-6AA5-4A34-B252-560A1C1F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Bishnu Thapa</dc:creator>
  <cp:lastModifiedBy>Bishnu Thapa</cp:lastModifiedBy>
  <cp:revision>4</cp:revision>
  <dcterms:created xsi:type="dcterms:W3CDTF">2025-11-25T02:36:00Z</dcterms:created>
  <dcterms:modified xsi:type="dcterms:W3CDTF">2025-11-25T02:39:00Z</dcterms:modified>
</cp:coreProperties>
</file>