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80"/>
        <w:rPr/>
      </w:pPr>
      <w:r>
        <w:rPr>
          <w:rFonts w:eastAsia="Calibri" w:cs="Calibri"/>
          <w:b/>
          <w:bCs/>
          <w:color w:val="1B365D"/>
          <w:sz w:val="48"/>
          <w:szCs w:val="48"/>
        </w:rPr>
        <w:t>Caderno Temático: IA Generativa, Arquiteturas de LLMs e Engenharia de Prompts com Grounding Estrito</w:t>
      </w:r>
    </w:p>
    <w:p>
      <w:pPr>
        <w:pStyle w:val="normal1"/>
        <w:spacing w:lineRule="auto" w:line="240" w:before="0" w:after="240"/>
        <w:rPr/>
      </w:pPr>
      <w:r>
        <w:rPr>
          <w:rFonts w:eastAsia="Calibri" w:cs="Calibri"/>
          <w:i/>
          <w:iCs/>
          <w:color w:val="4A5568"/>
          <w:sz w:val="28"/>
          <w:szCs w:val="28"/>
        </w:rPr>
        <w:t>Documentação técnica e entrega do projeto prático estruturado no Google NotebookLM</w:t>
      </w:r>
    </w:p>
    <w:tbl>
      <w:tblPr>
        <w:tblStyle w:val="Table1"/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start w:val="single" w:sz="36" w:space="0" w:color="1B365D"/>
            </w:tcBorders>
            <w:shd w:fill="F0F4F8" w:val="clear"/>
          </w:tcPr>
          <w:p>
            <w:pPr>
              <w:pStyle w:val="normal1"/>
              <w:spacing w:lineRule="auto" w:line="240" w:before="40" w:after="80"/>
              <w:rPr/>
            </w:pP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 xml:space="preserve">Informações do Projeto </w:t>
            </w:r>
            <w:r>
              <w:rPr>
                <w:b/>
                <w:bCs/>
                <w:color w:val="1B365D"/>
                <w:sz w:val="24"/>
                <w:szCs w:val="24"/>
              </w:rPr>
              <w:t>e Ambiente</w:t>
            </w: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 xml:space="preserve"> de Execução</w:t>
              <w:br/>
            </w:r>
            <w:r>
              <w:rPr>
                <w:rFonts w:eastAsia="Calibri" w:cs="Calibri"/>
                <w:color w:val="2D3748"/>
                <w:sz w:val="22"/>
                <w:szCs w:val="22"/>
              </w:rPr>
              <w:t>• Caderno Central no NotebookLM: The Master Guide to Prompt Engineering</w:t>
              <w:br/>
              <w:t>• Link de Acesso ao Notebook: https://gemini.google.com/notebook/5ad21bb8-4ea4-4d4b-aca7-39b4e6ef5bb2</w:t>
              <w:br/>
              <w:t>• Objetivo da Entrega: Responder de forma estruturada aos três eixos do desafio: (1) Curadoria de Fontes de alta densidade técnica, (2) Engenharia de Prompts e Cicatrizes de Troubleshooting, e (3) Miniguia de Estudo Consolidado com resumos, glossário e prompts reutilizáveis.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1"/>
        <w:spacing w:lineRule="auto" w:line="240" w:before="280" w:after="120"/>
        <w:rPr/>
      </w:pPr>
      <w:r>
        <w:rPr>
          <w:rFonts w:eastAsia="Calibri" w:cs="Calibri"/>
          <w:b/>
          <w:bCs/>
          <w:color w:val="1B365D"/>
          <w:sz w:val="36"/>
          <w:szCs w:val="36"/>
        </w:rPr>
        <w:t>1. Curadoria de Fontes</w:t>
      </w:r>
    </w:p>
    <w:tbl>
      <w:tblPr>
        <w:tblStyle w:val="Table2"/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start w:val="single" w:sz="36" w:space="0" w:color="1B365D"/>
            </w:tcBorders>
            <w:shd w:fill="F0F4F8" w:val="clear"/>
          </w:tcPr>
          <w:p>
            <w:pPr>
              <w:pStyle w:val="normal1"/>
              <w:spacing w:lineRule="auto" w:line="240" w:before="40" w:after="80"/>
              <w:rPr/>
            </w:pP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 xml:space="preserve"> </w:t>
            </w: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>Desafio Respondido: Curadoria de Fontes</w:t>
              <w:br/>
            </w:r>
            <w:r>
              <w:rPr>
                <w:rFonts w:eastAsia="Calibri" w:cs="Calibri"/>
                <w:color w:val="2D3748"/>
                <w:sz w:val="22"/>
                <w:szCs w:val="22"/>
              </w:rPr>
              <w:t>« Liste e disponibilize (ou insira os links) de 3 a 5 fontes abertas em texto ou PDF que você selecionou e fez o upload no NotebookLM. »</w:t>
              <w:br/>
              <w:br/>
              <w:t>Para garantir o máximo rigor conceitual e auditoria factual, foram selecionadas e carregadas no caderno 8 fontes abertas de alta densidade técnica (papers seminais, guias da indústria, frameworks governamentais e metodologias de segurança).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p>
      <w:pPr>
        <w:pStyle w:val="normal1"/>
        <w:spacing w:lineRule="auto" w:line="240" w:before="80" w:after="40"/>
        <w:ind w:hanging="0" w:start="288"/>
        <w:rPr/>
      </w:pPr>
      <w:r>
        <w:rPr>
          <w:b/>
          <w:bCs/>
        </w:rPr>
        <w:t xml:space="preserve">1. </w:t>
      </w:r>
      <w:hyperlink r:id="rId2">
        <w:r>
          <w:rPr>
            <w:rStyle w:val="Style"/>
            <w:b/>
            <w:bCs/>
            <w:color w:val="1B365D"/>
            <w:u w:val="single"/>
          </w:rPr>
          <w:t>Attention Is All You Need (Vaswani et al., 2017)</w:t>
        </w:r>
      </w:hyperlink>
    </w:p>
    <w:p>
      <w:pPr>
        <w:pStyle w:val="normal1"/>
        <w:spacing w:lineRule="auto" w:line="240" w:before="0" w:after="120"/>
        <w:ind w:hanging="0" w:start="576"/>
        <w:rPr/>
      </w:pPr>
      <w:r>
        <w:rPr>
          <w:color w:val="4A5568"/>
          <w:sz w:val="22"/>
          <w:szCs w:val="22"/>
        </w:rPr>
        <w:t xml:space="preserve">• </w:t>
      </w:r>
      <w:r>
        <w:rPr>
          <w:color w:val="4A5568"/>
          <w:sz w:val="22"/>
          <w:szCs w:val="22"/>
        </w:rPr>
        <w:t>Tipo de Fonte: Paper Científico Seminal (PDF / NIPS / arXiv:1706.03762)</w:t>
        <w:br/>
        <w:t>• Papel no Caderno: Artigo fundador da IA generativa moderna. Introduz a arquitetura Transformer e o mecanismo de autoatenção (Scaled Dot-Product e Multi-Head Attention), eliminando a necessidade de recorrência temporal (RNNs/LSTMs) e viabilizando o treinamento paralelo em larga escala.</w:t>
      </w:r>
    </w:p>
    <w:p>
      <w:pPr>
        <w:pStyle w:val="normal1"/>
        <w:spacing w:lineRule="auto" w:line="240" w:before="80" w:after="40"/>
        <w:ind w:hanging="0" w:start="288"/>
        <w:rPr/>
      </w:pPr>
      <w:r>
        <w:rPr>
          <w:b/>
          <w:bCs/>
        </w:rPr>
        <w:t xml:space="preserve">2. </w:t>
      </w:r>
      <w:hyperlink r:id="rId3">
        <w:r>
          <w:rPr>
            <w:rStyle w:val="Style"/>
            <w:b/>
            <w:bCs/>
            <w:color w:val="1B365D"/>
            <w:u w:val="single"/>
          </w:rPr>
          <w:t>DAIR.AI - Advanced Prompt Engineering &amp; Grounding Guide</w:t>
        </w:r>
      </w:hyperlink>
    </w:p>
    <w:p>
      <w:pPr>
        <w:pStyle w:val="normal1"/>
        <w:spacing w:lineRule="auto" w:line="240" w:before="0" w:after="120"/>
        <w:ind w:hanging="0" w:start="576"/>
        <w:rPr/>
      </w:pPr>
      <w:r>
        <w:rPr>
          <w:color w:val="4A5568"/>
          <w:sz w:val="22"/>
          <w:szCs w:val="22"/>
        </w:rPr>
        <w:t xml:space="preserve">• </w:t>
      </w:r>
      <w:r>
        <w:rPr>
          <w:color w:val="4A5568"/>
          <w:sz w:val="22"/>
          <w:szCs w:val="22"/>
        </w:rPr>
        <w:t>Tipo de Fonte: Guia Técnico Aberto / Documentação da Indústria</w:t>
        <w:br/>
        <w:t>• Papel no Caderno: Guia de referência da indústria para padrões avançados de prompting (Zero-Shot, Few-Shot, Chain-of-Thought, ReAct e Self-Consistency), bem como técnicas de higiene de contexto e ancoragem estrita para mitigação de alucinações.</w:t>
      </w:r>
    </w:p>
    <w:p>
      <w:pPr>
        <w:pStyle w:val="normal1"/>
        <w:spacing w:lineRule="auto" w:line="240" w:before="80" w:after="40"/>
        <w:ind w:hanging="0" w:start="288"/>
        <w:rPr/>
      </w:pPr>
      <w:r>
        <w:rPr>
          <w:b/>
          <w:bCs/>
        </w:rPr>
        <w:t xml:space="preserve">3. </w:t>
      </w:r>
      <w:hyperlink r:id="rId4">
        <w:r>
          <w:rPr>
            <w:rStyle w:val="Style"/>
            <w:b/>
            <w:bCs/>
            <w:color w:val="1B365D"/>
            <w:u w:val="single"/>
          </w:rPr>
          <w:t>NIST Artificial Intelligence Risk Management Framework (AI RMF 1.0 - NIST.AI.100-1)</w:t>
        </w:r>
      </w:hyperlink>
    </w:p>
    <w:p>
      <w:pPr>
        <w:pStyle w:val="normal1"/>
        <w:spacing w:lineRule="auto" w:line="240" w:before="0" w:after="120"/>
        <w:ind w:hanging="0" w:start="576"/>
        <w:rPr/>
      </w:pPr>
      <w:r>
        <w:rPr>
          <w:color w:val="4A5568"/>
          <w:sz w:val="22"/>
          <w:szCs w:val="22"/>
        </w:rPr>
        <w:t xml:space="preserve">• </w:t>
      </w:r>
      <w:r>
        <w:rPr>
          <w:color w:val="4A5568"/>
          <w:sz w:val="22"/>
          <w:szCs w:val="22"/>
        </w:rPr>
        <w:t>Tipo de Fonte: Framework Oficial Governamental de Gestão de Riscos (PDF / NIST)</w:t>
        <w:br/>
        <w:t>• Papel no Caderno: Referência global para governança e segurança de IA. Estrutura a gestão de riscos nas funções GOVERN, MAP, MEASURE e MANAGE, estabelecendo taxonomias para danos (Pessoas, Organizações e Ecossistemas) e categorias de vieses.</w:t>
      </w:r>
    </w:p>
    <w:p>
      <w:pPr>
        <w:pStyle w:val="normal1"/>
        <w:spacing w:lineRule="auto" w:line="240" w:before="80" w:after="40"/>
        <w:ind w:hanging="0" w:start="288"/>
        <w:rPr/>
      </w:pPr>
      <w:r>
        <w:rPr>
          <w:b/>
          <w:bCs/>
        </w:rPr>
        <w:t xml:space="preserve">4. </w:t>
      </w:r>
      <w:hyperlink r:id="rId5">
        <w:r>
          <w:rPr>
            <w:rStyle w:val="Style"/>
            <w:b/>
            <w:bCs/>
            <w:color w:val="1B365D"/>
            <w:u w:val="single"/>
          </w:rPr>
          <w:t>Artificial Intelligence Auditing Framework - The Institute of Internal Auditors (IIA, 2024)</w:t>
        </w:r>
      </w:hyperlink>
    </w:p>
    <w:p>
      <w:pPr>
        <w:pStyle w:val="normal1"/>
        <w:spacing w:lineRule="auto" w:line="240" w:before="0" w:after="120"/>
        <w:ind w:hanging="0" w:start="576"/>
        <w:rPr/>
      </w:pPr>
      <w:r>
        <w:rPr>
          <w:color w:val="4A5568"/>
          <w:sz w:val="22"/>
          <w:szCs w:val="22"/>
        </w:rPr>
        <w:t xml:space="preserve">• </w:t>
      </w:r>
      <w:r>
        <w:rPr>
          <w:color w:val="4A5568"/>
          <w:sz w:val="22"/>
          <w:szCs w:val="22"/>
        </w:rPr>
        <w:t>Tipo de Fonte: Framework Profissional de Auditoria Interna (PDF / IIA)</w:t>
        <w:br/>
        <w:t>• Papel no Caderno: Guia prático para auditoria de controles internos, integridade de dados e governança corporativa em sistemas de aprendizado de máquina e LLMs nas organizações.</w:t>
      </w:r>
    </w:p>
    <w:p>
      <w:pPr>
        <w:pStyle w:val="normal1"/>
        <w:spacing w:lineRule="auto" w:line="240" w:before="80" w:after="40"/>
        <w:ind w:hanging="0" w:start="288"/>
        <w:rPr/>
      </w:pPr>
      <w:r>
        <w:rPr>
          <w:b/>
          <w:bCs/>
        </w:rPr>
        <w:t xml:space="preserve">5. </w:t>
      </w:r>
      <w:hyperlink r:id="rId6">
        <w:r>
          <w:rPr>
            <w:rStyle w:val="Style"/>
            <w:b/>
            <w:bCs/>
            <w:color w:val="1B365D"/>
            <w:u w:val="single"/>
          </w:rPr>
          <w:t>AI Red Teaming Methodology - Hacken Docs (v1.0)</w:t>
        </w:r>
      </w:hyperlink>
    </w:p>
    <w:p>
      <w:pPr>
        <w:pStyle w:val="normal1"/>
        <w:spacing w:lineRule="auto" w:line="240" w:before="0" w:after="120"/>
        <w:ind w:hanging="0" w:start="576"/>
        <w:rPr/>
      </w:pPr>
      <w:r>
        <w:rPr>
          <w:color w:val="4A5568"/>
          <w:sz w:val="22"/>
          <w:szCs w:val="22"/>
        </w:rPr>
        <w:t xml:space="preserve">• </w:t>
      </w:r>
      <w:r>
        <w:rPr>
          <w:color w:val="4A5568"/>
          <w:sz w:val="22"/>
          <w:szCs w:val="22"/>
        </w:rPr>
        <w:t>Tipo de Fonte: Metodologia Aberta de Cibersegurança e Testes Adversariais</w:t>
        <w:br/>
        <w:t>• Papel no Caderno: Aborda a execução prática de testes de invasão e resiliência em aplicações de IA, cobrindo vetores como injeção de prompt direta e indireta, envenenamento de dados (data poisoning) e exploração de privilégios em agentes e pipelines RAG.</w:t>
      </w:r>
    </w:p>
    <w:p>
      <w:pPr>
        <w:pStyle w:val="normal1"/>
        <w:spacing w:lineRule="auto" w:line="240" w:before="80" w:after="40"/>
        <w:ind w:hanging="0" w:start="288"/>
        <w:rPr/>
      </w:pPr>
      <w:r>
        <w:rPr>
          <w:b/>
          <w:bCs/>
        </w:rPr>
        <w:t xml:space="preserve">6. </w:t>
      </w:r>
      <w:hyperlink r:id="rId7">
        <w:r>
          <w:rPr>
            <w:rStyle w:val="Style"/>
            <w:b/>
            <w:bCs/>
            <w:color w:val="1B365D"/>
            <w:u w:val="single"/>
          </w:rPr>
          <w:t>Overview of ISO/IEC 42001 (AI Management System) - UNIDO / Microsoft</w:t>
        </w:r>
      </w:hyperlink>
    </w:p>
    <w:p>
      <w:pPr>
        <w:pStyle w:val="normal1"/>
        <w:spacing w:lineRule="auto" w:line="240" w:before="0" w:after="120"/>
        <w:ind w:hanging="0" w:start="576"/>
        <w:rPr/>
      </w:pPr>
      <w:r>
        <w:rPr>
          <w:color w:val="4A5568"/>
          <w:sz w:val="22"/>
          <w:szCs w:val="22"/>
        </w:rPr>
        <w:t xml:space="preserve">• </w:t>
      </w:r>
      <w:r>
        <w:rPr>
          <w:color w:val="4A5568"/>
          <w:sz w:val="22"/>
          <w:szCs w:val="22"/>
        </w:rPr>
        <w:t>Tipo de Fonte: Relatório Técnico / Norma Internacional de Gestão de IA (PDF)</w:t>
        <w:br/>
        <w:t>• Papel no Caderno: Visão geral e diretrizes de conformidade para a certificação ISO/IEC 42001, detalhando como estabelecer, manter e auditar um Sistema de Gestão de IA confiável e seguro.</w:t>
      </w:r>
    </w:p>
    <w:p>
      <w:pPr>
        <w:pStyle w:val="normal1"/>
        <w:spacing w:lineRule="auto" w:line="240" w:before="80" w:after="40"/>
        <w:ind w:hanging="0" w:start="288"/>
        <w:rPr/>
      </w:pPr>
      <w:r>
        <w:rPr>
          <w:b/>
          <w:bCs/>
        </w:rPr>
        <w:t xml:space="preserve">7. </w:t>
      </w:r>
      <w:hyperlink r:id="rId8">
        <w:r>
          <w:rPr>
            <w:rStyle w:val="Style"/>
            <w:b/>
            <w:bCs/>
            <w:color w:val="1B365D"/>
            <w:u w:val="single"/>
          </w:rPr>
          <w:t>Data, Context &amp; RAG Lineage Governance for Enterprise AI Agents - DEV Community</w:t>
        </w:r>
      </w:hyperlink>
    </w:p>
    <w:p>
      <w:pPr>
        <w:pStyle w:val="normal1"/>
        <w:spacing w:lineRule="auto" w:line="240" w:before="0" w:after="120"/>
        <w:ind w:hanging="0" w:start="576"/>
        <w:rPr/>
      </w:pPr>
      <w:r>
        <w:rPr>
          <w:color w:val="4A5568"/>
          <w:sz w:val="22"/>
          <w:szCs w:val="22"/>
        </w:rPr>
        <w:t xml:space="preserve">• </w:t>
      </w:r>
      <w:r>
        <w:rPr>
          <w:color w:val="4A5568"/>
          <w:sz w:val="22"/>
          <w:szCs w:val="22"/>
        </w:rPr>
        <w:t>Tipo de Fonte: Artigo Técnico / Engenharia de Contexto</w:t>
        <w:br/>
        <w:t>• Papel no Caderno: Discute a governança da linhagem de contexto em aplicações RAG corporativas, enfatizando rastreabilidade de dados, higienização de índices vetoriais e prevenção de vazamentos de dados confidenciais.</w:t>
      </w:r>
    </w:p>
    <w:p>
      <w:pPr>
        <w:pStyle w:val="normal1"/>
        <w:spacing w:lineRule="auto" w:line="240" w:before="80" w:after="40"/>
        <w:ind w:hanging="0" w:start="288"/>
        <w:rPr/>
      </w:pPr>
      <w:r>
        <w:rPr>
          <w:b/>
          <w:bCs/>
        </w:rPr>
        <w:t xml:space="preserve">8. </w:t>
      </w:r>
      <w:hyperlink r:id="rId9">
        <w:r>
          <w:rPr>
            <w:rStyle w:val="Style"/>
            <w:b/>
            <w:bCs/>
            <w:color w:val="1B365D"/>
            <w:u w:val="single"/>
          </w:rPr>
          <w:t>Simulating a Bias Mitigation Scenario in Large Language Models - arXiv (2025)</w:t>
        </w:r>
      </w:hyperlink>
    </w:p>
    <w:p>
      <w:pPr>
        <w:pStyle w:val="normal1"/>
        <w:spacing w:lineRule="auto" w:line="240" w:before="0" w:after="120"/>
        <w:ind w:hanging="0" w:start="576"/>
        <w:rPr/>
      </w:pPr>
      <w:r>
        <w:rPr>
          <w:color w:val="4A5568"/>
          <w:sz w:val="22"/>
          <w:szCs w:val="22"/>
        </w:rPr>
        <w:t xml:space="preserve">• </w:t>
      </w:r>
      <w:r>
        <w:rPr>
          <w:color w:val="4A5568"/>
          <w:sz w:val="22"/>
          <w:szCs w:val="22"/>
        </w:rPr>
        <w:t>Tipo de Fonte: Paper Técnico de Pesquisa em Equidade e Vieses (PDF / arXiv:2509.14438)</w:t>
        <w:br/>
        <w:t>• Papel no Caderno: Apresenta métodos empíricos e matemáticos de mitigação de viés algorítmico em LLMs, comparando abordagens no pré-processamento (oversampling, re-weighting), no treinamento (loss weighting), no pós-processamento (Equalized Odds) e via modelagem causal.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lineRule="auto" w:line="240" w:before="0" w:after="120"/>
        <w:rPr/>
      </w:pPr>
      <w:r>
        <w:rPr>
          <w:rFonts w:eastAsia="Calibri" w:cs="Calibri"/>
          <w:b/>
          <w:bCs/>
          <w:color w:val="1B365D"/>
          <w:sz w:val="36"/>
          <w:szCs w:val="36"/>
        </w:rPr>
        <w:t>2. Engenharia de Prompts e "Cicatrizes" (Troubleshooting)</w:t>
      </w:r>
    </w:p>
    <w:tbl>
      <w:tblPr>
        <w:tblStyle w:val="Table3"/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start w:val="single" w:sz="36" w:space="0" w:color="1B365D"/>
            </w:tcBorders>
            <w:shd w:fill="F0F4F8" w:val="clear"/>
          </w:tcPr>
          <w:p>
            <w:pPr>
              <w:pStyle w:val="normal1"/>
              <w:spacing w:lineRule="auto" w:line="240" w:before="40" w:after="80"/>
              <w:rPr/>
            </w:pP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 xml:space="preserve"> </w:t>
            </w: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>Desafio Respondido: Engenharia de Prompts e Cicatrizes</w:t>
              <w:br/>
            </w:r>
            <w:r>
              <w:rPr>
                <w:rFonts w:eastAsia="Calibri" w:cs="Calibri"/>
                <w:color w:val="2D3748"/>
                <w:sz w:val="22"/>
                <w:szCs w:val="22"/>
              </w:rPr>
              <w:t>« Documente as perguntas estratégicas que você elaborou e as variações de prompts que testou. Dica de ouro: registre as respostas obtidas, suas referências e também as dificuldades que encontrou para extrair a melhor resposta da IA (troubleshooting). O mercado valoriza profissionais que mostram o raciocínio por trás dos resultados! »</w:t>
              <w:br/>
              <w:br/>
              <w:t>Abaixo estão documentadas as 3 perguntas estratégicas executadas diretamente no Google NotebookLM, as respostas e citações geradas a partir das fontes indexadas e os aprendizados práticos de troubleshooting obtidos.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spacing w:lineRule="auto" w:line="240" w:before="240" w:after="80"/>
        <w:rPr/>
      </w:pPr>
      <w:r>
        <w:rPr>
          <w:rFonts w:eastAsia="Calibri" w:cs="Calibri"/>
          <w:b/>
          <w:bCs/>
          <w:color w:val="1B365D"/>
          <w:sz w:val="30"/>
          <w:szCs w:val="30"/>
        </w:rPr>
        <w:t>Caso 1: Síntese de Técnicas Anti-Alucinação e Taxonomia de Riscos de IA</w:t>
      </w:r>
    </w:p>
    <w:p>
      <w:pPr>
        <w:pStyle w:val="normal1"/>
        <w:spacing w:lineRule="auto" w:line="240" w:before="40" w:after="80"/>
        <w:rPr/>
      </w:pPr>
      <w:r>
        <w:rPr>
          <w:b/>
          <w:bCs/>
          <w:color w:val="1B365D"/>
        </w:rPr>
        <w:t xml:space="preserve">Prompt Estratégico Enviado: </w:t>
      </w:r>
      <w:r>
        <w:rPr>
          <w:i/>
          <w:iCs/>
        </w:rPr>
        <w:t>"Com base nas fontes, resuma as principais técnicas para evitar alucinações e a taxonomia de riscos de IA."</w:t>
      </w:r>
    </w:p>
    <w:tbl>
      <w:tblPr>
        <w:tblStyle w:val="Table4"/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start w:val="single" w:sz="36" w:space="0" w:color="2B6CB0"/>
            </w:tcBorders>
            <w:shd w:fill="F7FAFC" w:val="clear"/>
          </w:tcPr>
          <w:p>
            <w:pPr>
              <w:pStyle w:val="normal1"/>
              <w:spacing w:lineRule="auto" w:line="240" w:before="40" w:after="80"/>
              <w:rPr/>
            </w:pP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>Resposta &amp; Citações Obtidas no NotebookLM</w:t>
              <w:br/>
            </w:r>
            <w:r>
              <w:rPr>
                <w:rFonts w:eastAsia="Calibri" w:cs="Calibri"/>
                <w:color w:val="2D3748"/>
                <w:sz w:val="22"/>
                <w:szCs w:val="22"/>
              </w:rPr>
              <w:t>O NotebookLM consolidou a resposta em dois grandes blocos estritamente ancorados:</w:t>
              <w:br/>
              <w:br/>
              <w:t>1. Técnicas para Evitar Alucinações:</w:t>
              <w:br/>
              <w:t xml:space="preserve">   • RAG (Geração Aumentada por Recuperação): Acopla a memória paramétrica do modelo (pesos pré-treinados) a uma memória não paramétrica (índice de documentos verificados), gerando respostas rastreáveis com citações auditáveis [1].</w:t>
              <w:br/>
              <w:t xml:space="preserve">   • Ancoragem Estrita (Strict Grounding) e Cláusulas de Escape: Instruções explícitas restringindo o modelo ao contexto fornecido e obrigando a declarar a ausência de informação quando o tópico não constar no material [2][3][4].</w:t>
              <w:br/>
              <w:t xml:space="preserve">   • Engenharia de Prompt Estruturada: Emprego de Few-Shot (demonstrações no contexto) [5], Chain-of-Thought (etapas lógicas intermediárias) [6] e Self-Consistency (amostragem de múltiplos caminhos de raciocínio) [6].</w:t>
              <w:br/>
              <w:t xml:space="preserve">   • Restrições de Formato e Higiene de Contexto: Formatação rígida (JSON/Markdown) e sanitização prévia do contexto contra injeções [2][7].</w:t>
              <w:br/>
              <w:br/>
              <w:t>2. Taxonomia de Riscos de IA (NIST AI RMF 1.0 &amp; Red Teaming):</w:t>
              <w:br/>
              <w:t xml:space="preserve">   • Categorias de Danos: Pessoas (individuais, grupais, societários), Organizações (operações e reputação) e Ecossistemas (cadeias globais e recursos) [8].</w:t>
              <w:br/>
              <w:t xml:space="preserve">   • Vieses em IA: Sistêmico (estruturas sociais e históricas), Computacional/Estatístico (amostragem e dados) e Humano-Cognitivo (heurísticas dos operadores) [9].</w:t>
              <w:br/>
              <w:t xml:space="preserve">   • Vulnerabilidades Técnicas: Injeção de prompt (direta/indireta) [10][11], opacidade/caixa-preta [12][13], envenenamento de dados (data poisoning) [11][14] e autonomia excessiva de agentes sem isolamento de privilégios [11][15].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tbl>
      <w:tblPr>
        <w:tblStyle w:val="Table5"/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start w:val="single" w:sz="36" w:space="0" w:color="D69E2E"/>
            </w:tcBorders>
            <w:shd w:fill="FFFAF0" w:val="clear"/>
          </w:tcPr>
          <w:p>
            <w:pPr>
              <w:pStyle w:val="normal1"/>
              <w:spacing w:lineRule="auto" w:line="240" w:before="40" w:after="80"/>
              <w:rPr/>
            </w:pP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 xml:space="preserve"> </w:t>
            </w: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>Diagnóstico de Troubleshooting &amp; Cicatriz de Aprendizado</w:t>
              <w:br/>
            </w:r>
            <w:r>
              <w:rPr>
                <w:rFonts w:eastAsia="Calibri" w:cs="Calibri"/>
                <w:color w:val="2D3748"/>
                <w:sz w:val="22"/>
                <w:szCs w:val="22"/>
              </w:rPr>
              <w:t>• Desafio Identificado: Ao formular uma pergunta que une dois temas muito densos (técnicas de prompting + taxonomia de riscos), o modelo corre o risco de resumir excessivamente os conceitos ou omitir detalhes operacionais.</w:t>
              <w:br/>
              <w:t>• Raciocínio &amp; Diagnóstico: A ancoragem estrita do NotebookLM comprovou que, mesmo agrupando dois tópicos amplos, o sistema não alucinou nem adicionou conceitos externos da internet aberta. Cada afirmação foi respaldada por marcadores de citação específicos correspondentes aos trechos do NIST AI RMF e do guia DAIR.AI.</w:t>
              <w:br/>
              <w:t>• Aprendizado Prático: Em ambientes de produção e pipelines RAG, é fundamental acoplar regras de validação estruturada para que respostas complexas sejam divididas em subseções delimitadas, evitando respostas truncadas.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spacing w:lineRule="auto" w:line="240" w:before="240" w:after="80"/>
        <w:rPr/>
      </w:pPr>
      <w:r>
        <w:rPr>
          <w:rFonts w:eastAsia="Calibri" w:cs="Calibri"/>
          <w:b/>
          <w:bCs/>
          <w:color w:val="1B365D"/>
          <w:sz w:val="30"/>
          <w:szCs w:val="30"/>
        </w:rPr>
        <w:t>Caso 2: Síntese Arquitetural Comparativa (Transformers vs. RNNs/LSTMs)</w:t>
      </w:r>
    </w:p>
    <w:p>
      <w:pPr>
        <w:pStyle w:val="normal1"/>
        <w:spacing w:lineRule="auto" w:line="240" w:before="40" w:after="80"/>
        <w:rPr/>
      </w:pPr>
      <w:r>
        <w:rPr>
          <w:b/>
          <w:bCs/>
          <w:color w:val="1B365D"/>
        </w:rPr>
        <w:t xml:space="preserve"> </w:t>
      </w:r>
      <w:r>
        <w:rPr>
          <w:b/>
          <w:bCs/>
          <w:color w:val="1B365D"/>
        </w:rPr>
        <w:t xml:space="preserve">Prompt Estratégico Enviado: </w:t>
      </w:r>
      <w:r>
        <w:rPr>
          <w:i/>
          <w:iCs/>
        </w:rPr>
        <w:t>"Explique por que o Transformer é melhor do que as redes neurais antigas (RNNs)."</w:t>
      </w:r>
    </w:p>
    <w:tbl>
      <w:tblPr>
        <w:tblStyle w:val="Table6"/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start w:val="single" w:sz="36" w:space="0" w:color="2B6CB0"/>
            </w:tcBorders>
            <w:shd w:fill="F7FAFC" w:val="clear"/>
          </w:tcPr>
          <w:p>
            <w:pPr>
              <w:pStyle w:val="normal1"/>
              <w:spacing w:lineRule="auto" w:line="240" w:before="40" w:after="80"/>
              <w:rPr/>
            </w:pP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 xml:space="preserve"> </w:t>
            </w: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>Resposta &amp; Citações Obtidas no NotebookLM</w:t>
              <w:br/>
            </w:r>
            <w:r>
              <w:rPr>
                <w:rFonts w:eastAsia="Calibri" w:cs="Calibri"/>
                <w:color w:val="2D3748"/>
                <w:sz w:val="22"/>
                <w:szCs w:val="22"/>
              </w:rPr>
              <w:t>O NotebookLM detalhou quatro pilares estruturais e matemáticos fundamentados diretamente no paper de Vaswani et al. (Attention Is All You Need):</w:t>
              <w:br/>
              <w:br/>
              <w:t>1. Eliminação da Recorrência e Paralelização do Treinamento: As redes recorrentes operam de forma estritamente sequencial, gerando um gargalo que impede a paralelização [1]. O Transformer descarta recorrência e convoluções, usando apenas autoatenção, permitindo processar todas as palavras simultaneamente e viabilizando paralelização massiva em GPUs [1][3][15].</w:t>
              <w:br/>
              <w:t>2. Captura Eficiente de Dependências de Longo Alcance: Em RNNs, a informação percorre toda a cadeia temporal, degradando o sinal em contextos longos [3]. No Transformer, a distância computacional entre quaisquer duas posições é reduzida a um número constante O(1) de operações, facilitando o aprendizado de relações distantes [3][4][6].</w:t>
              <w:br/>
              <w:t>3. Mecanismo de Multi-Head Self-Attention: A atenção multicabeça executa projeções paralelas em múltiplos subespaços lineares, permitindo correlacionar simultaneamente aspectos sintáticos, semânticos e posicionais [3][9][10].</w:t>
              <w:br/>
              <w:t>4. Desempenho Superior com Menor Custo Computacional: No benchmark WMT 2014, o modelo superou conjuntos anteriores exigindo apenas uma fração do custo de treinamento (FLOPs) de arquiteturas recorrentes [1].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tbl>
      <w:tblPr>
        <w:tblStyle w:val="Table7"/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start w:val="single" w:sz="36" w:space="0" w:color="D69E2E"/>
            </w:tcBorders>
            <w:shd w:fill="FFFAF0" w:val="clear"/>
          </w:tcPr>
          <w:p>
            <w:pPr>
              <w:pStyle w:val="normal1"/>
              <w:spacing w:lineRule="auto" w:line="240" w:before="40" w:after="80"/>
              <w:rPr/>
            </w:pP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>Diagnóstico de Troubleshooting &amp; Cicatriz de Aprendizado</w:t>
              <w:br/>
            </w:r>
            <w:r>
              <w:rPr>
                <w:rFonts w:eastAsia="Calibri" w:cs="Calibri"/>
                <w:color w:val="2D3748"/>
                <w:sz w:val="22"/>
                <w:szCs w:val="22"/>
              </w:rPr>
              <w:t>• Desafio Identificado: Perguntas comparativas do tipo 'por que X é melhor que Y' costumam induzir LLMs genéricos a respostas superficiais ('porque é mais moderno e veloz').</w:t>
              <w:br/>
              <w:t>• Raciocínio &amp; Diagnóstico: Graças à presença do PDF integral de Vaswani et al. no caderno, o modelo conseguiu extrair justificativas matemáticas rigorosas (como o tempo de caminho O(1) e o custo em FLOPs), em vez de ficar em generalidades.</w:t>
              <w:br/>
              <w:t>• Aprendizado Prático: O valor real da engenharia de contexto no NotebookLM está na qualidade das fontes primárias: alimentá-lo com artigos seminais garante que a IA utilize argumentos técnicos auditáveis em vez de analogias vagas.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spacing w:lineRule="auto" w:line="240" w:before="240" w:after="80"/>
        <w:rPr/>
      </w:pPr>
      <w:r>
        <w:rPr>
          <w:rFonts w:eastAsia="Calibri" w:cs="Calibri"/>
          <w:b/>
          <w:bCs/>
          <w:color w:val="1B365D"/>
          <w:sz w:val="30"/>
          <w:szCs w:val="30"/>
        </w:rPr>
        <w:t>Caso 3: Mandamentos Práticos de Prompting e Mitigação Multietapa de Viés</w:t>
      </w:r>
    </w:p>
    <w:p>
      <w:pPr>
        <w:pStyle w:val="normal1"/>
        <w:spacing w:lineRule="auto" w:line="240" w:before="40" w:after="80"/>
        <w:rPr/>
      </w:pPr>
      <w:r>
        <w:rPr>
          <w:b/>
          <w:bCs/>
          <w:color w:val="1B365D"/>
        </w:rPr>
        <w:t xml:space="preserve">Prompt Estratégico Enviado: </w:t>
      </w:r>
      <w:r>
        <w:rPr>
          <w:i/>
          <w:iCs/>
        </w:rPr>
        <w:t>"Me dê os mandamentos da engenharia de prompts e mitigação de viés em IA."</w:t>
      </w:r>
    </w:p>
    <w:tbl>
      <w:tblPr>
        <w:tblStyle w:val="Table8"/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start w:val="single" w:sz="36" w:space="0" w:color="2B6CB0"/>
            </w:tcBorders>
            <w:shd w:fill="F7FAFC" w:val="clear"/>
          </w:tcPr>
          <w:p>
            <w:pPr>
              <w:pStyle w:val="normal1"/>
              <w:spacing w:lineRule="auto" w:line="240" w:before="40" w:after="80"/>
              <w:rPr/>
            </w:pP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 xml:space="preserve"> </w:t>
            </w: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>Resposta &amp; Citações Obtidas no NotebookLM</w:t>
              <w:br/>
            </w:r>
            <w:r>
              <w:rPr>
                <w:rFonts w:eastAsia="Calibri" w:cs="Calibri"/>
                <w:color w:val="2D3748"/>
                <w:sz w:val="22"/>
                <w:szCs w:val="22"/>
              </w:rPr>
              <w:t>O NotebookLM estruturou os 'mandamentos' diretamente a partir das diretrizes da DAIR.AI e do paper de mitigação de viés (arXiv:2509.14438):</w:t>
              <w:br/>
              <w:br/>
              <w:t>1. Mandamentos da Engenharia de Prompts:</w:t>
              <w:br/>
              <w:t xml:space="preserve">   • Exija Ancoragem Estrita (Strict Grounding) e proíba inferências externas [1][2].</w:t>
              <w:br/>
              <w:t xml:space="preserve">   • Insira uma Cláusula de Escape Obrigatória para tópicos não abordados [1][2].</w:t>
              <w:br/>
              <w:t xml:space="preserve">   • Demonstre Exemplos em Contexto (Few-Shot Prompting) para fixar o padrão [3].</w:t>
              <w:br/>
              <w:t xml:space="preserve">   • Instigue o Raciocínio Etapa por Etapa (Chain-of-Thought e Self-Consistency) [4].</w:t>
              <w:br/>
              <w:t xml:space="preserve">   • Aplique Restrições Rígidas de Formato (tabelas e JSON) para evitar dispersão [1][2].</w:t>
              <w:br/>
              <w:t xml:space="preserve">   • Acople Memória Paramétrica a Fontes Externas (RAG) para gerar citações auditáveis [5].</w:t>
              <w:br/>
              <w:br/>
              <w:t>2. Mandamentos da Mitigação de Viés em IA:</w:t>
              <w:br/>
              <w:t xml:space="preserve">   • Intervenha no Pré-Processamento: Balanceamento e reponderação (Oversampling / Re-weighting) [6][7].</w:t>
              <w:br/>
              <w:t xml:space="preserve">   • Ajuste as Funções de Perda no Treino: Loss Weighting e regularização adversarial [6][8].</w:t>
              <w:br/>
              <w:t xml:space="preserve">   • Calibre Limiares no Pós-Processamento: Equalized Odds pós-processado para equilibrar taxas de erro [6].</w:t>
              <w:br/>
              <w:t xml:space="preserve">   • Adote Modelagem Causal: Grafos causais para geração de dados justos (Fair Data Generation) [10][11].</w:t>
              <w:br/>
              <w:t xml:space="preserve">   • Mapeie as Três Categorias de Viés do NIST: Sistêmico, Computacional e Humano [12].</w:t>
              <w:br/>
              <w:t xml:space="preserve">   • Avalie o Impacto nos Três Níveis de Dano: Pessoas, Organizações e Ecossistema [13].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tbl>
      <w:tblPr>
        <w:tblStyle w:val="Table9"/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start w:val="single" w:sz="36" w:space="0" w:color="D69E2E"/>
            </w:tcBorders>
            <w:shd w:fill="FFFAF0" w:val="clear"/>
          </w:tcPr>
          <w:p>
            <w:pPr>
              <w:pStyle w:val="normal1"/>
              <w:spacing w:lineRule="auto" w:line="240" w:before="40" w:after="80"/>
              <w:rPr/>
            </w:pP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 xml:space="preserve"> </w:t>
            </w: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>Diagnóstico de Troubleshooting &amp; Cicatriz de Aprendizado</w:t>
              <w:br/>
            </w:r>
            <w:r>
              <w:rPr>
                <w:rFonts w:eastAsia="Calibri" w:cs="Calibri"/>
                <w:color w:val="2D3748"/>
                <w:sz w:val="22"/>
                <w:szCs w:val="22"/>
              </w:rPr>
              <w:t>• Desafio Identificado: O termo informal 'mandamentos' poderia provocar respostas opinativas, conselhos genéricos da internet ou alucinações de estilo.</w:t>
              <w:br/>
              <w:t>• Raciocínio &amp; Diagnóstico: O motor de busca vetorial do NotebookLM traduziu a intenção em um conjunto de boas práticas técnicas extraídas diretamente dos materiais científicos carregados, preservando os termos matemáticos (como Equalized Odds e Loss Weighting).</w:t>
              <w:br/>
              <w:t>• Aprendizado Prático: Mesmo com inputs informais, manter fontes primárias confiáveis no índice do NotebookLM força o sistema a ancorar suas respostas em metodologias comprovadas.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lineRule="auto" w:line="240" w:before="0" w:after="120"/>
        <w:rPr/>
      </w:pPr>
      <w:r>
        <w:rPr>
          <w:rFonts w:eastAsia="Calibri" w:cs="Calibri"/>
          <w:b/>
          <w:bCs/>
          <w:color w:val="1B365D"/>
          <w:sz w:val="36"/>
          <w:szCs w:val="36"/>
        </w:rPr>
        <w:t>3. Miniguia de Estudo (Entrega Final Consolidada)</w:t>
      </w:r>
    </w:p>
    <w:tbl>
      <w:tblPr>
        <w:tblStyle w:val="Table10"/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start w:val="single" w:sz="36" w:space="0" w:color="1B365D"/>
            </w:tcBorders>
            <w:shd w:fill="F0F4F8" w:val="clear"/>
          </w:tcPr>
          <w:p>
            <w:pPr>
              <w:pStyle w:val="normal1"/>
              <w:spacing w:lineRule="auto" w:line="240" w:before="40" w:after="80"/>
              <w:rPr/>
            </w:pP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 xml:space="preserve"> </w:t>
            </w: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>Desafio Respondido: Miniguia de Estudo</w:t>
              <w:br/>
            </w:r>
            <w:r>
              <w:rPr>
                <w:rFonts w:eastAsia="Calibri" w:cs="Calibri"/>
                <w:color w:val="2D3748"/>
                <w:sz w:val="22"/>
                <w:szCs w:val="22"/>
              </w:rPr>
              <w:t>« Apresente o resultado final consolidado, que deve conter: Resumos estruturados do assunto; Um glossário com os principais conceitos aprendidos; Um conjunto de prompts reutilizáveis que possam apoiar futuras revisões sobre o tema. »</w:t>
              <w:br/>
              <w:br/>
              <w:t>Este miniguia reúne os resumos estruturados da mecânica de LLMs e governança, um glossário com terminologia padronizada e três templates de prompts prontos para reutilização.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p>
      <w:pPr>
        <w:pStyle w:val="Heading2"/>
        <w:spacing w:lineRule="auto" w:line="240" w:before="200" w:after="80"/>
        <w:rPr/>
      </w:pPr>
      <w:bookmarkStart w:id="0" w:name="_heading=h.7yqp03qvl7vi"/>
      <w:bookmarkEnd w:id="0"/>
      <w:r>
        <w:rPr>
          <w:rFonts w:eastAsia="Calibri" w:cs="Calibri"/>
          <w:b/>
          <w:bCs/>
          <w:color w:val="1B365D"/>
          <w:sz w:val="30"/>
          <w:szCs w:val="30"/>
        </w:rPr>
        <w:t>3.1 Resumos Estruturados do Assunto</w:t>
      </w:r>
    </w:p>
    <w:p>
      <w:pPr>
        <w:pStyle w:val="normal1"/>
        <w:spacing w:lineRule="auto" w:line="240" w:before="160" w:after="40"/>
        <w:rPr/>
      </w:pPr>
      <w:r>
        <w:rPr>
          <w:b/>
          <w:bCs/>
          <w:color w:val="2B6CB0"/>
          <w:sz w:val="26"/>
          <w:szCs w:val="26"/>
        </w:rPr>
        <w:t>A. Da Recorrência Sequencial ao Mecanismo de Atenção (Transformers)</w:t>
      </w:r>
    </w:p>
    <w:p>
      <w:pPr>
        <w:pStyle w:val="normal1"/>
        <w:spacing w:lineRule="auto" w:line="240" w:before="0" w:after="120"/>
        <w:ind w:hanging="0" w:start="216"/>
        <w:rPr/>
      </w:pPr>
      <w:r>
        <w:rPr>
          <w:sz w:val="23"/>
          <w:szCs w:val="23"/>
        </w:rPr>
        <w:t>Antes do paper de Vaswani et al. (2017), o processamento de texto dependia de redes recorrentes (RNNs/LSTMs), que liam cada palavra sequencialmente (t = 1, 2, 3...). Esse modelo gerava dois entraves graves: incapacidade de paralelização durante o treino em GPUs e degradação da memória em contextos longos.</w:t>
        <w:br/>
        <w:br/>
        <w:t>O Transformer eliminou a dependência temporal e adotou exclusivamente a Autoatenção (Self-Attention). Nesse mecanismo, todas as palavras são analisadas simultaneamente, gerando matrizes de Consultas (Queries), Chaves (Keys) e Valores (Values). O cálculo de produto escalar ponderado determina a relevância de cada termo em relação a todos os demais na mesma frase com custo de caminho constante O(1). A Atenção Multicabeça (Multi-Head Attention) executa esse processo em múltiplos subespaços lineares em paralelo, capturando simultaneamente sintaxe, semântica e concordância.</w:t>
      </w:r>
    </w:p>
    <w:p>
      <w:pPr>
        <w:pStyle w:val="normal1"/>
        <w:spacing w:lineRule="auto" w:line="240" w:before="160" w:after="40"/>
        <w:rPr/>
      </w:pPr>
      <w:r>
        <w:rPr>
          <w:b/>
          <w:bCs/>
          <w:color w:val="2B6CB0"/>
          <w:sz w:val="26"/>
          <w:szCs w:val="26"/>
        </w:rPr>
        <w:t>B. Confiabilidade Factual, RAG e Cláusulas de Escape</w:t>
      </w:r>
    </w:p>
    <w:p>
      <w:pPr>
        <w:pStyle w:val="normal1"/>
        <w:spacing w:lineRule="auto" w:line="240" w:before="0" w:after="120"/>
        <w:ind w:hanging="0" w:start="216"/>
        <w:rPr/>
      </w:pPr>
      <w:r>
        <w:rPr>
          <w:sz w:val="23"/>
          <w:szCs w:val="23"/>
        </w:rPr>
        <w:t>LLMs tradicionais dependem unicamente de sua memória paramétrica (pesos congelados no pré-treino). Quando confrontados com temas desconhecidos, dados proprietários ou perguntas capciosas, tendem a gerar alucinações (respostas verossímeis, porém factualmente incorretas).</w:t>
        <w:br/>
        <w:br/>
        <w:t>A arquitetura RAG (Retrieval-Augmented Generation) resolve esse problema ao conectar o modelo a uma memória não paramétrica externa (bancos vetoriais de documentos verificados). Diante de uma pergunta, os trechos relevantes são recuperados e injetados no contexto. Aliado a isso, o Strict Grounding (Ancoragem Estrita) e a Cláusula de Escape obrigam o modelo a responder estritamente com base nos trechos fornecidos e a declarar expressamente 'não localizado no material' caso a informação não conste nas fontes, garantindo auditoria e rastreabilidade.</w:t>
      </w:r>
    </w:p>
    <w:p>
      <w:pPr>
        <w:pStyle w:val="normal1"/>
        <w:spacing w:lineRule="auto" w:line="240" w:before="160" w:after="40"/>
        <w:rPr/>
      </w:pPr>
      <w:r>
        <w:rPr>
          <w:b/>
          <w:bCs/>
          <w:color w:val="2B6CB0"/>
          <w:sz w:val="26"/>
          <w:szCs w:val="26"/>
        </w:rPr>
        <w:t>C. Governança, Riscos e Testes Adversariais (NIST AI RMF e Red Teaming)</w:t>
      </w:r>
    </w:p>
    <w:p>
      <w:pPr>
        <w:pStyle w:val="normal1"/>
        <w:spacing w:lineRule="auto" w:line="240" w:before="0" w:after="120"/>
        <w:ind w:hanging="0" w:start="216"/>
        <w:rPr/>
      </w:pPr>
      <w:r>
        <w:rPr>
          <w:sz w:val="23"/>
          <w:szCs w:val="23"/>
        </w:rPr>
        <w:t>A governança de sistemas de IA generativa exige conformidade com padrões formais como o NIST AI RMF 1.0 e a ISO/IEC 42001. O NIST estrutura a gestão de riscos em quatro funções nucleares: GOVERN (cultura e diretrizes), MAP (identificação de contextos e riscos), MEASURE (mensuração e auditoria) e MANAGE (mitigação contínua de impactos).</w:t>
        <w:br/>
        <w:br/>
        <w:t>Os riscos devem ser avaliados em três esferas de dano: Pessoas (segurança, equidade e privacidade), Organizações (operações e conformidade) e Ecossistema (cadeia de suprimentos e sustentabilidade). Por fim, o AI Red Teaming realiza testes adversariais periódicos simulando ataques de injeção de prompt direta/indireta, vazamento de documentos do índice vetorial, envenenamento de dados (data poisoning) e exploração de privilégios em ferramentas agênticas.</w:t>
      </w:r>
    </w:p>
    <w:p>
      <w:pPr>
        <w:pStyle w:val="Heading2"/>
        <w:spacing w:lineRule="auto" w:line="240" w:before="280" w:after="80"/>
        <w:rPr/>
      </w:pPr>
      <w:r>
        <w:rPr>
          <w:rFonts w:eastAsia="Calibri" w:cs="Calibri"/>
          <w:b/>
          <w:bCs/>
          <w:color w:val="1B365D"/>
          <w:sz w:val="30"/>
          <w:szCs w:val="30"/>
        </w:rPr>
        <w:t>3.2 Glossário de Conceitos-Chave</w:t>
      </w:r>
    </w:p>
    <w:tbl>
      <w:tblPr>
        <w:tblStyle w:val="Table11"/>
        <w:tblW w:w="936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  <w:shd w:fill="1B365D" w:val="clear"/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Termo / Conceito</w:t>
            </w:r>
          </w:p>
        </w:tc>
        <w:tc>
          <w:tcPr>
            <w:tcW w:w="3120" w:type="dxa"/>
            <w:tcBorders/>
            <w:shd w:fill="1B365D" w:val="clear"/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Definição Técnica e Operacional</w:t>
            </w:r>
          </w:p>
        </w:tc>
        <w:tc>
          <w:tcPr>
            <w:tcW w:w="3120" w:type="dxa"/>
            <w:tcBorders/>
            <w:shd w:fill="1B365D" w:val="clear"/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Referência Primária</w:t>
            </w:r>
          </w:p>
        </w:tc>
      </w:tr>
      <w:tr>
        <w:trPr/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b/>
                <w:bCs/>
                <w:color w:val="1B365D"/>
                <w:sz w:val="21"/>
                <w:szCs w:val="21"/>
              </w:rPr>
              <w:t>Transformer</w:t>
            </w:r>
          </w:p>
        </w:tc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sz w:val="21"/>
                <w:szCs w:val="21"/>
              </w:rPr>
              <w:t>Arquitetura de rede neural que processa dados paralelamente via autoatenção, sem necessidade de camadas recorrentes (RNNs/LSTMs).</w:t>
            </w:r>
          </w:p>
        </w:tc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i/>
                <w:iCs/>
                <w:color w:val="718096"/>
                <w:sz w:val="21"/>
                <w:szCs w:val="21"/>
              </w:rPr>
              <w:t>Vaswani et al. (2017)</w:t>
            </w:r>
          </w:p>
        </w:tc>
      </w:tr>
      <w:tr>
        <w:trPr/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b/>
                <w:bCs/>
                <w:color w:val="1B365D"/>
                <w:sz w:val="21"/>
                <w:szCs w:val="21"/>
              </w:rPr>
              <w:t>Self-Attention</w:t>
            </w:r>
          </w:p>
        </w:tc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sz w:val="21"/>
                <w:szCs w:val="21"/>
              </w:rPr>
              <w:t>Mecanismo que calcula a relevância e os pesos mútuos entre todas as palavras de uma sequência simultaneamente em tempo O(1).</w:t>
            </w:r>
          </w:p>
        </w:tc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i/>
                <w:iCs/>
                <w:color w:val="718096"/>
                <w:sz w:val="21"/>
                <w:szCs w:val="21"/>
              </w:rPr>
              <w:t>Vaswani et al. (2017)</w:t>
            </w:r>
          </w:p>
        </w:tc>
      </w:tr>
      <w:tr>
        <w:trPr/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b/>
                <w:bCs/>
                <w:color w:val="1B365D"/>
                <w:sz w:val="21"/>
                <w:szCs w:val="21"/>
              </w:rPr>
              <w:t>Multi-Head Attention</w:t>
            </w:r>
          </w:p>
        </w:tc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sz w:val="21"/>
                <w:szCs w:val="21"/>
              </w:rPr>
              <w:t>Mecanismo que projeta a atenção em múltiplos subespaços lineares paralelos para correlacionar diferentes posições e contextos.</w:t>
            </w:r>
          </w:p>
        </w:tc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i/>
                <w:iCs/>
                <w:color w:val="718096"/>
                <w:sz w:val="21"/>
                <w:szCs w:val="21"/>
              </w:rPr>
              <w:t>Vaswani et al. (2017)</w:t>
            </w:r>
          </w:p>
        </w:tc>
      </w:tr>
      <w:tr>
        <w:trPr/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b/>
                <w:bCs/>
                <w:color w:val="1B365D"/>
                <w:sz w:val="21"/>
                <w:szCs w:val="21"/>
              </w:rPr>
              <w:t>RAG</w:t>
            </w:r>
          </w:p>
        </w:tc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sz w:val="21"/>
                <w:szCs w:val="21"/>
              </w:rPr>
              <w:t>Arquitetura que recupera trechos de documentos em índices vetoriais externos para hidratar o contexto do prompt e fundamentar respostas.</w:t>
            </w:r>
          </w:p>
        </w:tc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i/>
                <w:iCs/>
                <w:color w:val="718096"/>
                <w:sz w:val="21"/>
                <w:szCs w:val="21"/>
              </w:rPr>
              <w:t>DAIR.AI / DEV Governance</w:t>
            </w:r>
          </w:p>
        </w:tc>
      </w:tr>
      <w:tr>
        <w:trPr/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b/>
                <w:bCs/>
                <w:color w:val="1B365D"/>
                <w:sz w:val="21"/>
                <w:szCs w:val="21"/>
              </w:rPr>
              <w:t>Strict Grounding</w:t>
            </w:r>
          </w:p>
        </w:tc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sz w:val="21"/>
                <w:szCs w:val="21"/>
              </w:rPr>
              <w:t>Diretriz de engenharia de prompt que proíbe o uso de memória pré-treinada livre e restringe a resposta unicamente às fontes carregadas.</w:t>
            </w:r>
          </w:p>
        </w:tc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i/>
                <w:iCs/>
                <w:color w:val="718096"/>
                <w:sz w:val="21"/>
                <w:szCs w:val="21"/>
              </w:rPr>
              <w:t>DAIR.AI Guide</w:t>
            </w:r>
          </w:p>
        </w:tc>
      </w:tr>
      <w:tr>
        <w:trPr/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b/>
                <w:bCs/>
                <w:color w:val="1B365D"/>
                <w:sz w:val="21"/>
                <w:szCs w:val="21"/>
              </w:rPr>
              <w:t>Cláusula de Escape</w:t>
            </w:r>
          </w:p>
        </w:tc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sz w:val="21"/>
                <w:szCs w:val="21"/>
              </w:rPr>
              <w:t>Instrução mandatória no prompt que força o modelo a declarar que não sabe quando o tema não estiver presente nas fontes.</w:t>
            </w:r>
          </w:p>
        </w:tc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i/>
                <w:iCs/>
                <w:color w:val="718096"/>
                <w:sz w:val="21"/>
                <w:szCs w:val="21"/>
              </w:rPr>
              <w:t>DAIR.AI / NotebookLM</w:t>
            </w:r>
          </w:p>
        </w:tc>
      </w:tr>
      <w:tr>
        <w:trPr/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b/>
                <w:bCs/>
                <w:color w:val="1B365D"/>
                <w:sz w:val="21"/>
                <w:szCs w:val="21"/>
              </w:rPr>
              <w:t>Chain-of-Thought (CoT)</w:t>
            </w:r>
          </w:p>
        </w:tc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sz w:val="21"/>
                <w:szCs w:val="21"/>
              </w:rPr>
              <w:t>Técnica que orienta o modelo a detalhar passos lógicos intermediários antes de emitir a resposta definitiva.</w:t>
            </w:r>
          </w:p>
        </w:tc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i/>
                <w:iCs/>
                <w:color w:val="718096"/>
                <w:sz w:val="21"/>
                <w:szCs w:val="21"/>
              </w:rPr>
              <w:t>DAIR.AI Guide</w:t>
            </w:r>
          </w:p>
        </w:tc>
      </w:tr>
      <w:tr>
        <w:trPr/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b/>
                <w:bCs/>
                <w:color w:val="1B365D"/>
                <w:sz w:val="21"/>
                <w:szCs w:val="21"/>
              </w:rPr>
              <w:t>Self-Consistency</w:t>
            </w:r>
          </w:p>
        </w:tc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sz w:val="21"/>
                <w:szCs w:val="21"/>
              </w:rPr>
              <w:t>Amostragem de múltiplos caminhos de raciocínio para uma consulta, elegendo a resposta final por coerência ou votação.</w:t>
            </w:r>
          </w:p>
        </w:tc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i/>
                <w:iCs/>
                <w:color w:val="718096"/>
                <w:sz w:val="21"/>
                <w:szCs w:val="21"/>
              </w:rPr>
              <w:t>DAIR.AI Guide</w:t>
            </w:r>
          </w:p>
        </w:tc>
      </w:tr>
      <w:tr>
        <w:trPr/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b/>
                <w:bCs/>
                <w:color w:val="1B365D"/>
                <w:sz w:val="21"/>
                <w:szCs w:val="21"/>
              </w:rPr>
              <w:t>Equalized Odds</w:t>
            </w:r>
          </w:p>
        </w:tc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sz w:val="21"/>
                <w:szCs w:val="21"/>
              </w:rPr>
              <w:t>Método de pós-processamento para calibrar limiares de decisão, igualando taxas de acerto e falso positivo entre grupos protegidos.</w:t>
            </w:r>
          </w:p>
        </w:tc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i/>
                <w:iCs/>
                <w:color w:val="718096"/>
                <w:sz w:val="21"/>
                <w:szCs w:val="21"/>
              </w:rPr>
              <w:t>arXiv:2509.14438</w:t>
            </w:r>
          </w:p>
        </w:tc>
      </w:tr>
      <w:tr>
        <w:trPr/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b/>
                <w:bCs/>
                <w:color w:val="1B365D"/>
                <w:sz w:val="21"/>
                <w:szCs w:val="21"/>
              </w:rPr>
              <w:t>Prompt Injection</w:t>
            </w:r>
          </w:p>
        </w:tc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sz w:val="21"/>
                <w:szCs w:val="21"/>
              </w:rPr>
              <w:t>Ataque adversarial que manipula instruções de entrada para burlar guardrails, forçar comandos indevidos ou extrair dados sigilosos.</w:t>
            </w:r>
          </w:p>
        </w:tc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i/>
                <w:iCs/>
                <w:color w:val="718096"/>
                <w:sz w:val="21"/>
                <w:szCs w:val="21"/>
              </w:rPr>
              <w:t>Hacken AI Red Team</w:t>
            </w:r>
          </w:p>
        </w:tc>
      </w:tr>
      <w:tr>
        <w:trPr/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b/>
                <w:bCs/>
                <w:color w:val="1B365D"/>
                <w:sz w:val="21"/>
                <w:szCs w:val="21"/>
              </w:rPr>
              <w:t>NIST AI RMF</w:t>
            </w:r>
          </w:p>
        </w:tc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sz w:val="21"/>
                <w:szCs w:val="21"/>
              </w:rPr>
              <w:t>Estrutura formal de governança dividida em GOVERN, MAP, MEASURE e MANAGE para gestão contínua de riscos socio-técnicos.</w:t>
            </w:r>
          </w:p>
        </w:tc>
        <w:tc>
          <w:tcPr>
            <w:tcW w:w="3120" w:type="dxa"/>
            <w:tcBorders/>
            <w:shd w:fill="F7FAFC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i/>
                <w:iCs/>
                <w:color w:val="718096"/>
                <w:sz w:val="21"/>
                <w:szCs w:val="21"/>
              </w:rPr>
              <w:t>NIST.AI.100-1</w:t>
            </w:r>
          </w:p>
        </w:tc>
      </w:tr>
      <w:tr>
        <w:trPr/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b/>
                <w:bCs/>
                <w:color w:val="1B365D"/>
                <w:sz w:val="21"/>
                <w:szCs w:val="21"/>
              </w:rPr>
              <w:t>ISO/IEC 42001</w:t>
            </w:r>
          </w:p>
        </w:tc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sz w:val="21"/>
                <w:szCs w:val="21"/>
              </w:rPr>
              <w:t>Padrão internacional que estabelece requisitos formais para certificar Sistemas de Gestão de Inteligência Artificial em empresas.</w:t>
            </w:r>
          </w:p>
        </w:tc>
        <w:tc>
          <w:tcPr>
            <w:tcW w:w="312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1"/>
              <w:spacing w:lineRule="auto" w:line="240" w:before="40" w:after="40"/>
              <w:rPr/>
            </w:pPr>
            <w:r>
              <w:rPr>
                <w:i/>
                <w:iCs/>
                <w:color w:val="718096"/>
                <w:sz w:val="21"/>
                <w:szCs w:val="21"/>
              </w:rPr>
              <w:t>UNIDO / ISO</w:t>
            </w:r>
          </w:p>
        </w:tc>
      </w:tr>
    </w:tbl>
    <w:p>
      <w:pPr>
        <w:pStyle w:val="normal1"/>
        <w:spacing w:lineRule="auto" w:line="240" w:before="0" w:after="120"/>
        <w:rPr/>
      </w:pPr>
      <w:r>
        <w:rPr/>
      </w:r>
    </w:p>
    <w:p>
      <w:pPr>
        <w:pStyle w:val="Heading2"/>
        <w:spacing w:lineRule="auto" w:line="240" w:before="280" w:after="80"/>
        <w:rPr/>
      </w:pPr>
      <w:r>
        <w:rPr>
          <w:rFonts w:eastAsia="Calibri" w:cs="Calibri"/>
          <w:b/>
          <w:bCs/>
          <w:color w:val="1B365D"/>
          <w:sz w:val="30"/>
          <w:szCs w:val="30"/>
        </w:rPr>
        <w:t>3.3 Conjunto de Prompts Reutilizáveis para Estudos Futuros</w:t>
      </w:r>
    </w:p>
    <w:tbl>
      <w:tblPr>
        <w:tblStyle w:val="Table12"/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start w:val="single" w:sz="36" w:space="0" w:color="1B365D"/>
            </w:tcBorders>
            <w:shd w:fill="F0F4F8" w:val="clear"/>
          </w:tcPr>
          <w:p>
            <w:pPr>
              <w:pStyle w:val="normal1"/>
              <w:spacing w:lineRule="auto" w:line="240" w:before="40" w:after="80"/>
              <w:rPr/>
            </w:pP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>Template 1: Síntese Conceitual com Citação Auditável e Cláusula de Escape</w:t>
              <w:br/>
            </w:r>
            <w:r>
              <w:rPr>
                <w:rFonts w:eastAsia="Calibri" w:cs="Calibri"/>
                <w:color w:val="2D3748"/>
                <w:sz w:val="22"/>
                <w:szCs w:val="22"/>
              </w:rPr>
              <w:t>Atue como um tutor técnico de IA. Com base estritamente nas fontes anexadas a este caderno:</w:t>
              <w:br/>
              <w:br/>
              <w:t>1. Explique o conceito de [INSERIR TEMA: ex. Autoatenção / RAG / Loss Weighting] de forma didática e objetiva.</w:t>
              <w:br/>
              <w:t>2. Destaque quais são as 3 principais vantagens e limitações técnicas apontadas nos documentos.</w:t>
              <w:br/>
              <w:t>3. Aponte explicitamente em qual documento e seção essas informações estão fundamentadas.</w:t>
              <w:br/>
              <w:br/>
              <w:t>Regra Obrigatória: Caso o tema não conste nos documentos carregados, declare expressamente: 'Tópico não localizado nas fontes'.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p>
      <w:pPr>
        <w:pStyle w:val="normal1"/>
        <w:spacing w:lineRule="auto" w:line="240" w:before="0" w:after="80"/>
        <w:rPr/>
      </w:pPr>
      <w:r>
        <w:rPr/>
      </w:r>
    </w:p>
    <w:tbl>
      <w:tblPr>
        <w:tblStyle w:val="Table13"/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start w:val="single" w:sz="36" w:space="0" w:color="1B365D"/>
            </w:tcBorders>
            <w:shd w:fill="F0F4F8" w:val="clear"/>
          </w:tcPr>
          <w:p>
            <w:pPr>
              <w:pStyle w:val="normal1"/>
              <w:spacing w:lineRule="auto" w:line="240" w:before="40" w:after="80"/>
              <w:rPr/>
            </w:pP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 xml:space="preserve"> </w:t>
            </w: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>Template 2: Matriz Comparativa Estruturada de Arquiteturas ou Algoritmos</w:t>
              <w:br/>
            </w:r>
            <w:r>
              <w:rPr>
                <w:rFonts w:eastAsia="Calibri" w:cs="Calibri"/>
                <w:color w:val="2D3748"/>
                <w:sz w:val="22"/>
                <w:szCs w:val="22"/>
              </w:rPr>
              <w:t>Com base unicamente no material deste caderno, crie uma tabela comparativa detalhada entre [CONCEITO A: ex. Transformers] e [CONCEITO B: ex. RNNs/LSTMs].</w:t>
              <w:br/>
              <w:br/>
              <w:t>Critérios de Comparação obrigatórios:</w:t>
              <w:br/>
              <w:t>• Mecanismo central de processamento (sequencial vs. paralelo);</w:t>
              <w:br/>
              <w:t>• Complexidade computacional de caminho entre tokens distantes;</w:t>
              <w:br/>
              <w:t>• Custo de treinamento e escalabilidade em GPUs;</w:t>
              <w:br/>
              <w:t>• Documento primário e trecho de referência para cada ponto.</w:t>
              <w:br/>
              <w:br/>
              <w:t>Não realize extrapolações ou deduções que não estejam no texto.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tbl>
      <w:tblPr>
        <w:tblStyle w:val="Table14"/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start w:val="single" w:sz="36" w:space="0" w:color="1B365D"/>
            </w:tcBorders>
            <w:shd w:fill="F0F4F8" w:val="clear"/>
          </w:tcPr>
          <w:p>
            <w:pPr>
              <w:pStyle w:val="normal1"/>
              <w:spacing w:lineRule="auto" w:line="240" w:before="40" w:after="80"/>
              <w:rPr/>
            </w:pP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 xml:space="preserve"> </w:t>
            </w:r>
            <w:r>
              <w:rPr>
                <w:rFonts w:eastAsia="Calibri" w:cs="Calibri"/>
                <w:b/>
                <w:bCs/>
                <w:color w:val="1B365D"/>
                <w:sz w:val="24"/>
                <w:szCs w:val="24"/>
              </w:rPr>
              <w:t>Template 3: Análise de Riscos, Governança e Auditoria (NIST &amp; IIA)</w:t>
              <w:br/>
            </w:r>
            <w:r>
              <w:rPr>
                <w:rFonts w:eastAsia="Calibri" w:cs="Calibri"/>
                <w:color w:val="2D3748"/>
                <w:sz w:val="22"/>
                <w:szCs w:val="22"/>
              </w:rPr>
              <w:t>Atue como um auditor de riscos e conformidade de sistemas de IA.</w:t>
              <w:br/>
              <w:br/>
              <w:t>Analisando criticamente os documentos carregados no caderno, responda:</w:t>
              <w:br/>
              <w:t>1. Quais são as principais vulnerabilidades e ameaças de segurança associadas a [INSERIR CENÁRIO: ex. Agentes Autônomos / Pipelines RAG]?</w:t>
              <w:br/>
              <w:t>2. Quais ações de mitigação são recomendadas pelos frameworks (NIST AI RMF e Red Teaming)?</w:t>
              <w:br/>
              <w:t>3. Categorize os impactos potenciais entre Pessoas, Organizações e Ecossistema.</w:t>
              <w:br/>
              <w:t>4. Indique a fonte e a seção para cada recomendação de controle.</w:t>
            </w:r>
          </w:p>
        </w:tc>
      </w:tr>
    </w:tbl>
    <w:p>
      <w:pPr>
        <w:pStyle w:val="normal1"/>
        <w:spacing w:lineRule="auto" w:line="240" w:before="0" w:after="8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D3748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2D3748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1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2D3748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libri" w:hAnsi="Calibri" w:eastAsia="Calibri" w:cs="Calibri"/>
      <w:color w:val="2D3748"/>
      <w:kern w:val="0"/>
      <w:sz w:val="22"/>
      <w:szCs w:val="22"/>
      <w:lang w:val="en-US" w:eastAsia="zh-CN" w:bidi="hi-IN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1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1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1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1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2">
    <w:name w:val="List Bullet 2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Calibri" w:cs="Calibri"/>
      <w:color w:val="2D3748"/>
      <w:kern w:val="0"/>
      <w:sz w:val="20"/>
      <w:szCs w:val="20"/>
      <w:lang w:val="en-US" w:eastAsia="zh-CN" w:bidi="hi-IN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/>
    <w:rPr/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rxiv.org/abs/1706.03762" TargetMode="External"/><Relationship Id="rId3" Type="http://schemas.openxmlformats.org/officeDocument/2006/relationships/hyperlink" Target="https://www.promptingguide.ai/" TargetMode="External"/><Relationship Id="rId4" Type="http://schemas.openxmlformats.org/officeDocument/2006/relationships/hyperlink" Target="https://nvlpubs.nist.gov/nistpubs/ai/NIST.AI.100-1.pdf" TargetMode="External"/><Relationship Id="rId5" Type="http://schemas.openxmlformats.org/officeDocument/2006/relationships/hyperlink" Target="https://www.theiia.org/globalassets/site/content/tools/professional/aiframework-sept-2024-update2.pdf" TargetMode="External"/><Relationship Id="rId6" Type="http://schemas.openxmlformats.org/officeDocument/2006/relationships/hyperlink" Target="https://docs.hacken.io/methodologies/AI_Red_Team/" TargetMode="External"/><Relationship Id="rId7" Type="http://schemas.openxmlformats.org/officeDocument/2006/relationships/hyperlink" Target="https://www.unido.org/sites/default/files/files/2025-07/Microsoft%20-%20Overview%20of%20ISO%20IEC%2042001.pdf" TargetMode="External"/><Relationship Id="rId8" Type="http://schemas.openxmlformats.org/officeDocument/2006/relationships/hyperlink" Target="https://dev.to/gde/data-context-rag-lineage-governance-for-enterprise-ai-agents-4bdj" TargetMode="External"/><Relationship Id="rId9" Type="http://schemas.openxmlformats.org/officeDocument/2006/relationships/hyperlink" Target="https://arxiv.org/pdf/2509.14438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G/vCuFW7ClW5Qv76tjDI1iVdrCg==">CgMxLjAyDmguN3lxcDAzcXZsN3ZpOAByITFHcDBZV3N2NUtUaWZUbnEwOHV1bVRHeUZDWEt3SzZ2NA==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9</Pages>
  <Words>2694</Words>
  <Characters>16181</Characters>
  <CharactersWithSpaces>18870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pt-BR</dc:language>
  <cp:lastModifiedBy/>
  <dcterms:modified xsi:type="dcterms:W3CDTF">2026-09-18T14:56:02Z</dcterms:modified>
  <cp:revision>1</cp:revision>
  <dc:subject/>
  <dc:title/>
</cp:coreProperties>
</file>