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E81B7" w14:textId="77777777" w:rsidR="00624E0F" w:rsidRDefault="001B7EE2">
      <w:r>
        <w:t>“I pledge my honor that I have abided by the Stevens Honor System” –cli50</w:t>
      </w:r>
    </w:p>
    <w:p w14:paraId="6C9337B3" w14:textId="77777777" w:rsidR="001B7EE2" w:rsidRDefault="001B7EE2"/>
    <w:p w14:paraId="66CCAF48" w14:textId="77777777" w:rsidR="001B7EE2" w:rsidRDefault="001B7EE2">
      <w:pPr>
        <w:rPr>
          <w:u w:val="single"/>
        </w:rPr>
      </w:pPr>
      <w:r>
        <w:rPr>
          <w:u w:val="single"/>
        </w:rPr>
        <w:t>Homework 5</w:t>
      </w:r>
    </w:p>
    <w:p w14:paraId="556D54AA" w14:textId="77777777" w:rsidR="001B7EE2" w:rsidRDefault="001B7EE2">
      <w:pPr>
        <w:rPr>
          <w:u w:val="single"/>
        </w:rPr>
      </w:pPr>
      <w:r w:rsidRPr="001B7EE2">
        <w:rPr>
          <w:u w:val="single"/>
        </w:rPr>
        <w:t>9.41</w:t>
      </w:r>
    </w:p>
    <w:p w14:paraId="5E55F318" w14:textId="77777777" w:rsidR="001B7EE2" w:rsidRDefault="009A73A2">
      <w:r>
        <w:t>a.</w:t>
      </w:r>
    </w:p>
    <w:tbl>
      <w:tblPr>
        <w:tblStyle w:val="TableGrid"/>
        <w:tblW w:w="0" w:type="auto"/>
        <w:tblLook w:val="04A0" w:firstRow="1" w:lastRow="0" w:firstColumn="1" w:lastColumn="0" w:noHBand="0" w:noVBand="1"/>
      </w:tblPr>
      <w:tblGrid>
        <w:gridCol w:w="3116"/>
        <w:gridCol w:w="3117"/>
        <w:gridCol w:w="3117"/>
      </w:tblGrid>
      <w:tr w:rsidR="00CE2AE6" w14:paraId="6EFCD8CF" w14:textId="77777777" w:rsidTr="00CE2AE6">
        <w:tc>
          <w:tcPr>
            <w:tcW w:w="3116" w:type="dxa"/>
          </w:tcPr>
          <w:p w14:paraId="6F83933C" w14:textId="6252830B" w:rsidR="00CE2AE6" w:rsidRDefault="00CE2AE6" w:rsidP="00CE2AE6">
            <w:pPr>
              <w:jc w:val="center"/>
            </w:pPr>
            <w:r>
              <w:t>Field of Study</w:t>
            </w:r>
          </w:p>
        </w:tc>
        <w:tc>
          <w:tcPr>
            <w:tcW w:w="3117" w:type="dxa"/>
          </w:tcPr>
          <w:p w14:paraId="25B44635" w14:textId="127A2CA4" w:rsidR="00CE2AE6" w:rsidRDefault="00CE2AE6" w:rsidP="00CE2AE6">
            <w:pPr>
              <w:jc w:val="center"/>
            </w:pPr>
            <w:r>
              <w:t>Right after H.S</w:t>
            </w:r>
          </w:p>
        </w:tc>
        <w:tc>
          <w:tcPr>
            <w:tcW w:w="3117" w:type="dxa"/>
          </w:tcPr>
          <w:p w14:paraId="0FF617D4" w14:textId="740F5BC7" w:rsidR="00CE2AE6" w:rsidRDefault="00CE2AE6" w:rsidP="00CE2AE6">
            <w:pPr>
              <w:jc w:val="center"/>
            </w:pPr>
            <w:r>
              <w:t>Later</w:t>
            </w:r>
          </w:p>
        </w:tc>
      </w:tr>
      <w:tr w:rsidR="00CE2AE6" w14:paraId="3979AF9A" w14:textId="77777777" w:rsidTr="00CD45BE">
        <w:trPr>
          <w:trHeight w:val="314"/>
        </w:trPr>
        <w:tc>
          <w:tcPr>
            <w:tcW w:w="3116" w:type="dxa"/>
          </w:tcPr>
          <w:p w14:paraId="75167143" w14:textId="0C40D715" w:rsidR="00CE2AE6" w:rsidRDefault="00CE2AE6" w:rsidP="00CE2AE6">
            <w:pPr>
              <w:jc w:val="center"/>
            </w:pPr>
            <w:r>
              <w:t>Trades</w:t>
            </w:r>
          </w:p>
        </w:tc>
        <w:tc>
          <w:tcPr>
            <w:tcW w:w="3117" w:type="dxa"/>
          </w:tcPr>
          <w:p w14:paraId="7903FF1D" w14:textId="35AEE7F6" w:rsidR="00CE2AE6" w:rsidRDefault="00CD45BE" w:rsidP="00CE2AE6">
            <w:pPr>
              <w:jc w:val="center"/>
            </w:pPr>
            <w:r>
              <w:t>320</w:t>
            </w:r>
            <w:r w:rsidR="007734EA">
              <w:t>.28</w:t>
            </w:r>
          </w:p>
        </w:tc>
        <w:tc>
          <w:tcPr>
            <w:tcW w:w="3117" w:type="dxa"/>
          </w:tcPr>
          <w:p w14:paraId="295EEB68" w14:textId="7C6365FA" w:rsidR="00CE2AE6" w:rsidRDefault="007734EA" w:rsidP="00CE2AE6">
            <w:pPr>
              <w:jc w:val="center"/>
            </w:pPr>
            <w:r>
              <w:t>621.72</w:t>
            </w:r>
          </w:p>
        </w:tc>
      </w:tr>
      <w:tr w:rsidR="00CE2AE6" w14:paraId="622BACBE" w14:textId="77777777" w:rsidTr="00CE2AE6">
        <w:tc>
          <w:tcPr>
            <w:tcW w:w="3116" w:type="dxa"/>
          </w:tcPr>
          <w:p w14:paraId="0C5270FA" w14:textId="2E8808C9" w:rsidR="00CE2AE6" w:rsidRDefault="00CE2AE6" w:rsidP="00CE2AE6">
            <w:pPr>
              <w:jc w:val="center"/>
            </w:pPr>
            <w:r>
              <w:t>Design</w:t>
            </w:r>
          </w:p>
        </w:tc>
        <w:tc>
          <w:tcPr>
            <w:tcW w:w="3117" w:type="dxa"/>
          </w:tcPr>
          <w:p w14:paraId="51C4EBFA" w14:textId="5DD3E084" w:rsidR="00CE2AE6" w:rsidRDefault="007734EA" w:rsidP="00CE2AE6">
            <w:pPr>
              <w:jc w:val="center"/>
            </w:pPr>
            <w:r>
              <w:t>274.48</w:t>
            </w:r>
          </w:p>
        </w:tc>
        <w:tc>
          <w:tcPr>
            <w:tcW w:w="3117" w:type="dxa"/>
          </w:tcPr>
          <w:p w14:paraId="0A9DC8C4" w14:textId="45D5ED8C" w:rsidR="00CE2AE6" w:rsidRDefault="007734EA" w:rsidP="00CE2AE6">
            <w:pPr>
              <w:jc w:val="center"/>
            </w:pPr>
            <w:r>
              <w:t>209.52</w:t>
            </w:r>
          </w:p>
        </w:tc>
      </w:tr>
      <w:tr w:rsidR="00CE2AE6" w14:paraId="0A073E1F" w14:textId="77777777" w:rsidTr="00CE2AE6">
        <w:tc>
          <w:tcPr>
            <w:tcW w:w="3116" w:type="dxa"/>
          </w:tcPr>
          <w:p w14:paraId="408ECEF0" w14:textId="33C5DDCA" w:rsidR="00CE2AE6" w:rsidRDefault="00CE2AE6" w:rsidP="00CE2AE6">
            <w:pPr>
              <w:jc w:val="center"/>
            </w:pPr>
            <w:r>
              <w:t>Health</w:t>
            </w:r>
          </w:p>
        </w:tc>
        <w:tc>
          <w:tcPr>
            <w:tcW w:w="3117" w:type="dxa"/>
          </w:tcPr>
          <w:p w14:paraId="41A5A5D4" w14:textId="7D78B054" w:rsidR="00CE2AE6" w:rsidRDefault="0008212F" w:rsidP="00CE2AE6">
            <w:pPr>
              <w:jc w:val="center"/>
            </w:pPr>
            <w:r>
              <w:t>2034</w:t>
            </w:r>
          </w:p>
        </w:tc>
        <w:tc>
          <w:tcPr>
            <w:tcW w:w="3117" w:type="dxa"/>
          </w:tcPr>
          <w:p w14:paraId="0AD78B4A" w14:textId="1A117663" w:rsidR="00CE2AE6" w:rsidRDefault="0008212F" w:rsidP="00CE2AE6">
            <w:pPr>
              <w:jc w:val="center"/>
            </w:pPr>
            <w:r>
              <w:t>3051</w:t>
            </w:r>
          </w:p>
        </w:tc>
      </w:tr>
      <w:tr w:rsidR="00CE2AE6" w14:paraId="560D0575" w14:textId="77777777" w:rsidTr="00CE2AE6">
        <w:tc>
          <w:tcPr>
            <w:tcW w:w="3116" w:type="dxa"/>
          </w:tcPr>
          <w:p w14:paraId="52E6F37E" w14:textId="48DA4EE5" w:rsidR="00CE2AE6" w:rsidRDefault="00CE2AE6" w:rsidP="00CE2AE6">
            <w:pPr>
              <w:jc w:val="center"/>
            </w:pPr>
            <w:r>
              <w:t>Media/IT</w:t>
            </w:r>
          </w:p>
        </w:tc>
        <w:tc>
          <w:tcPr>
            <w:tcW w:w="3117" w:type="dxa"/>
          </w:tcPr>
          <w:p w14:paraId="01180683" w14:textId="3B06DFFD" w:rsidR="00CE2AE6" w:rsidRDefault="0008212F" w:rsidP="00CE2AE6">
            <w:pPr>
              <w:jc w:val="center"/>
            </w:pPr>
            <w:r>
              <w:t>975</w:t>
            </w:r>
            <w:r w:rsidR="007734EA">
              <w:t>.88</w:t>
            </w:r>
          </w:p>
        </w:tc>
        <w:tc>
          <w:tcPr>
            <w:tcW w:w="3117" w:type="dxa"/>
          </w:tcPr>
          <w:p w14:paraId="11BE8BFC" w14:textId="4EF9A36D" w:rsidR="00CE2AE6" w:rsidRDefault="0008212F" w:rsidP="00CE2AE6">
            <w:pPr>
              <w:jc w:val="center"/>
            </w:pPr>
            <w:r>
              <w:t>217</w:t>
            </w:r>
            <w:r w:rsidR="007734EA">
              <w:t>2.12</w:t>
            </w:r>
          </w:p>
        </w:tc>
      </w:tr>
      <w:tr w:rsidR="00CE2AE6" w14:paraId="4431C3CA" w14:textId="77777777" w:rsidTr="00CE2AE6">
        <w:tc>
          <w:tcPr>
            <w:tcW w:w="3116" w:type="dxa"/>
          </w:tcPr>
          <w:p w14:paraId="4C9746B6" w14:textId="7A119016" w:rsidR="00CE2AE6" w:rsidRDefault="00CE2AE6" w:rsidP="00CE2AE6">
            <w:pPr>
              <w:jc w:val="center"/>
            </w:pPr>
            <w:r>
              <w:t>Service</w:t>
            </w:r>
          </w:p>
        </w:tc>
        <w:tc>
          <w:tcPr>
            <w:tcW w:w="3117" w:type="dxa"/>
          </w:tcPr>
          <w:p w14:paraId="6280972C" w14:textId="52B6BAE1" w:rsidR="00CE2AE6" w:rsidRDefault="0008212F" w:rsidP="00CE2AE6">
            <w:pPr>
              <w:jc w:val="center"/>
            </w:pPr>
            <w:r>
              <w:t>486</w:t>
            </w:r>
          </w:p>
        </w:tc>
        <w:tc>
          <w:tcPr>
            <w:tcW w:w="3117" w:type="dxa"/>
          </w:tcPr>
          <w:p w14:paraId="7A3451C4" w14:textId="472C3CC1" w:rsidR="00CE2AE6" w:rsidRDefault="0008212F" w:rsidP="00CE2AE6">
            <w:pPr>
              <w:jc w:val="center"/>
            </w:pPr>
            <w:r>
              <w:t>864</w:t>
            </w:r>
          </w:p>
        </w:tc>
      </w:tr>
      <w:tr w:rsidR="00CE2AE6" w14:paraId="5CF9482B" w14:textId="77777777" w:rsidTr="00CE2AE6">
        <w:tc>
          <w:tcPr>
            <w:tcW w:w="3116" w:type="dxa"/>
          </w:tcPr>
          <w:p w14:paraId="4430F253" w14:textId="0ED1A796" w:rsidR="00CE2AE6" w:rsidRDefault="00CE2AE6" w:rsidP="00CE2AE6">
            <w:pPr>
              <w:jc w:val="center"/>
            </w:pPr>
            <w:r>
              <w:t>Other</w:t>
            </w:r>
          </w:p>
        </w:tc>
        <w:tc>
          <w:tcPr>
            <w:tcW w:w="3117" w:type="dxa"/>
          </w:tcPr>
          <w:p w14:paraId="24CD411B" w14:textId="59FF62FD" w:rsidR="00CE2AE6" w:rsidRDefault="0008212F" w:rsidP="00CE2AE6">
            <w:pPr>
              <w:jc w:val="center"/>
            </w:pPr>
            <w:r>
              <w:t>1172</w:t>
            </w:r>
            <w:r w:rsidR="007734EA">
              <w:t>.6</w:t>
            </w:r>
          </w:p>
        </w:tc>
        <w:tc>
          <w:tcPr>
            <w:tcW w:w="3117" w:type="dxa"/>
          </w:tcPr>
          <w:p w14:paraId="71477250" w14:textId="5AE5A3D7" w:rsidR="00CE2AE6" w:rsidRDefault="0008212F" w:rsidP="00CE2AE6">
            <w:pPr>
              <w:jc w:val="center"/>
            </w:pPr>
            <w:r>
              <w:t>108</w:t>
            </w:r>
            <w:r w:rsidR="007734EA">
              <w:t>2.4</w:t>
            </w:r>
          </w:p>
        </w:tc>
      </w:tr>
    </w:tbl>
    <w:p w14:paraId="59433CD9" w14:textId="77777777" w:rsidR="00E14FEE" w:rsidRDefault="00E14FEE" w:rsidP="00CE2AE6">
      <w:pPr>
        <w:jc w:val="center"/>
      </w:pPr>
    </w:p>
    <w:p w14:paraId="225BCACB" w14:textId="77777777" w:rsidR="009A73A2" w:rsidRDefault="009A73A2">
      <w:r>
        <w:t>b.</w:t>
      </w:r>
    </w:p>
    <w:p w14:paraId="4CFAD19F" w14:textId="31CE8CBE" w:rsidR="0008212F" w:rsidRDefault="00CA0129">
      <w:r>
        <w:t xml:space="preserve">The percentage of students that enrolled right after high school is 39.4%. The percentage of students that enrolled later high school is 60.6%. Over 50% of the students that enrolled later high school was studying trade, design, health, media/IT, and services. Compared to students right after H.S., there was only 1 section that had over 50% of the students enrolled which was other studies that were not mentioned on this survey. </w:t>
      </w:r>
    </w:p>
    <w:p w14:paraId="5BFA29C4" w14:textId="77777777" w:rsidR="00CA0129" w:rsidRDefault="00CA0129"/>
    <w:p w14:paraId="367F96E1" w14:textId="77777777" w:rsidR="009A73A2" w:rsidRDefault="009A73A2">
      <w:r>
        <w:t>c.</w:t>
      </w:r>
    </w:p>
    <w:p w14:paraId="428F6B70" w14:textId="5386F4FB" w:rsidR="00C97DBB" w:rsidRDefault="00C97DBB">
      <w:r>
        <w:t>H</w:t>
      </w:r>
      <w:r>
        <w:rPr>
          <w:vertAlign w:val="subscript"/>
        </w:rPr>
        <w:t>0</w:t>
      </w:r>
      <w:r>
        <w:t>: There is no relationship between the field of study and when they enter the college</w:t>
      </w:r>
    </w:p>
    <w:p w14:paraId="622C2B53" w14:textId="4D306B13" w:rsidR="00C97DBB" w:rsidRDefault="00C97DBB">
      <w:r>
        <w:t>H</w:t>
      </w:r>
      <w:r>
        <w:rPr>
          <w:vertAlign w:val="subscript"/>
        </w:rPr>
        <w:t>a</w:t>
      </w:r>
      <w:r>
        <w:t>: There is a relationship between the field of study and when they enter the college</w:t>
      </w:r>
    </w:p>
    <w:p w14:paraId="4EBD3641" w14:textId="7380AA13" w:rsidR="00C97DBB" w:rsidRDefault="00C97DBB">
      <w:pPr>
        <w:rPr>
          <w:rFonts w:eastAsiaTheme="minorEastAsia"/>
        </w:rPr>
      </w:pPr>
      <w:r>
        <w:t>X</w:t>
      </w:r>
      <w:r>
        <w:rPr>
          <w:vertAlign w:val="superscript"/>
        </w:rPr>
        <w:t>2</w:t>
      </w:r>
      <w:r>
        <w:t xml:space="preserve"> = </w:t>
      </w:r>
      <m:oMath>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(observed-expected)</m:t>
                    </m:r>
                  </m:e>
                  <m:sup>
                    <m:r>
                      <w:rPr>
                        <w:rFonts w:ascii="Cambria Math" w:hAnsi="Cambria Math"/>
                      </w:rPr>
                      <m:t>2</m:t>
                    </m:r>
                  </m:sup>
                </m:sSup>
              </m:num>
              <m:den>
                <m:r>
                  <w:rPr>
                    <w:rFonts w:ascii="Cambria Math" w:hAnsi="Cambria Math"/>
                  </w:rPr>
                  <m:t>expected</m:t>
                </m:r>
              </m:den>
            </m:f>
          </m:e>
        </m:nary>
      </m:oMath>
      <w:r>
        <w:rPr>
          <w:rFonts w:eastAsiaTheme="minorEastAsia"/>
        </w:rPr>
        <w:t xml:space="preserve"> = </w:t>
      </w:r>
      <w:r w:rsidR="003176A9">
        <w:rPr>
          <w:rFonts w:eastAsiaTheme="minorEastAsia"/>
        </w:rPr>
        <w:t>275.93</w:t>
      </w:r>
    </w:p>
    <w:p w14:paraId="18D923D6" w14:textId="78F25596" w:rsidR="003176A9" w:rsidRDefault="003176A9">
      <w:pPr>
        <w:rPr>
          <w:rFonts w:eastAsiaTheme="minorEastAsia"/>
        </w:rPr>
      </w:pPr>
      <w:r>
        <w:rPr>
          <w:rFonts w:eastAsiaTheme="minorEastAsia"/>
        </w:rPr>
        <w:t>df = (6-1)(2-1) = 5</w:t>
      </w:r>
    </w:p>
    <w:p w14:paraId="0D044C5D" w14:textId="5EA89D5B" w:rsidR="003176A9" w:rsidRDefault="003176A9">
      <w:pPr>
        <w:rPr>
          <w:rFonts w:eastAsiaTheme="minorEastAsia"/>
        </w:rPr>
      </w:pPr>
      <w:r>
        <w:rPr>
          <w:rFonts w:eastAsiaTheme="minorEastAsia"/>
        </w:rPr>
        <w:t>P(x</w:t>
      </w:r>
      <w:r>
        <w:rPr>
          <w:rFonts w:eastAsiaTheme="minorEastAsia"/>
          <w:vertAlign w:val="superscript"/>
        </w:rPr>
        <w:t>2</w:t>
      </w:r>
      <w:r>
        <w:rPr>
          <w:rFonts w:eastAsiaTheme="minorEastAsia"/>
        </w:rPr>
        <w:t>&gt; 275.93) = 0</w:t>
      </w:r>
    </w:p>
    <w:p w14:paraId="13632C56" w14:textId="799DB0D8" w:rsidR="003176A9" w:rsidRDefault="003176A9">
      <w:pPr>
        <w:rPr>
          <w:rFonts w:eastAsiaTheme="minorEastAsia"/>
        </w:rPr>
      </w:pPr>
      <w:r>
        <w:rPr>
          <w:rFonts w:eastAsiaTheme="minorEastAsia"/>
        </w:rPr>
        <w:t>Because the significant p-value is less than 0.05, we reject the null hypothesis.</w:t>
      </w:r>
      <w:r w:rsidR="002324E4">
        <w:rPr>
          <w:rFonts w:eastAsiaTheme="minorEastAsia"/>
        </w:rPr>
        <w:t xml:space="preserve"> </w:t>
      </w:r>
      <w:r w:rsidR="002324E4">
        <w:t>There is sufficien</w:t>
      </w:r>
      <w:r w:rsidR="002324E4">
        <w:t xml:space="preserve">t evidence to indicate that there is a relationship between the field of study and when they enter the college </w:t>
      </w:r>
      <w:r w:rsidR="002324E4">
        <w:t>as this result is statistically significant.</w:t>
      </w:r>
    </w:p>
    <w:p w14:paraId="57CBF401" w14:textId="24D798A2" w:rsidR="001B7EE2" w:rsidRPr="001B7EE2" w:rsidRDefault="002324E4">
      <w:r w:rsidRPr="002324E4">
        <w:drawing>
          <wp:inline distT="0" distB="0" distL="0" distR="0" wp14:anchorId="7E0743EF" wp14:editId="22FCB1C1">
            <wp:extent cx="3726828" cy="2227651"/>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1275" cy="2230309"/>
                    </a:xfrm>
                    <a:prstGeom prst="rect">
                      <a:avLst/>
                    </a:prstGeom>
                  </pic:spPr>
                </pic:pic>
              </a:graphicData>
            </a:graphic>
          </wp:inline>
        </w:drawing>
      </w:r>
    </w:p>
    <w:p w14:paraId="533C0FA8" w14:textId="77777777" w:rsidR="002324E4" w:rsidRDefault="002324E4">
      <w:pPr>
        <w:rPr>
          <w:u w:val="single"/>
        </w:rPr>
      </w:pPr>
    </w:p>
    <w:p w14:paraId="31964A07" w14:textId="77777777" w:rsidR="002324E4" w:rsidRDefault="002324E4">
      <w:pPr>
        <w:rPr>
          <w:u w:val="single"/>
        </w:rPr>
      </w:pPr>
    </w:p>
    <w:p w14:paraId="465CA208" w14:textId="77777777" w:rsidR="001B7EE2" w:rsidRDefault="001B7EE2">
      <w:pPr>
        <w:rPr>
          <w:u w:val="single"/>
        </w:rPr>
      </w:pPr>
      <w:r w:rsidRPr="001B7EE2">
        <w:rPr>
          <w:u w:val="single"/>
        </w:rPr>
        <w:lastRenderedPageBreak/>
        <w:t>9.42</w:t>
      </w:r>
    </w:p>
    <w:p w14:paraId="7D95168B" w14:textId="77777777" w:rsidR="00901FEC" w:rsidRDefault="009A73A2">
      <w:r>
        <w:t>a.</w:t>
      </w:r>
    </w:p>
    <w:tbl>
      <w:tblPr>
        <w:tblStyle w:val="TableGrid"/>
        <w:tblW w:w="0" w:type="auto"/>
        <w:tblLook w:val="04A0" w:firstRow="1" w:lastRow="0" w:firstColumn="1" w:lastColumn="0" w:noHBand="0" w:noVBand="1"/>
      </w:tblPr>
      <w:tblGrid>
        <w:gridCol w:w="3116"/>
        <w:gridCol w:w="3117"/>
        <w:gridCol w:w="3117"/>
      </w:tblGrid>
      <w:tr w:rsidR="00901FEC" w14:paraId="09DFA4FD" w14:textId="77777777" w:rsidTr="00901FEC">
        <w:trPr>
          <w:trHeight w:val="332"/>
        </w:trPr>
        <w:tc>
          <w:tcPr>
            <w:tcW w:w="3116" w:type="dxa"/>
          </w:tcPr>
          <w:p w14:paraId="5B8EDFF6" w14:textId="7FCFD64F" w:rsidR="00901FEC" w:rsidRDefault="00E05EC9" w:rsidP="0038665F">
            <w:pPr>
              <w:jc w:val="center"/>
            </w:pPr>
            <w:r>
              <w:t>Field of Study</w:t>
            </w:r>
          </w:p>
        </w:tc>
        <w:tc>
          <w:tcPr>
            <w:tcW w:w="3117" w:type="dxa"/>
          </w:tcPr>
          <w:p w14:paraId="1332B7D0" w14:textId="03B92CE9" w:rsidR="00901FEC" w:rsidRDefault="00901FEC" w:rsidP="0038665F">
            <w:pPr>
              <w:jc w:val="center"/>
            </w:pPr>
            <w:r>
              <w:t>Using Government Loans</w:t>
            </w:r>
          </w:p>
        </w:tc>
        <w:tc>
          <w:tcPr>
            <w:tcW w:w="3117" w:type="dxa"/>
          </w:tcPr>
          <w:p w14:paraId="1BC25911" w14:textId="002AA609" w:rsidR="00901FEC" w:rsidRDefault="00901FEC" w:rsidP="0038665F">
            <w:pPr>
              <w:jc w:val="center"/>
            </w:pPr>
            <w:r>
              <w:t>Not using Government Loans</w:t>
            </w:r>
          </w:p>
        </w:tc>
      </w:tr>
      <w:tr w:rsidR="00901FEC" w14:paraId="5A03427A" w14:textId="77777777" w:rsidTr="0038665F">
        <w:tc>
          <w:tcPr>
            <w:tcW w:w="3116" w:type="dxa"/>
          </w:tcPr>
          <w:p w14:paraId="63C94025" w14:textId="77777777" w:rsidR="00901FEC" w:rsidRDefault="00901FEC" w:rsidP="0038665F">
            <w:pPr>
              <w:jc w:val="center"/>
            </w:pPr>
            <w:r>
              <w:t>Trades</w:t>
            </w:r>
          </w:p>
        </w:tc>
        <w:tc>
          <w:tcPr>
            <w:tcW w:w="3117" w:type="dxa"/>
          </w:tcPr>
          <w:p w14:paraId="3AAEBB29" w14:textId="7F3060E3" w:rsidR="00901FEC" w:rsidRDefault="00901FEC" w:rsidP="0038665F">
            <w:pPr>
              <w:jc w:val="center"/>
            </w:pPr>
            <w:r>
              <w:t>424</w:t>
            </w:r>
          </w:p>
        </w:tc>
        <w:tc>
          <w:tcPr>
            <w:tcW w:w="3117" w:type="dxa"/>
          </w:tcPr>
          <w:p w14:paraId="5C4EE710" w14:textId="7E01D874" w:rsidR="00901FEC" w:rsidRDefault="00901FEC" w:rsidP="0038665F">
            <w:pPr>
              <w:jc w:val="center"/>
            </w:pPr>
            <w:r>
              <w:t>518</w:t>
            </w:r>
          </w:p>
        </w:tc>
      </w:tr>
      <w:tr w:rsidR="00901FEC" w14:paraId="6F3ED960" w14:textId="77777777" w:rsidTr="0038665F">
        <w:tc>
          <w:tcPr>
            <w:tcW w:w="3116" w:type="dxa"/>
          </w:tcPr>
          <w:p w14:paraId="4A1A3137" w14:textId="77777777" w:rsidR="00901FEC" w:rsidRDefault="00901FEC" w:rsidP="0038665F">
            <w:pPr>
              <w:jc w:val="center"/>
            </w:pPr>
            <w:r>
              <w:t>Design</w:t>
            </w:r>
          </w:p>
        </w:tc>
        <w:tc>
          <w:tcPr>
            <w:tcW w:w="3117" w:type="dxa"/>
          </w:tcPr>
          <w:p w14:paraId="69DEDE39" w14:textId="274A2580" w:rsidR="00901FEC" w:rsidRDefault="00901FEC" w:rsidP="0038665F">
            <w:pPr>
              <w:jc w:val="center"/>
            </w:pPr>
            <w:r>
              <w:t>31</w:t>
            </w:r>
            <w:r w:rsidR="006A36CB">
              <w:t>8</w:t>
            </w:r>
          </w:p>
        </w:tc>
        <w:tc>
          <w:tcPr>
            <w:tcW w:w="3117" w:type="dxa"/>
          </w:tcPr>
          <w:p w14:paraId="26002958" w14:textId="1DDE0C11" w:rsidR="00901FEC" w:rsidRDefault="00901FEC" w:rsidP="0038665F">
            <w:pPr>
              <w:jc w:val="center"/>
            </w:pPr>
            <w:r>
              <w:t>2</w:t>
            </w:r>
            <w:r w:rsidR="006A36CB">
              <w:t>81</w:t>
            </w:r>
          </w:p>
        </w:tc>
      </w:tr>
      <w:tr w:rsidR="00901FEC" w14:paraId="0679F32A" w14:textId="77777777" w:rsidTr="0038665F">
        <w:tc>
          <w:tcPr>
            <w:tcW w:w="3116" w:type="dxa"/>
          </w:tcPr>
          <w:p w14:paraId="592631DB" w14:textId="77777777" w:rsidR="00901FEC" w:rsidRDefault="00901FEC" w:rsidP="0038665F">
            <w:pPr>
              <w:jc w:val="center"/>
            </w:pPr>
            <w:r>
              <w:t>Health</w:t>
            </w:r>
          </w:p>
        </w:tc>
        <w:tc>
          <w:tcPr>
            <w:tcW w:w="3117" w:type="dxa"/>
          </w:tcPr>
          <w:p w14:paraId="295393AC" w14:textId="47F2343D" w:rsidR="00901FEC" w:rsidRDefault="00901FEC" w:rsidP="0038665F">
            <w:pPr>
              <w:jc w:val="center"/>
            </w:pPr>
            <w:r>
              <w:t>2</w:t>
            </w:r>
            <w:r w:rsidR="006A36CB">
              <w:t>879</w:t>
            </w:r>
          </w:p>
        </w:tc>
        <w:tc>
          <w:tcPr>
            <w:tcW w:w="3117" w:type="dxa"/>
          </w:tcPr>
          <w:p w14:paraId="065503A8" w14:textId="525508C1" w:rsidR="00901FEC" w:rsidRDefault="006A36CB" w:rsidP="0038665F">
            <w:pPr>
              <w:jc w:val="center"/>
            </w:pPr>
            <w:r>
              <w:t>2355</w:t>
            </w:r>
          </w:p>
        </w:tc>
      </w:tr>
      <w:tr w:rsidR="00901FEC" w14:paraId="5D4BE26D" w14:textId="77777777" w:rsidTr="0038665F">
        <w:tc>
          <w:tcPr>
            <w:tcW w:w="3116" w:type="dxa"/>
          </w:tcPr>
          <w:p w14:paraId="0F724F67" w14:textId="77777777" w:rsidR="00901FEC" w:rsidRDefault="00901FEC" w:rsidP="0038665F">
            <w:pPr>
              <w:jc w:val="center"/>
            </w:pPr>
            <w:r>
              <w:t>Media/IT</w:t>
            </w:r>
          </w:p>
        </w:tc>
        <w:tc>
          <w:tcPr>
            <w:tcW w:w="3117" w:type="dxa"/>
          </w:tcPr>
          <w:p w14:paraId="2F5CDE49" w14:textId="6C01BFBE" w:rsidR="00901FEC" w:rsidRDefault="006A36CB" w:rsidP="0038665F">
            <w:pPr>
              <w:jc w:val="center"/>
            </w:pPr>
            <w:r>
              <w:t>1781</w:t>
            </w:r>
          </w:p>
        </w:tc>
        <w:tc>
          <w:tcPr>
            <w:tcW w:w="3117" w:type="dxa"/>
          </w:tcPr>
          <w:p w14:paraId="18C87562" w14:textId="35DB18B8" w:rsidR="00901FEC" w:rsidRDefault="006A36CB" w:rsidP="0038665F">
            <w:pPr>
              <w:jc w:val="center"/>
            </w:pPr>
            <w:r>
              <w:t>1457</w:t>
            </w:r>
          </w:p>
        </w:tc>
      </w:tr>
      <w:tr w:rsidR="00901FEC" w14:paraId="2EBB0CE9" w14:textId="77777777" w:rsidTr="0038665F">
        <w:tc>
          <w:tcPr>
            <w:tcW w:w="3116" w:type="dxa"/>
          </w:tcPr>
          <w:p w14:paraId="433A67C8" w14:textId="77777777" w:rsidR="00901FEC" w:rsidRDefault="00901FEC" w:rsidP="0038665F">
            <w:pPr>
              <w:jc w:val="center"/>
            </w:pPr>
            <w:r>
              <w:t>Service</w:t>
            </w:r>
          </w:p>
        </w:tc>
        <w:tc>
          <w:tcPr>
            <w:tcW w:w="3117" w:type="dxa"/>
          </w:tcPr>
          <w:p w14:paraId="32AC4AFC" w14:textId="6468F049" w:rsidR="00901FEC" w:rsidRDefault="00901FEC" w:rsidP="0038665F">
            <w:pPr>
              <w:jc w:val="center"/>
            </w:pPr>
            <w:r>
              <w:t>82</w:t>
            </w:r>
            <w:r w:rsidR="006A36CB">
              <w:t>7</w:t>
            </w:r>
          </w:p>
        </w:tc>
        <w:tc>
          <w:tcPr>
            <w:tcW w:w="3117" w:type="dxa"/>
          </w:tcPr>
          <w:p w14:paraId="16C56B88" w14:textId="5B88BEFF" w:rsidR="00901FEC" w:rsidRDefault="006A36CB" w:rsidP="0038665F">
            <w:pPr>
              <w:jc w:val="center"/>
            </w:pPr>
            <w:r>
              <w:t>551</w:t>
            </w:r>
          </w:p>
        </w:tc>
      </w:tr>
      <w:tr w:rsidR="00901FEC" w14:paraId="422E5573" w14:textId="77777777" w:rsidTr="0038665F">
        <w:tc>
          <w:tcPr>
            <w:tcW w:w="3116" w:type="dxa"/>
          </w:tcPr>
          <w:p w14:paraId="58EB0B94" w14:textId="77777777" w:rsidR="00901FEC" w:rsidRDefault="00901FEC" w:rsidP="0038665F">
            <w:pPr>
              <w:jc w:val="center"/>
            </w:pPr>
            <w:r>
              <w:t>Other</w:t>
            </w:r>
          </w:p>
        </w:tc>
        <w:tc>
          <w:tcPr>
            <w:tcW w:w="3117" w:type="dxa"/>
          </w:tcPr>
          <w:p w14:paraId="4C280ACD" w14:textId="0729CC3B" w:rsidR="00901FEC" w:rsidRDefault="006A36CB" w:rsidP="0038665F">
            <w:pPr>
              <w:jc w:val="center"/>
            </w:pPr>
            <w:r>
              <w:t>1081</w:t>
            </w:r>
          </w:p>
        </w:tc>
        <w:tc>
          <w:tcPr>
            <w:tcW w:w="3117" w:type="dxa"/>
          </w:tcPr>
          <w:p w14:paraId="373332BD" w14:textId="561F70F8" w:rsidR="00901FEC" w:rsidRDefault="006A36CB" w:rsidP="0038665F">
            <w:pPr>
              <w:jc w:val="center"/>
            </w:pPr>
            <w:r>
              <w:t>1219</w:t>
            </w:r>
          </w:p>
        </w:tc>
      </w:tr>
    </w:tbl>
    <w:p w14:paraId="15C19D2C" w14:textId="77777777" w:rsidR="00901FEC" w:rsidRDefault="00901FEC"/>
    <w:p w14:paraId="029DDEE0" w14:textId="77777777" w:rsidR="009A73A2" w:rsidRDefault="009A73A2">
      <w:r>
        <w:t>b.</w:t>
      </w:r>
    </w:p>
    <w:p w14:paraId="315023B6" w14:textId="4584D31C" w:rsidR="006A36CB" w:rsidRDefault="006A36CB">
      <w:r>
        <w:t>H</w:t>
      </w:r>
      <w:r>
        <w:rPr>
          <w:vertAlign w:val="subscript"/>
        </w:rPr>
        <w:t>0</w:t>
      </w:r>
      <w:r>
        <w:t>: The percent of students using government loans to finance their education does not vary with field of study</w:t>
      </w:r>
    </w:p>
    <w:p w14:paraId="20B9BAC6" w14:textId="14EBCC86" w:rsidR="006A36CB" w:rsidRDefault="006A36CB">
      <w:r>
        <w:t>H</w:t>
      </w:r>
      <w:r>
        <w:rPr>
          <w:vertAlign w:val="subscript"/>
        </w:rPr>
        <w:t>a</w:t>
      </w:r>
      <w:r>
        <w:t>: The percent of students using government loans to finance their education does vary with field of study</w:t>
      </w:r>
    </w:p>
    <w:p w14:paraId="3511E07C" w14:textId="77777777" w:rsidR="006A36CB" w:rsidRDefault="006A36CB"/>
    <w:p w14:paraId="04DBDB9D" w14:textId="2E6EE7E9" w:rsidR="0042201D" w:rsidRDefault="0042201D" w:rsidP="0042201D">
      <w:pPr>
        <w:rPr>
          <w:rFonts w:eastAsiaTheme="minorEastAsia"/>
        </w:rPr>
      </w:pPr>
      <w:r>
        <w:t>X</w:t>
      </w:r>
      <w:r>
        <w:rPr>
          <w:vertAlign w:val="superscript"/>
        </w:rPr>
        <w:t>2</w:t>
      </w:r>
      <w:r>
        <w:t xml:space="preserve"> = </w:t>
      </w:r>
      <m:oMath>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(observed-expected)</m:t>
                    </m:r>
                  </m:e>
                  <m:sup>
                    <m:r>
                      <w:rPr>
                        <w:rFonts w:ascii="Cambria Math" w:hAnsi="Cambria Math"/>
                      </w:rPr>
                      <m:t>2</m:t>
                    </m:r>
                  </m:sup>
                </m:sSup>
              </m:num>
              <m:den>
                <m:r>
                  <w:rPr>
                    <w:rFonts w:ascii="Cambria Math" w:hAnsi="Cambria Math"/>
                  </w:rPr>
                  <m:t>expected</m:t>
                </m:r>
              </m:den>
            </m:f>
          </m:e>
        </m:nary>
      </m:oMath>
      <w:r>
        <w:rPr>
          <w:rFonts w:eastAsiaTheme="minorEastAsia"/>
        </w:rPr>
        <w:t xml:space="preserve"> = </w:t>
      </w:r>
      <w:r>
        <w:rPr>
          <w:rFonts w:eastAsiaTheme="minorEastAsia"/>
        </w:rPr>
        <w:t>97.52</w:t>
      </w:r>
    </w:p>
    <w:p w14:paraId="6008032E" w14:textId="21694E1C" w:rsidR="0042201D" w:rsidRDefault="0042201D" w:rsidP="0042201D">
      <w:pPr>
        <w:rPr>
          <w:rFonts w:eastAsiaTheme="minorEastAsia"/>
        </w:rPr>
      </w:pPr>
      <w:r>
        <w:rPr>
          <w:rFonts w:eastAsiaTheme="minorEastAsia"/>
        </w:rPr>
        <w:t>P(x</w:t>
      </w:r>
      <w:r>
        <w:rPr>
          <w:rFonts w:eastAsiaTheme="minorEastAsia"/>
          <w:vertAlign w:val="superscript"/>
        </w:rPr>
        <w:t>2</w:t>
      </w:r>
      <w:r>
        <w:rPr>
          <w:rFonts w:eastAsiaTheme="minorEastAsia"/>
        </w:rPr>
        <w:t xml:space="preserve"> &gt; 97.52) = 0.0001</w:t>
      </w:r>
    </w:p>
    <w:p w14:paraId="04829A62" w14:textId="24766223" w:rsidR="0042201D" w:rsidRDefault="0042201D" w:rsidP="0042201D">
      <w:pPr>
        <w:rPr>
          <w:rFonts w:eastAsiaTheme="minorEastAsia"/>
        </w:rPr>
      </w:pPr>
      <w:r>
        <w:rPr>
          <w:rFonts w:eastAsiaTheme="minorEastAsia"/>
        </w:rPr>
        <w:t xml:space="preserve">We reject the null hypothesis because the significant p-value is less than 0.05. Therefore, we know that the percent of students using government loans to finance their education does vary with the field of study. </w:t>
      </w:r>
    </w:p>
    <w:p w14:paraId="796E167F" w14:textId="77777777" w:rsidR="0022658F" w:rsidRPr="0042201D" w:rsidRDefault="0022658F" w:rsidP="0042201D">
      <w:pPr>
        <w:rPr>
          <w:rFonts w:eastAsiaTheme="minorEastAsia"/>
        </w:rPr>
      </w:pPr>
    </w:p>
    <w:p w14:paraId="7D7BFABB" w14:textId="77777777" w:rsidR="009A73A2" w:rsidRDefault="009A73A2">
      <w:r>
        <w:t>c.</w:t>
      </w:r>
    </w:p>
    <w:p w14:paraId="25229673" w14:textId="22A8A2D6" w:rsidR="006A36CB" w:rsidRDefault="006A36CB">
      <w:r>
        <w:t>The significant p-value, 0.0001 is less than 0.05, therefore, the null hypothesis is rejected. There is sufficient evidence to indicate that the percent of students using government loans to finance their education does vary with field of study as this result is statistically significant.</w:t>
      </w:r>
    </w:p>
    <w:p w14:paraId="721E1996" w14:textId="2AFCA15E" w:rsidR="00861D36" w:rsidRDefault="00866648">
      <w:r>
        <w:rPr>
          <w:noProof/>
        </w:rPr>
        <w:drawing>
          <wp:inline distT="0" distB="0" distL="0" distR="0" wp14:anchorId="4FA21F68" wp14:editId="04E095EC">
            <wp:extent cx="3602717" cy="2150739"/>
            <wp:effectExtent l="0" t="0" r="4445" b="8890"/>
            <wp:docPr id="3" name="Picture 3" descr="../../../../../Desktop/Screen%20Shot%202018-11-05%20at%204.56.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05%20at%204.56.3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957" cy="2162822"/>
                    </a:xfrm>
                    <a:prstGeom prst="rect">
                      <a:avLst/>
                    </a:prstGeom>
                    <a:noFill/>
                    <a:ln>
                      <a:noFill/>
                    </a:ln>
                  </pic:spPr>
                </pic:pic>
              </a:graphicData>
            </a:graphic>
          </wp:inline>
        </w:drawing>
      </w:r>
    </w:p>
    <w:p w14:paraId="7C4ACB7D" w14:textId="29530CC8" w:rsidR="00861D36" w:rsidRDefault="00861D36">
      <w:r>
        <w:t xml:space="preserve">From the graph, we can conclude that the percent of students using government loans to finance their study like design, health, media/IT and service is higher than other studies such as trades and others. </w:t>
      </w:r>
    </w:p>
    <w:p w14:paraId="4EDFD713" w14:textId="77777777" w:rsidR="00861D36" w:rsidRDefault="00861D36"/>
    <w:p w14:paraId="4C93FC59" w14:textId="77777777" w:rsidR="00327B16" w:rsidRDefault="00327B16">
      <w:bookmarkStart w:id="0" w:name="_GoBack"/>
      <w:bookmarkEnd w:id="0"/>
    </w:p>
    <w:p w14:paraId="184EE375" w14:textId="77777777" w:rsidR="009A73A2" w:rsidRDefault="009A73A2">
      <w:r>
        <w:t>d.</w:t>
      </w:r>
    </w:p>
    <w:p w14:paraId="2578ABF0" w14:textId="31274D2A" w:rsidR="001B7EE2" w:rsidRDefault="007734EA">
      <w:r>
        <w:t xml:space="preserve">In 9.41, the total number was 13,364 students, but in 9.42, the total number was 13,691 students. A possible reason for this is because the government prefers to fund public colleges over private colleges since private colleges have their old funding. </w:t>
      </w:r>
    </w:p>
    <w:p w14:paraId="4BC804FF" w14:textId="77777777" w:rsidR="007734EA" w:rsidRPr="007734EA" w:rsidRDefault="007734EA"/>
    <w:p w14:paraId="2168E504" w14:textId="77777777" w:rsidR="001B7EE2" w:rsidRDefault="001B7EE2">
      <w:pPr>
        <w:rPr>
          <w:u w:val="single"/>
        </w:rPr>
      </w:pPr>
      <w:r w:rsidRPr="001B7EE2">
        <w:rPr>
          <w:u w:val="single"/>
        </w:rPr>
        <w:t>9.43</w:t>
      </w:r>
    </w:p>
    <w:p w14:paraId="5026813A" w14:textId="77777777" w:rsidR="001B7EE2" w:rsidRDefault="009A73A2">
      <w:r>
        <w:t>a.</w:t>
      </w:r>
    </w:p>
    <w:tbl>
      <w:tblPr>
        <w:tblStyle w:val="TableGrid"/>
        <w:tblW w:w="0" w:type="auto"/>
        <w:tblLook w:val="04A0" w:firstRow="1" w:lastRow="0" w:firstColumn="1" w:lastColumn="0" w:noHBand="0" w:noVBand="1"/>
      </w:tblPr>
      <w:tblGrid>
        <w:gridCol w:w="3116"/>
        <w:gridCol w:w="3117"/>
        <w:gridCol w:w="3117"/>
      </w:tblGrid>
      <w:tr w:rsidR="008624CD" w14:paraId="35E02B89" w14:textId="77777777" w:rsidTr="0038665F">
        <w:trPr>
          <w:trHeight w:val="332"/>
        </w:trPr>
        <w:tc>
          <w:tcPr>
            <w:tcW w:w="3116" w:type="dxa"/>
          </w:tcPr>
          <w:p w14:paraId="40C0EE0D" w14:textId="77777777" w:rsidR="008624CD" w:rsidRDefault="008624CD" w:rsidP="0038665F">
            <w:pPr>
              <w:jc w:val="center"/>
            </w:pPr>
            <w:r>
              <w:t>Field of Study</w:t>
            </w:r>
          </w:p>
        </w:tc>
        <w:tc>
          <w:tcPr>
            <w:tcW w:w="3117" w:type="dxa"/>
          </w:tcPr>
          <w:p w14:paraId="44794DCD" w14:textId="386ADD97" w:rsidR="008624CD" w:rsidRDefault="008624CD" w:rsidP="0038665F">
            <w:pPr>
              <w:jc w:val="center"/>
            </w:pPr>
            <w:r>
              <w:t>Using family</w:t>
            </w:r>
          </w:p>
        </w:tc>
        <w:tc>
          <w:tcPr>
            <w:tcW w:w="3117" w:type="dxa"/>
          </w:tcPr>
          <w:p w14:paraId="7CAA8C95" w14:textId="76C3B2C2" w:rsidR="008624CD" w:rsidRDefault="008624CD" w:rsidP="0038665F">
            <w:pPr>
              <w:jc w:val="center"/>
            </w:pPr>
            <w:r>
              <w:t>Not using family</w:t>
            </w:r>
          </w:p>
        </w:tc>
      </w:tr>
      <w:tr w:rsidR="008624CD" w14:paraId="580A2F6B" w14:textId="77777777" w:rsidTr="0038665F">
        <w:tc>
          <w:tcPr>
            <w:tcW w:w="3116" w:type="dxa"/>
          </w:tcPr>
          <w:p w14:paraId="73F306E6" w14:textId="77777777" w:rsidR="008624CD" w:rsidRDefault="008624CD" w:rsidP="0038665F">
            <w:pPr>
              <w:jc w:val="center"/>
            </w:pPr>
            <w:r>
              <w:t>Trades</w:t>
            </w:r>
          </w:p>
        </w:tc>
        <w:tc>
          <w:tcPr>
            <w:tcW w:w="3117" w:type="dxa"/>
          </w:tcPr>
          <w:p w14:paraId="4D5CA77B" w14:textId="4CADB290" w:rsidR="008624CD" w:rsidRDefault="008624CD" w:rsidP="0038665F">
            <w:pPr>
              <w:jc w:val="center"/>
            </w:pPr>
            <w:r>
              <w:t>188</w:t>
            </w:r>
          </w:p>
        </w:tc>
        <w:tc>
          <w:tcPr>
            <w:tcW w:w="3117" w:type="dxa"/>
          </w:tcPr>
          <w:p w14:paraId="7691F252" w14:textId="533A5040" w:rsidR="008624CD" w:rsidRDefault="008624CD" w:rsidP="0038665F">
            <w:pPr>
              <w:jc w:val="center"/>
            </w:pPr>
            <w:r>
              <w:t>754</w:t>
            </w:r>
          </w:p>
        </w:tc>
      </w:tr>
      <w:tr w:rsidR="008624CD" w14:paraId="5C994209" w14:textId="77777777" w:rsidTr="0038665F">
        <w:tc>
          <w:tcPr>
            <w:tcW w:w="3116" w:type="dxa"/>
          </w:tcPr>
          <w:p w14:paraId="19CA10FD" w14:textId="77777777" w:rsidR="008624CD" w:rsidRDefault="008624CD" w:rsidP="0038665F">
            <w:pPr>
              <w:jc w:val="center"/>
            </w:pPr>
            <w:r>
              <w:t>Design</w:t>
            </w:r>
          </w:p>
        </w:tc>
        <w:tc>
          <w:tcPr>
            <w:tcW w:w="3117" w:type="dxa"/>
          </w:tcPr>
          <w:p w14:paraId="77FA69B6" w14:textId="5F03C7F0" w:rsidR="008624CD" w:rsidRDefault="008624CD" w:rsidP="0038665F">
            <w:pPr>
              <w:jc w:val="center"/>
            </w:pPr>
            <w:r>
              <w:t>221</w:t>
            </w:r>
          </w:p>
        </w:tc>
        <w:tc>
          <w:tcPr>
            <w:tcW w:w="3117" w:type="dxa"/>
          </w:tcPr>
          <w:p w14:paraId="5CB666F9" w14:textId="188C8064" w:rsidR="008624CD" w:rsidRDefault="008624CD" w:rsidP="0038665F">
            <w:pPr>
              <w:jc w:val="center"/>
            </w:pPr>
            <w:r>
              <w:t>378</w:t>
            </w:r>
          </w:p>
        </w:tc>
      </w:tr>
      <w:tr w:rsidR="008624CD" w14:paraId="0C421697" w14:textId="77777777" w:rsidTr="0038665F">
        <w:tc>
          <w:tcPr>
            <w:tcW w:w="3116" w:type="dxa"/>
          </w:tcPr>
          <w:p w14:paraId="7E873C77" w14:textId="77777777" w:rsidR="008624CD" w:rsidRDefault="008624CD" w:rsidP="0038665F">
            <w:pPr>
              <w:jc w:val="center"/>
            </w:pPr>
            <w:r>
              <w:t>Health</w:t>
            </w:r>
          </w:p>
        </w:tc>
        <w:tc>
          <w:tcPr>
            <w:tcW w:w="3117" w:type="dxa"/>
          </w:tcPr>
          <w:p w14:paraId="2527A255" w14:textId="10020F26" w:rsidR="008624CD" w:rsidRDefault="008624CD" w:rsidP="0038665F">
            <w:pPr>
              <w:jc w:val="center"/>
            </w:pPr>
            <w:r>
              <w:t>1360</w:t>
            </w:r>
          </w:p>
        </w:tc>
        <w:tc>
          <w:tcPr>
            <w:tcW w:w="3117" w:type="dxa"/>
          </w:tcPr>
          <w:p w14:paraId="7C8B6F84" w14:textId="773AE85F" w:rsidR="008624CD" w:rsidRDefault="008624CD" w:rsidP="0038665F">
            <w:pPr>
              <w:jc w:val="center"/>
            </w:pPr>
            <w:r>
              <w:t>3874</w:t>
            </w:r>
          </w:p>
        </w:tc>
      </w:tr>
      <w:tr w:rsidR="008624CD" w14:paraId="667EE140" w14:textId="77777777" w:rsidTr="0038665F">
        <w:tc>
          <w:tcPr>
            <w:tcW w:w="3116" w:type="dxa"/>
          </w:tcPr>
          <w:p w14:paraId="5E69473E" w14:textId="77777777" w:rsidR="008624CD" w:rsidRDefault="008624CD" w:rsidP="0038665F">
            <w:pPr>
              <w:jc w:val="center"/>
            </w:pPr>
            <w:r>
              <w:t>Media/IT</w:t>
            </w:r>
          </w:p>
        </w:tc>
        <w:tc>
          <w:tcPr>
            <w:tcW w:w="3117" w:type="dxa"/>
          </w:tcPr>
          <w:p w14:paraId="07DEEBB2" w14:textId="30E1F936" w:rsidR="008624CD" w:rsidRDefault="008624CD" w:rsidP="0038665F">
            <w:pPr>
              <w:jc w:val="center"/>
            </w:pPr>
            <w:r>
              <w:t>518</w:t>
            </w:r>
          </w:p>
        </w:tc>
        <w:tc>
          <w:tcPr>
            <w:tcW w:w="3117" w:type="dxa"/>
          </w:tcPr>
          <w:p w14:paraId="0E04BACC" w14:textId="0A964A1F" w:rsidR="008624CD" w:rsidRDefault="008624CD" w:rsidP="0038665F">
            <w:pPr>
              <w:jc w:val="center"/>
            </w:pPr>
            <w:r>
              <w:t>2720</w:t>
            </w:r>
          </w:p>
        </w:tc>
      </w:tr>
      <w:tr w:rsidR="008624CD" w14:paraId="7B6C30C2" w14:textId="77777777" w:rsidTr="0038665F">
        <w:tc>
          <w:tcPr>
            <w:tcW w:w="3116" w:type="dxa"/>
          </w:tcPr>
          <w:p w14:paraId="2C94367C" w14:textId="77777777" w:rsidR="008624CD" w:rsidRDefault="008624CD" w:rsidP="0038665F">
            <w:pPr>
              <w:jc w:val="center"/>
            </w:pPr>
            <w:r>
              <w:t>Service</w:t>
            </w:r>
          </w:p>
        </w:tc>
        <w:tc>
          <w:tcPr>
            <w:tcW w:w="3117" w:type="dxa"/>
          </w:tcPr>
          <w:p w14:paraId="4CFAEB8B" w14:textId="7BDAF0D7" w:rsidR="008624CD" w:rsidRDefault="008624CD" w:rsidP="0038665F">
            <w:pPr>
              <w:jc w:val="center"/>
            </w:pPr>
            <w:r>
              <w:t>248</w:t>
            </w:r>
          </w:p>
        </w:tc>
        <w:tc>
          <w:tcPr>
            <w:tcW w:w="3117" w:type="dxa"/>
          </w:tcPr>
          <w:p w14:paraId="512B0BB0" w14:textId="22FACFBA" w:rsidR="008624CD" w:rsidRDefault="008624CD" w:rsidP="0038665F">
            <w:pPr>
              <w:jc w:val="center"/>
            </w:pPr>
            <w:r>
              <w:t>1130</w:t>
            </w:r>
          </w:p>
        </w:tc>
      </w:tr>
      <w:tr w:rsidR="008624CD" w14:paraId="3BF32B09" w14:textId="77777777" w:rsidTr="0038665F">
        <w:tc>
          <w:tcPr>
            <w:tcW w:w="3116" w:type="dxa"/>
          </w:tcPr>
          <w:p w14:paraId="009769CF" w14:textId="77777777" w:rsidR="008624CD" w:rsidRDefault="008624CD" w:rsidP="0038665F">
            <w:pPr>
              <w:jc w:val="center"/>
            </w:pPr>
            <w:r>
              <w:t>Other</w:t>
            </w:r>
          </w:p>
        </w:tc>
        <w:tc>
          <w:tcPr>
            <w:tcW w:w="3117" w:type="dxa"/>
          </w:tcPr>
          <w:p w14:paraId="4BC2C9E5" w14:textId="13F58E29" w:rsidR="008624CD" w:rsidRDefault="008624CD" w:rsidP="0038665F">
            <w:pPr>
              <w:jc w:val="center"/>
            </w:pPr>
            <w:r>
              <w:t>943</w:t>
            </w:r>
          </w:p>
        </w:tc>
        <w:tc>
          <w:tcPr>
            <w:tcW w:w="3117" w:type="dxa"/>
          </w:tcPr>
          <w:p w14:paraId="0AC829AB" w14:textId="25A5D8AD" w:rsidR="008624CD" w:rsidRDefault="008624CD" w:rsidP="0038665F">
            <w:pPr>
              <w:jc w:val="center"/>
            </w:pPr>
            <w:r>
              <w:t>1357</w:t>
            </w:r>
          </w:p>
        </w:tc>
      </w:tr>
    </w:tbl>
    <w:p w14:paraId="63AEB775" w14:textId="77777777" w:rsidR="008624CD" w:rsidRDefault="008624CD"/>
    <w:p w14:paraId="70385F71" w14:textId="77777777" w:rsidR="009A73A2" w:rsidRDefault="009A73A2">
      <w:r>
        <w:t>b.</w:t>
      </w:r>
    </w:p>
    <w:p w14:paraId="667628BB" w14:textId="37A5236A" w:rsidR="008624CD" w:rsidRDefault="008624CD">
      <w:r>
        <w:t>H</w:t>
      </w:r>
      <w:r>
        <w:rPr>
          <w:vertAlign w:val="subscript"/>
        </w:rPr>
        <w:t>0</w:t>
      </w:r>
      <w:r>
        <w:t>: There is no association between the government loans and the field of study</w:t>
      </w:r>
    </w:p>
    <w:p w14:paraId="71FFCD44" w14:textId="34A8A629" w:rsidR="008624CD" w:rsidRDefault="008624CD">
      <w:r>
        <w:t>H</w:t>
      </w:r>
      <w:r>
        <w:rPr>
          <w:vertAlign w:val="subscript"/>
        </w:rPr>
        <w:t>a</w:t>
      </w:r>
      <w:r>
        <w:t xml:space="preserve">: There is an association between the government loans </w:t>
      </w:r>
      <w:r w:rsidR="00095241">
        <w:t xml:space="preserve">and </w:t>
      </w:r>
      <w:r>
        <w:t>the field of study</w:t>
      </w:r>
    </w:p>
    <w:p w14:paraId="5249C7BE" w14:textId="65CB3FBA" w:rsidR="00095241" w:rsidRDefault="0026684B" w:rsidP="0026684B">
      <w:pPr>
        <w:rPr>
          <w:rFonts w:eastAsiaTheme="minorEastAsia"/>
        </w:rPr>
      </w:pPr>
      <w:r>
        <w:t>X</w:t>
      </w:r>
      <w:r>
        <w:rPr>
          <w:vertAlign w:val="superscript"/>
        </w:rPr>
        <w:t>2</w:t>
      </w:r>
      <w:r>
        <w:t xml:space="preserve"> = </w:t>
      </w:r>
      <m:oMath>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(observed-expected)</m:t>
                    </m:r>
                  </m:e>
                  <m:sup>
                    <m:r>
                      <w:rPr>
                        <w:rFonts w:ascii="Cambria Math" w:hAnsi="Cambria Math"/>
                      </w:rPr>
                      <m:t>2</m:t>
                    </m:r>
                  </m:sup>
                </m:sSup>
              </m:num>
              <m:den>
                <m:r>
                  <w:rPr>
                    <w:rFonts w:ascii="Cambria Math" w:hAnsi="Cambria Math"/>
                  </w:rPr>
                  <m:t>expected</m:t>
                </m:r>
              </m:den>
            </m:f>
          </m:e>
        </m:nary>
      </m:oMath>
      <w:r>
        <w:rPr>
          <w:rFonts w:eastAsiaTheme="minorEastAsia"/>
        </w:rPr>
        <w:t xml:space="preserve"> </w:t>
      </w:r>
      <w:r w:rsidR="00095241">
        <w:rPr>
          <w:rFonts w:eastAsiaTheme="minorEastAsia"/>
        </w:rPr>
        <w:t xml:space="preserve"> = 543.98</w:t>
      </w:r>
    </w:p>
    <w:p w14:paraId="59A26F50" w14:textId="3C03C452" w:rsidR="00095241" w:rsidRDefault="00095241" w:rsidP="00095241">
      <w:pPr>
        <w:rPr>
          <w:rFonts w:ascii="Arial" w:eastAsia="Times New Roman" w:hAnsi="Arial" w:cs="Arial"/>
          <w:color w:val="000000"/>
          <w:sz w:val="22"/>
          <w:szCs w:val="22"/>
        </w:rPr>
      </w:pPr>
      <m:oMath>
        <m:r>
          <w:rPr>
            <w:rFonts w:ascii="Cambria Math" w:eastAsia="Times New Roman" w:hAnsi="Cambria Math" w:cs="Arial"/>
            <w:color w:val="000000"/>
            <w:sz w:val="22"/>
            <w:szCs w:val="22"/>
          </w:rPr>
          <m:t>α</m:t>
        </m:r>
      </m:oMath>
      <w:r w:rsidRPr="00095241">
        <w:rPr>
          <w:rFonts w:ascii="Arial" w:eastAsia="Times New Roman" w:hAnsi="Arial" w:cs="Arial"/>
          <w:color w:val="000000"/>
          <w:sz w:val="22"/>
          <w:szCs w:val="22"/>
        </w:rPr>
        <w:t>= 0.05</w:t>
      </w:r>
    </w:p>
    <w:p w14:paraId="6B15B0E8" w14:textId="6B944AEF" w:rsidR="00095241" w:rsidRPr="00095241" w:rsidRDefault="00095241" w:rsidP="00095241">
      <w:pPr>
        <w:rPr>
          <w:rFonts w:ascii="Arial" w:eastAsia="Times New Roman" w:hAnsi="Arial" w:cs="Arial"/>
          <w:color w:val="000000"/>
          <w:sz w:val="22"/>
          <w:szCs w:val="22"/>
        </w:rPr>
      </w:pPr>
      <w:r>
        <w:rPr>
          <w:rFonts w:ascii="Arial" w:eastAsia="Times New Roman" w:hAnsi="Arial" w:cs="Arial"/>
          <w:color w:val="000000"/>
          <w:sz w:val="22"/>
          <w:szCs w:val="22"/>
        </w:rPr>
        <w:t>P(x</w:t>
      </w:r>
      <w:r>
        <w:rPr>
          <w:rFonts w:ascii="Arial" w:eastAsia="Times New Roman" w:hAnsi="Arial" w:cs="Arial"/>
          <w:color w:val="000000"/>
          <w:sz w:val="22"/>
          <w:szCs w:val="22"/>
          <w:vertAlign w:val="superscript"/>
        </w:rPr>
        <w:t>2</w:t>
      </w:r>
      <w:r>
        <w:rPr>
          <w:rFonts w:ascii="Arial" w:eastAsia="Times New Roman" w:hAnsi="Arial" w:cs="Arial"/>
          <w:color w:val="000000"/>
          <w:sz w:val="22"/>
          <w:szCs w:val="22"/>
        </w:rPr>
        <w:t>&gt;543.98)</w:t>
      </w:r>
      <w:r w:rsidR="00135A2B">
        <w:rPr>
          <w:rFonts w:ascii="Arial" w:eastAsia="Times New Roman" w:hAnsi="Arial" w:cs="Arial"/>
          <w:color w:val="000000"/>
          <w:sz w:val="22"/>
          <w:szCs w:val="22"/>
        </w:rPr>
        <w:t xml:space="preserve"> = 0.0001</w:t>
      </w:r>
    </w:p>
    <w:p w14:paraId="397C15F8" w14:textId="2FF2F2C8" w:rsidR="0026684B" w:rsidRDefault="00135A2B">
      <w:pPr>
        <w:rPr>
          <w:rFonts w:ascii="Times New Roman" w:eastAsia="Times New Roman" w:hAnsi="Times New Roman" w:cs="Times New Roman"/>
        </w:rPr>
      </w:pPr>
      <w:r>
        <w:rPr>
          <w:rFonts w:ascii="Times New Roman" w:eastAsia="Times New Roman" w:hAnsi="Times New Roman" w:cs="Times New Roman"/>
        </w:rPr>
        <w:t xml:space="preserve">Reject the null hypothesis because the significant p-value is less than 0.05. </w:t>
      </w:r>
      <w:r w:rsidR="00095241">
        <w:rPr>
          <w:rFonts w:ascii="Times New Roman" w:eastAsia="Times New Roman" w:hAnsi="Times New Roman" w:cs="Times New Roman"/>
        </w:rPr>
        <w:t>therefore, there is an association between the government loans and the field of study</w:t>
      </w:r>
      <w:r>
        <w:rPr>
          <w:rFonts w:ascii="Times New Roman" w:eastAsia="Times New Roman" w:hAnsi="Times New Roman" w:cs="Times New Roman"/>
        </w:rPr>
        <w:t>.</w:t>
      </w:r>
    </w:p>
    <w:p w14:paraId="1658C005" w14:textId="77777777" w:rsidR="0042201D" w:rsidRPr="0042201D" w:rsidRDefault="0042201D">
      <w:pPr>
        <w:rPr>
          <w:rFonts w:ascii="Times New Roman" w:eastAsia="Times New Roman" w:hAnsi="Times New Roman" w:cs="Times New Roman"/>
        </w:rPr>
      </w:pPr>
    </w:p>
    <w:p w14:paraId="3DB255EE" w14:textId="77777777" w:rsidR="009A73A2" w:rsidRDefault="009A73A2">
      <w:r>
        <w:t>c.</w:t>
      </w:r>
    </w:p>
    <w:p w14:paraId="5CA10460" w14:textId="003D8E58" w:rsidR="00E05EC9" w:rsidRDefault="00E05EC9" w:rsidP="00E05EC9">
      <w:r>
        <w:t xml:space="preserve">The significant p-value, 0.0001 is less than 0.05, therefore, the null hypothesis is rejected. There is sufficient evidence to indicate </w:t>
      </w:r>
      <w:r>
        <w:t>that there is an association between the government loans and the field of study</w:t>
      </w:r>
      <w:r>
        <w:t xml:space="preserve"> as this result is statistically significant.</w:t>
      </w:r>
    </w:p>
    <w:p w14:paraId="548A7E2A" w14:textId="36C44B22" w:rsidR="00E05EC9" w:rsidRDefault="00866648" w:rsidP="00E05EC9">
      <w:r>
        <w:rPr>
          <w:noProof/>
        </w:rPr>
        <w:drawing>
          <wp:inline distT="0" distB="0" distL="0" distR="0" wp14:anchorId="6C6F5D08" wp14:editId="49E5908C">
            <wp:extent cx="3610550" cy="2162490"/>
            <wp:effectExtent l="0" t="0" r="0" b="0"/>
            <wp:docPr id="4" name="Picture 4" descr="../../../../../Desktop/Screen%20Shot%202018-11-05%20at%204.57.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05%20at%204.57.53%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284" cy="2165924"/>
                    </a:xfrm>
                    <a:prstGeom prst="rect">
                      <a:avLst/>
                    </a:prstGeom>
                    <a:noFill/>
                    <a:ln>
                      <a:noFill/>
                    </a:ln>
                  </pic:spPr>
                </pic:pic>
              </a:graphicData>
            </a:graphic>
          </wp:inline>
        </w:drawing>
      </w:r>
    </w:p>
    <w:p w14:paraId="6016F3F0" w14:textId="39B3422C" w:rsidR="00E05EC9" w:rsidRDefault="00E05EC9" w:rsidP="00E05EC9">
      <w:r>
        <w:t>From the graph, we can see that most people choose to go to the Health and Media/IT fields. In addition, we can also see that students do not rely on their parents/family/spouse to fund college.</w:t>
      </w:r>
    </w:p>
    <w:p w14:paraId="733BEA86" w14:textId="77777777" w:rsidR="00E05EC9" w:rsidRDefault="00E05EC9"/>
    <w:p w14:paraId="06DB6DA8" w14:textId="77777777" w:rsidR="001D77F3" w:rsidRDefault="009A73A2" w:rsidP="007734EA">
      <w:r>
        <w:t>d.</w:t>
      </w:r>
      <w:r w:rsidR="007734EA">
        <w:t xml:space="preserve"> </w:t>
      </w:r>
    </w:p>
    <w:p w14:paraId="52576629" w14:textId="2B0A874C" w:rsidR="007734EA" w:rsidRDefault="007734EA" w:rsidP="007734EA">
      <w:r>
        <w:t xml:space="preserve">In 9.41, the total number </w:t>
      </w:r>
      <w:r>
        <w:t>was 13,364 students, but in 9.43</w:t>
      </w:r>
      <w:r>
        <w:t xml:space="preserve">, the total number was 13,691 students. A possible reason for this is because </w:t>
      </w:r>
      <w:r>
        <w:t xml:space="preserve">students going to private college are taking out more loans as private colleges are typically more expensive then public colleges. </w:t>
      </w:r>
    </w:p>
    <w:p w14:paraId="7D976A3E" w14:textId="37AF1222" w:rsidR="009A73A2" w:rsidRPr="001B7EE2" w:rsidRDefault="009A73A2"/>
    <w:sectPr w:rsidR="009A73A2" w:rsidRPr="001B7EE2" w:rsidSect="00E417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BFBDE" w14:textId="77777777" w:rsidR="00C3590C" w:rsidRDefault="00C3590C" w:rsidP="001B7EE2">
      <w:r>
        <w:separator/>
      </w:r>
    </w:p>
  </w:endnote>
  <w:endnote w:type="continuationSeparator" w:id="0">
    <w:p w14:paraId="00D9B9EE" w14:textId="77777777" w:rsidR="00C3590C" w:rsidRDefault="00C3590C" w:rsidP="001B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08D50" w14:textId="77777777" w:rsidR="00C3590C" w:rsidRDefault="00C3590C" w:rsidP="001B7EE2">
      <w:r>
        <w:separator/>
      </w:r>
    </w:p>
  </w:footnote>
  <w:footnote w:type="continuationSeparator" w:id="0">
    <w:p w14:paraId="4082A898" w14:textId="77777777" w:rsidR="00C3590C" w:rsidRDefault="00C3590C" w:rsidP="001B7E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C228" w14:textId="77777777" w:rsidR="001B7EE2" w:rsidRDefault="001B7EE2" w:rsidP="001B7EE2">
    <w:pPr>
      <w:pStyle w:val="Header"/>
      <w:jc w:val="right"/>
    </w:pPr>
    <w:r>
      <w:t>Christina Li</w:t>
    </w:r>
  </w:p>
  <w:p w14:paraId="15E84662" w14:textId="77777777" w:rsidR="001B7EE2" w:rsidRDefault="001B7EE2" w:rsidP="001B7EE2">
    <w:pPr>
      <w:pStyle w:val="Header"/>
      <w:jc w:val="right"/>
    </w:pPr>
    <w:r>
      <w:t>October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E2"/>
    <w:rsid w:val="0008212F"/>
    <w:rsid w:val="00095241"/>
    <w:rsid w:val="000F27F4"/>
    <w:rsid w:val="00135A2B"/>
    <w:rsid w:val="0013685D"/>
    <w:rsid w:val="001B7EE2"/>
    <w:rsid w:val="001D77F3"/>
    <w:rsid w:val="0022658F"/>
    <w:rsid w:val="002324E4"/>
    <w:rsid w:val="0026684B"/>
    <w:rsid w:val="002E3F52"/>
    <w:rsid w:val="003176A9"/>
    <w:rsid w:val="00327B16"/>
    <w:rsid w:val="0042201D"/>
    <w:rsid w:val="0068617F"/>
    <w:rsid w:val="006A36CB"/>
    <w:rsid w:val="006B306D"/>
    <w:rsid w:val="007734EA"/>
    <w:rsid w:val="0077657A"/>
    <w:rsid w:val="007E4F20"/>
    <w:rsid w:val="00861D36"/>
    <w:rsid w:val="008624CD"/>
    <w:rsid w:val="00866648"/>
    <w:rsid w:val="00882B0B"/>
    <w:rsid w:val="00901FEC"/>
    <w:rsid w:val="009A73A2"/>
    <w:rsid w:val="00C3590C"/>
    <w:rsid w:val="00C97DBB"/>
    <w:rsid w:val="00CA0129"/>
    <w:rsid w:val="00CD45BE"/>
    <w:rsid w:val="00CE2AE6"/>
    <w:rsid w:val="00E05EC9"/>
    <w:rsid w:val="00E14FEE"/>
    <w:rsid w:val="00E417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FD2C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EE2"/>
    <w:pPr>
      <w:tabs>
        <w:tab w:val="center" w:pos="4680"/>
        <w:tab w:val="right" w:pos="9360"/>
      </w:tabs>
    </w:pPr>
  </w:style>
  <w:style w:type="character" w:customStyle="1" w:styleId="HeaderChar">
    <w:name w:val="Header Char"/>
    <w:basedOn w:val="DefaultParagraphFont"/>
    <w:link w:val="Header"/>
    <w:uiPriority w:val="99"/>
    <w:rsid w:val="001B7EE2"/>
  </w:style>
  <w:style w:type="paragraph" w:styleId="Footer">
    <w:name w:val="footer"/>
    <w:basedOn w:val="Normal"/>
    <w:link w:val="FooterChar"/>
    <w:uiPriority w:val="99"/>
    <w:unhideWhenUsed/>
    <w:rsid w:val="001B7EE2"/>
    <w:pPr>
      <w:tabs>
        <w:tab w:val="center" w:pos="4680"/>
        <w:tab w:val="right" w:pos="9360"/>
      </w:tabs>
    </w:pPr>
  </w:style>
  <w:style w:type="character" w:customStyle="1" w:styleId="FooterChar">
    <w:name w:val="Footer Char"/>
    <w:basedOn w:val="DefaultParagraphFont"/>
    <w:link w:val="Footer"/>
    <w:uiPriority w:val="99"/>
    <w:rsid w:val="001B7EE2"/>
  </w:style>
  <w:style w:type="table" w:styleId="TableGrid">
    <w:name w:val="Table Grid"/>
    <w:basedOn w:val="TableNormal"/>
    <w:uiPriority w:val="39"/>
    <w:rsid w:val="00CE2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7DBB"/>
    <w:rPr>
      <w:color w:val="808080"/>
    </w:rPr>
  </w:style>
  <w:style w:type="paragraph" w:styleId="NormalWeb">
    <w:name w:val="Normal (Web)"/>
    <w:basedOn w:val="Normal"/>
    <w:uiPriority w:val="99"/>
    <w:semiHidden/>
    <w:unhideWhenUsed/>
    <w:rsid w:val="0013685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62990">
      <w:bodyDiv w:val="1"/>
      <w:marLeft w:val="0"/>
      <w:marRight w:val="0"/>
      <w:marTop w:val="0"/>
      <w:marBottom w:val="0"/>
      <w:divBdr>
        <w:top w:val="none" w:sz="0" w:space="0" w:color="auto"/>
        <w:left w:val="none" w:sz="0" w:space="0" w:color="auto"/>
        <w:bottom w:val="none" w:sz="0" w:space="0" w:color="auto"/>
        <w:right w:val="none" w:sz="0" w:space="0" w:color="auto"/>
      </w:divBdr>
    </w:div>
    <w:div w:id="2107918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605</Words>
  <Characters>3454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Y Li</dc:creator>
  <cp:keywords/>
  <dc:description/>
  <cp:lastModifiedBy>Christina Y Li</cp:lastModifiedBy>
  <cp:revision>10</cp:revision>
  <dcterms:created xsi:type="dcterms:W3CDTF">2018-10-30T16:28:00Z</dcterms:created>
  <dcterms:modified xsi:type="dcterms:W3CDTF">2018-11-05T22:00:00Z</dcterms:modified>
</cp:coreProperties>
</file>