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Equipment Checkout System (ECS) — Software Design Description (SDD)</w:t>
      </w:r>
    </w:p>
    <w:p>
      <w:r>
        <w:t>Prepared by: Group 9</w:t>
        <w:br/>
        <w:t>Date: 2025-08-10</w:t>
        <w:br/>
        <w:t>Version: v1.0</w:t>
      </w:r>
    </w:p>
    <w:p>
      <w:r>
        <w:t>Purpose: Define the component-level design for ECS and provide a complete blueprint for construction and testing.</w:t>
      </w:r>
    </w:p>
    <w:p>
      <w:r>
        <w:br w:type="page"/>
      </w:r>
    </w:p>
    <w:p>
      <w:pPr>
        <w:pStyle w:val="Heading1"/>
      </w:pPr>
      <w:r>
        <w:t>Revisions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2025-08-10</w:t>
            </w:r>
          </w:p>
        </w:tc>
        <w:tc>
          <w:tcPr>
            <w:tcW w:type="dxa" w:w="2160"/>
          </w:tcPr>
          <w:p>
            <w:r>
              <w:t>Complete SDD with updated RTM and diagrams.</w:t>
            </w:r>
          </w:p>
        </w:tc>
        <w:tc>
          <w:tcPr>
            <w:tcW w:type="dxa" w:w="2160"/>
          </w:tcPr>
          <w:p>
            <w:r>
              <w:t>Group 9</w:t>
            </w:r>
          </w:p>
        </w:tc>
      </w:tr>
    </w:tbl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Provide a complete and organized blueprint for implementing ECS.</w:t>
      </w:r>
    </w:p>
    <w:p>
      <w:pPr>
        <w:pStyle w:val="Heading2"/>
      </w:pPr>
      <w:r>
        <w:t>1.2 Scope</w:t>
      </w:r>
    </w:p>
    <w:p>
      <w:r>
        <w:t>Barcode-based tool checkout/check-in with custody tracking, condition capture, and audit history.</w:t>
      </w:r>
    </w:p>
    <w:p>
      <w:pPr>
        <w:pStyle w:val="Heading2"/>
      </w:pPr>
      <w:r>
        <w:t>1.3 References</w:t>
      </w:r>
    </w:p>
    <w:p>
      <w:r>
        <w:t>- Team 9 IEEE-830 SRS</w:t>
        <w:br/>
        <w:t>- Team 9 Software Architecture Description</w:t>
        <w:br/>
        <w:t>- IEEE Std 1016-2009</w:t>
      </w:r>
    </w:p>
    <w:p>
      <w:pPr>
        <w:pStyle w:val="Heading2"/>
      </w:pPr>
      <w:r>
        <w:t>1.4 Definitions &amp; Acronyms</w:t>
      </w:r>
    </w:p>
    <w:p>
      <w:r>
        <w:t>ECS, UI, API, DAO.</w:t>
      </w:r>
    </w:p>
    <w:p>
      <w:pPr>
        <w:pStyle w:val="Heading1"/>
      </w:pPr>
      <w:r>
        <w:t>2. System Overview</w:t>
      </w:r>
    </w:p>
    <w:p>
      <w:r>
        <w:t>Users log in, scan a tool, perform checkout or check-in. System validates state, updates custodian, logs a transaction, and provides feedback.</w:t>
      </w:r>
    </w:p>
    <w:p>
      <w:pPr>
        <w:pStyle w:val="Heading1"/>
      </w:pPr>
      <w:r>
        <w:t>3. System Architecture</w:t>
      </w:r>
    </w:p>
    <w:p>
      <w:pPr>
        <w:pStyle w:val="Heading2"/>
      </w:pPr>
      <w:r>
        <w:t>3.1 Architectural Style &amp; Rationale</w:t>
      </w:r>
    </w:p>
    <w:p>
      <w:r>
        <w:t>Repository-centered architecture with layered services (UI → Services → Domain → Repositories → DB) for clarity, testability, and incremental build.</w:t>
      </w:r>
    </w:p>
    <w:p>
      <w:pPr>
        <w:pStyle w:val="Heading2"/>
      </w:pPr>
      <w:r>
        <w:t>3.2 Logical View</w:t>
      </w:r>
    </w:p>
    <w:p>
      <w:r>
        <w:t>UI screens (Login, Scan, My Tools, History) call services (AuthService, ToolService, TransactionService, ReportingService) that operate on domain entities (Employee, Tool, Transaction, Warehouse, Supply) via Repositories/DAOs.</w:t>
      </w:r>
    </w:p>
    <w:p>
      <w:pPr>
        <w:pStyle w:val="Heading2"/>
      </w:pPr>
      <w:r>
        <w:t>3.3 Data View (ER/Schema)</w:t>
      </w:r>
    </w:p>
    <w:p>
      <w:r>
        <w:t>Figure: ERD / Data Model.</w:t>
      </w:r>
    </w:p>
    <w:p>
      <w:r>
        <w:drawing>
          <wp:inline xmlns:a="http://schemas.openxmlformats.org/drawingml/2006/main" xmlns:pic="http://schemas.openxmlformats.org/drawingml/2006/picture">
            <wp:extent cx="5943600" cy="425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ic view Odd igr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3.4 Deployment View</w:t>
      </w:r>
    </w:p>
    <w:p>
      <w:r>
        <w:t>Single database with client app(s); future API server optional.</w:t>
      </w:r>
    </w:p>
    <w:p>
      <w:pPr>
        <w:pStyle w:val="Heading1"/>
      </w:pPr>
      <w:r>
        <w:t>4. Data Dictionary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Entity/Component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Employee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id, name, username, password_hash/role; ops: login().</w:t>
            </w:r>
          </w:p>
        </w:tc>
      </w:tr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id, barcode, condition, current_employee_id?; ops: setCustodian(), clearCustodian().</w:t>
            </w:r>
          </w:p>
        </w:tc>
      </w:tr>
      <w:tr>
        <w:tc>
          <w:tcPr>
            <w:tcW w:type="dxa" w:w="2880"/>
          </w:tcPr>
          <w:p>
            <w:r>
              <w:t>Transaction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id, employee_id, tool_id, timestamp, action{CHECK_OUT,CHECK_IN}.</w:t>
            </w:r>
          </w:p>
        </w:tc>
      </w:tr>
      <w:tr>
        <w:tc>
          <w:tcPr>
            <w:tcW w:type="dxa" w:w="2880"/>
          </w:tcPr>
          <w:p>
            <w:r>
              <w:t>Warehouse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id, location.</w:t>
            </w:r>
          </w:p>
        </w:tc>
      </w:tr>
      <w:tr>
        <w:tc>
          <w:tcPr>
            <w:tcW w:type="dxa" w:w="2880"/>
          </w:tcPr>
          <w:p>
            <w:r>
              <w:t>Supply</w:t>
            </w:r>
          </w:p>
        </w:tc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id, quantity, warehouse_id; consumables, not checked out.</w:t>
            </w:r>
          </w:p>
        </w:tc>
      </w:tr>
      <w:tr>
        <w:tc>
          <w:tcPr>
            <w:tcW w:type="dxa" w:w="2880"/>
          </w:tcPr>
          <w:p>
            <w:r>
              <w:t>AuthService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login(), session mgmt.</w:t>
            </w:r>
          </w:p>
        </w:tc>
      </w:tr>
      <w:tr>
        <w:tc>
          <w:tcPr>
            <w:tcW w:type="dxa" w:w="2880"/>
          </w:tcPr>
          <w:p>
            <w:r>
              <w:t>ToolService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getToolByBarcode(), updateCondition().</w:t>
            </w:r>
          </w:p>
        </w:tc>
      </w:tr>
      <w:tr>
        <w:tc>
          <w:tcPr>
            <w:tcW w:type="dxa" w:w="2880"/>
          </w:tcPr>
          <w:p>
            <w:r>
              <w:t>TransactionService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checkout(), checkin() with validation + atomic writes.</w:t>
            </w:r>
          </w:p>
        </w:tc>
      </w:tr>
      <w:tr>
        <w:tc>
          <w:tcPr>
            <w:tcW w:type="dxa" w:w="2880"/>
          </w:tcPr>
          <w:p>
            <w:r>
              <w:t>ReportingService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status/history reports.</w:t>
            </w:r>
          </w:p>
        </w:tc>
      </w:tr>
      <w:tr>
        <w:tc>
          <w:tcPr>
            <w:tcW w:type="dxa" w:w="2880"/>
          </w:tcPr>
          <w:p>
            <w:r>
              <w:t>Repositories</w:t>
            </w:r>
          </w:p>
        </w:tc>
        <w:tc>
          <w:tcPr>
            <w:tcW w:type="dxa" w:w="2880"/>
          </w:tcPr>
          <w:p>
            <w:r>
              <w:t>DAO</w:t>
            </w:r>
          </w:p>
        </w:tc>
        <w:tc>
          <w:tcPr>
            <w:tcW w:type="dxa" w:w="2880"/>
          </w:tcPr>
          <w:p>
            <w:r>
              <w:t>CRUD for each entity with parameterized queries.</w:t>
            </w:r>
          </w:p>
        </w:tc>
      </w:tr>
    </w:tbl>
    <w:p>
      <w:pPr>
        <w:pStyle w:val="Heading1"/>
      </w:pPr>
      <w:r>
        <w:t>5. Component Design</w:t>
      </w:r>
    </w:p>
    <w:p>
      <w:pPr>
        <w:pStyle w:val="Heading2"/>
      </w:pPr>
      <w:r>
        <w:t>5.1 Static View (Class Responsibilities)</w:t>
      </w:r>
    </w:p>
    <w:p>
      <w:r>
        <w:t>Key relationships: Employee 1..* Transaction; Tool 1..* Transaction; Tool 0..1 → Employee (current custodian). Services depend on Repositories; UI depends on Services.</w:t>
      </w:r>
    </w:p>
    <w:p>
      <w:r>
        <w:t>Figure: UML Class Diagram (current).</w:t>
      </w:r>
    </w:p>
    <w:p>
      <w:r>
        <w:drawing>
          <wp:inline xmlns:a="http://schemas.openxmlformats.org/drawingml/2006/main" xmlns:pic="http://schemas.openxmlformats.org/drawingml/2006/picture">
            <wp:extent cx="2743200" cy="72880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am9_Class_Diagram_UML (Revised)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88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5.2 Dynamic View (Key Scenarios)</w:t>
      </w:r>
    </w:p>
    <w:p>
      <w:r>
        <w:t>Checkout and Check-in sequences:</w:t>
      </w:r>
    </w:p>
    <w:p>
      <w:r>
        <w:t>Figure: Sequence Diagram — Checkout.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check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Sequence Diagram — Check-in.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check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5.3 Design Patterns</w:t>
      </w:r>
    </w:p>
    <w:p>
      <w:r>
        <w:t>Singleton (DB/RepoFactory), Factory Method (ScannerAdapterFactory), Observer (status updates to UI).</w:t>
      </w:r>
    </w:p>
    <w:p>
      <w:pPr>
        <w:pStyle w:val="Heading2"/>
      </w:pPr>
      <w:r>
        <w:t>5.4 Interfaces</w:t>
      </w:r>
    </w:p>
    <w:p>
      <w:r>
        <w:t>AuthService.login(username, secret)-&gt;Session</w:t>
        <w:br/>
        <w:t>ToolService.getToolByBarcode(bc)-&gt;Tool</w:t>
        <w:br/>
        <w:t>ToolService.updateCondition(id,cond)</w:t>
        <w:br/>
        <w:t>TransactionService.checkout(toolId,empId)-&gt;Transaction</w:t>
        <w:br/>
        <w:t>TransactionService.checkin(toolId,empId)-&gt;Transaction</w:t>
      </w:r>
    </w:p>
    <w:p>
      <w:pPr>
        <w:pStyle w:val="Heading2"/>
      </w:pPr>
      <w:r>
        <w:t>5.5 Error Handling &amp; Logging</w:t>
      </w:r>
    </w:p>
    <w:p>
      <w:r>
        <w:t>Domain errors: ToolNotAvailable, NotCustodian, UnknownBarcode. All writes are transactional; audit logs kept for auth and transactions.</w:t>
      </w:r>
    </w:p>
    <w:p>
      <w:pPr>
        <w:pStyle w:val="Heading2"/>
      </w:pPr>
      <w:r>
        <w:t>5.6 Security Considerations</w:t>
      </w:r>
    </w:p>
    <w:p>
      <w:r>
        <w:t>Hash+salt passwords; least-privilege DB user; parameterized queries; roles Employee/Admin.</w:t>
      </w:r>
    </w:p>
    <w:p>
      <w:pPr>
        <w:pStyle w:val="Heading1"/>
      </w:pPr>
      <w:r>
        <w:t>6. Human Interface Design</w:t>
      </w:r>
    </w:p>
    <w:p>
      <w:r>
        <w:t>Screens: Login, Home, Scan, Tool Details, My Tools, Transactions/History, Reports. Kiosk-friendly, minimal steps.</w:t>
      </w:r>
    </w:p>
    <w:p>
      <w:pPr>
        <w:pStyle w:val="Heading1"/>
      </w:pPr>
      <w:r>
        <w:t>7. Requirements Traceability Matrix (Updated)</w:t>
      </w:r>
    </w:p>
    <w:tbl>
      <w:tblPr>
        <w:tblStyle w:val="LightGrid-Accent3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Req ID</w:t>
            </w:r>
          </w:p>
        </w:tc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Design Element(s)</w:t>
            </w:r>
          </w:p>
        </w:tc>
        <w:tc>
          <w:tcPr>
            <w:tcW w:type="dxa" w:w="2160"/>
          </w:tcPr>
          <w:p>
            <w:r>
              <w:t>Verification</w:t>
            </w:r>
          </w:p>
        </w:tc>
      </w:tr>
      <w:tr>
        <w:tc>
          <w:tcPr>
            <w:tcW w:type="dxa" w:w="2160"/>
          </w:tcPr>
          <w:p>
            <w:r>
              <w:t>FR-01</w:t>
            </w:r>
          </w:p>
        </w:tc>
        <w:tc>
          <w:tcPr>
            <w:tcW w:type="dxa" w:w="2160"/>
          </w:tcPr>
          <w:p>
            <w:r>
              <w:t>Authenticate employees via credentials at kiosks/tablets.</w:t>
            </w:r>
          </w:p>
        </w:tc>
        <w:tc>
          <w:tcPr>
            <w:tcW w:type="dxa" w:w="2160"/>
          </w:tcPr>
          <w:p>
            <w:r>
              <w:t>AuthService; Login UI; EmployeeRepository</w:t>
            </w:r>
          </w:p>
        </w:tc>
        <w:tc>
          <w:tcPr>
            <w:tcW w:type="dxa" w:w="2160"/>
          </w:tcPr>
          <w:p>
            <w:r>
              <w:t>TC-AUTH-01</w:t>
            </w:r>
          </w:p>
        </w:tc>
      </w:tr>
      <w:tr>
        <w:tc>
          <w:tcPr>
            <w:tcW w:type="dxa" w:w="2160"/>
          </w:tcPr>
          <w:p>
            <w:r>
              <w:t>FR-02</w:t>
            </w:r>
          </w:p>
        </w:tc>
        <w:tc>
          <w:tcPr>
            <w:tcW w:type="dxa" w:w="2160"/>
          </w:tcPr>
          <w:p>
            <w:r>
              <w:t>Check out tools by scanning barcodes and confirming action.</w:t>
            </w:r>
          </w:p>
        </w:tc>
        <w:tc>
          <w:tcPr>
            <w:tcW w:type="dxa" w:w="2160"/>
          </w:tcPr>
          <w:p>
            <w:r>
              <w:t>ScannerAdapterFactory; ToolService; TransactionService.checkout()</w:t>
            </w:r>
          </w:p>
        </w:tc>
        <w:tc>
          <w:tcPr>
            <w:tcW w:type="dxa" w:w="2160"/>
          </w:tcPr>
          <w:p>
            <w:r>
              <w:t>TC-CHKOUT-01</w:t>
            </w:r>
          </w:p>
        </w:tc>
      </w:tr>
      <w:tr>
        <w:tc>
          <w:tcPr>
            <w:tcW w:type="dxa" w:w="2160"/>
          </w:tcPr>
          <w:p>
            <w:r>
              <w:t>FR-03</w:t>
            </w:r>
          </w:p>
        </w:tc>
        <w:tc>
          <w:tcPr>
            <w:tcW w:type="dxa" w:w="2160"/>
          </w:tcPr>
          <w:p>
            <w:r>
              <w:t>Check in tools by scanning barcodes and confirming action.</w:t>
            </w:r>
          </w:p>
        </w:tc>
        <w:tc>
          <w:tcPr>
            <w:tcW w:type="dxa" w:w="2160"/>
          </w:tcPr>
          <w:p>
            <w:r>
              <w:t>ScannerAdapterFactory; ToolService; TransactionService.checkin()</w:t>
            </w:r>
          </w:p>
        </w:tc>
        <w:tc>
          <w:tcPr>
            <w:tcW w:type="dxa" w:w="2160"/>
          </w:tcPr>
          <w:p>
            <w:r>
              <w:t>TC-CHKIN-01</w:t>
            </w:r>
          </w:p>
        </w:tc>
      </w:tr>
      <w:tr>
        <w:tc>
          <w:tcPr>
            <w:tcW w:type="dxa" w:w="2160"/>
          </w:tcPr>
          <w:p>
            <w:r>
              <w:t>FR-04</w:t>
            </w:r>
          </w:p>
        </w:tc>
        <w:tc>
          <w:tcPr>
            <w:tcW w:type="dxa" w:w="2160"/>
          </w:tcPr>
          <w:p>
            <w:r>
              <w:t>Record tool condition at check-out and check-in.</w:t>
            </w:r>
          </w:p>
        </w:tc>
        <w:tc>
          <w:tcPr>
            <w:tcW w:type="dxa" w:w="2160"/>
          </w:tcPr>
          <w:p>
            <w:r>
              <w:t>ToolService.updateCondition(); Transaction metadata</w:t>
            </w:r>
          </w:p>
        </w:tc>
        <w:tc>
          <w:tcPr>
            <w:tcW w:type="dxa" w:w="2160"/>
          </w:tcPr>
          <w:p>
            <w:r>
              <w:t>TC-COND-01</w:t>
            </w:r>
          </w:p>
        </w:tc>
      </w:tr>
      <w:tr>
        <w:tc>
          <w:tcPr>
            <w:tcW w:type="dxa" w:w="2160"/>
          </w:tcPr>
          <w:p>
            <w:r>
              <w:t>FR-05</w:t>
            </w:r>
          </w:p>
        </w:tc>
        <w:tc>
          <w:tcPr>
            <w:tcW w:type="dxa" w:w="2160"/>
          </w:tcPr>
          <w:p>
            <w:r>
              <w:t>Maintain transaction history (employee, tool, timestamp, action).</w:t>
            </w:r>
          </w:p>
        </w:tc>
        <w:tc>
          <w:tcPr>
            <w:tcW w:type="dxa" w:w="2160"/>
          </w:tcPr>
          <w:p>
            <w:r>
              <w:t>TransactionRepository; Logging</w:t>
            </w:r>
          </w:p>
        </w:tc>
        <w:tc>
          <w:tcPr>
            <w:tcW w:type="dxa" w:w="2160"/>
          </w:tcPr>
          <w:p>
            <w:r>
              <w:t>TC-AUDIT-01</w:t>
            </w:r>
          </w:p>
        </w:tc>
      </w:tr>
      <w:tr>
        <w:tc>
          <w:tcPr>
            <w:tcW w:type="dxa" w:w="2160"/>
          </w:tcPr>
          <w:p>
            <w:r>
              <w:t>FR-06</w:t>
            </w:r>
          </w:p>
        </w:tc>
        <w:tc>
          <w:tcPr>
            <w:tcW w:type="dxa" w:w="2160"/>
          </w:tcPr>
          <w:p>
            <w:r>
              <w:t>Supervisors/Managers view tools in possession by any employee.</w:t>
            </w:r>
          </w:p>
        </w:tc>
        <w:tc>
          <w:tcPr>
            <w:tcW w:type="dxa" w:w="2160"/>
          </w:tcPr>
          <w:p>
            <w:r>
              <w:t>ReportingService; Admin UI</w:t>
            </w:r>
          </w:p>
        </w:tc>
        <w:tc>
          <w:tcPr>
            <w:tcW w:type="dxa" w:w="2160"/>
          </w:tcPr>
          <w:p>
            <w:r>
              <w:t>TC-REPORT-01</w:t>
            </w:r>
          </w:p>
        </w:tc>
      </w:tr>
      <w:tr>
        <w:tc>
          <w:tcPr>
            <w:tcW w:type="dxa" w:w="2160"/>
          </w:tcPr>
          <w:p>
            <w:r>
              <w:t>FR-07</w:t>
            </w:r>
          </w:p>
        </w:tc>
        <w:tc>
          <w:tcPr>
            <w:tcW w:type="dxa" w:w="2160"/>
          </w:tcPr>
          <w:p>
            <w:r>
              <w:t>Employee views tools currently assigned to them.</w:t>
            </w:r>
          </w:p>
        </w:tc>
        <w:tc>
          <w:tcPr>
            <w:tcW w:type="dxa" w:w="2160"/>
          </w:tcPr>
          <w:p>
            <w:r>
              <w:t>ToolService; My Tools UI</w:t>
            </w:r>
          </w:p>
        </w:tc>
        <w:tc>
          <w:tcPr>
            <w:tcW w:type="dxa" w:w="2160"/>
          </w:tcPr>
          <w:p>
            <w:r>
              <w:t>TC-MYTOOLS-01</w:t>
            </w:r>
          </w:p>
        </w:tc>
      </w:tr>
      <w:tr>
        <w:tc>
          <w:tcPr>
            <w:tcW w:type="dxa" w:w="2160"/>
          </w:tcPr>
          <w:p>
            <w:r>
              <w:t>NFR-01</w:t>
            </w:r>
          </w:p>
        </w:tc>
        <w:tc>
          <w:tcPr>
            <w:tcW w:type="dxa" w:w="2160"/>
          </w:tcPr>
          <w:p>
            <w:r>
              <w:t>Performance: Common actions &lt;= 1s.</w:t>
            </w:r>
          </w:p>
        </w:tc>
        <w:tc>
          <w:tcPr>
            <w:tcW w:type="dxa" w:w="2160"/>
          </w:tcPr>
          <w:p>
            <w:r>
              <w:t>Optimized queries; async I/O</w:t>
            </w:r>
          </w:p>
        </w:tc>
        <w:tc>
          <w:tcPr>
            <w:tcW w:type="dxa" w:w="2160"/>
          </w:tcPr>
          <w:p>
            <w:r>
              <w:t>PT-RESP-01</w:t>
            </w:r>
          </w:p>
        </w:tc>
      </w:tr>
      <w:tr>
        <w:tc>
          <w:tcPr>
            <w:tcW w:type="dxa" w:w="2160"/>
          </w:tcPr>
          <w:p>
            <w:r>
              <w:t>NFR-02</w:t>
            </w:r>
          </w:p>
        </w:tc>
        <w:tc>
          <w:tcPr>
            <w:tcW w:type="dxa" w:w="2160"/>
          </w:tcPr>
          <w:p>
            <w:r>
              <w:t>Availability during all shifts.</w:t>
            </w:r>
          </w:p>
        </w:tc>
        <w:tc>
          <w:tcPr>
            <w:tcW w:type="dxa" w:w="2160"/>
          </w:tcPr>
          <w:p>
            <w:r>
              <w:t>Deployment/DB config; monitoring</w:t>
            </w:r>
          </w:p>
        </w:tc>
        <w:tc>
          <w:tcPr>
            <w:tcW w:type="dxa" w:w="2160"/>
          </w:tcPr>
          <w:p>
            <w:r>
              <w:t>AVAIL-OBS-01</w:t>
            </w:r>
          </w:p>
        </w:tc>
      </w:tr>
      <w:tr>
        <w:tc>
          <w:tcPr>
            <w:tcW w:type="dxa" w:w="2160"/>
          </w:tcPr>
          <w:p>
            <w:r>
              <w:t>NFR-03</w:t>
            </w:r>
          </w:p>
        </w:tc>
        <w:tc>
          <w:tcPr>
            <w:tcW w:type="dxa" w:w="2160"/>
          </w:tcPr>
          <w:p>
            <w:r>
              <w:t>Usability: kiosk-first flow.</w:t>
            </w:r>
          </w:p>
        </w:tc>
        <w:tc>
          <w:tcPr>
            <w:tcW w:type="dxa" w:w="2160"/>
          </w:tcPr>
          <w:p>
            <w:r>
              <w:t>UI guidelines</w:t>
            </w:r>
          </w:p>
        </w:tc>
        <w:tc>
          <w:tcPr>
            <w:tcW w:type="dxa" w:w="2160"/>
          </w:tcPr>
          <w:p>
            <w:r>
              <w:t>UX-HEUR-01</w:t>
            </w:r>
          </w:p>
        </w:tc>
      </w:tr>
      <w:tr>
        <w:tc>
          <w:tcPr>
            <w:tcW w:type="dxa" w:w="2160"/>
          </w:tcPr>
          <w:p>
            <w:r>
              <w:t>NFR-04</w:t>
            </w:r>
          </w:p>
        </w:tc>
        <w:tc>
          <w:tcPr>
            <w:tcW w:type="dxa" w:w="2160"/>
          </w:tcPr>
          <w:p>
            <w:r>
              <w:t>Reliability: atomic transactions; no crashes.</w:t>
            </w:r>
          </w:p>
        </w:tc>
        <w:tc>
          <w:tcPr>
            <w:tcW w:type="dxa" w:w="2160"/>
          </w:tcPr>
          <w:p>
            <w:r>
              <w:t>DB transactions; error handling</w:t>
            </w:r>
          </w:p>
        </w:tc>
        <w:tc>
          <w:tcPr>
            <w:tcW w:type="dxa" w:w="2160"/>
          </w:tcPr>
          <w:p>
            <w:r>
              <w:t>REL-RESIL-01</w:t>
            </w:r>
          </w:p>
        </w:tc>
      </w:tr>
    </w:tbl>
    <w:p>
      <w:pPr>
        <w:pStyle w:val="Heading1"/>
      </w:pPr>
      <w:r>
        <w:t>Appendix A — Coding Conventions</w:t>
      </w:r>
    </w:p>
    <w:p>
      <w:r>
        <w:t>Naming standards; input validation; parameterized queries; no secrets in code.</w:t>
      </w:r>
    </w:p>
    <w:p>
      <w:pPr>
        <w:pStyle w:val="Heading1"/>
      </w:pPr>
      <w:r>
        <w:t>Appendix B — Open Issues</w:t>
      </w:r>
    </w:p>
    <w:p>
      <w:r>
        <w:t>Confirm SRS IDs; finalize roles; decide on exact hardware scanner models.</w:t>
      </w:r>
    </w:p>
    <w:p>
      <w:r>
        <w:br w:type="page"/>
      </w:r>
    </w:p>
    <w:p>
      <w:pPr>
        <w:pStyle w:val="Heading1"/>
      </w:pPr>
      <w:r>
        <w:t>Appendix C — Updated Sequence Diagrams (replaces Section 5.2 figures)</w:t>
      </w:r>
    </w:p>
    <w:p>
      <w:r>
        <w:t>These diagrams supersede the earlier 5.2 images for readability and consistency.</w:t>
      </w:r>
    </w:p>
    <w:p>
      <w:r>
        <w:t>Figure C-1: ECS Sequence — Checkout (Updated)</w:t>
      </w:r>
    </w:p>
    <w:p>
      <w:r>
        <w:drawing>
          <wp:inline xmlns:a="http://schemas.openxmlformats.org/drawingml/2006/main" xmlns:pic="http://schemas.openxmlformats.org/drawingml/2006/picture">
            <wp:extent cx="6217920" cy="3483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checkout_readab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83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C-2: ECS Sequence — Check-in (Updated)</w:t>
      </w:r>
    </w:p>
    <w:p>
      <w:r>
        <w:drawing>
          <wp:inline xmlns:a="http://schemas.openxmlformats.org/drawingml/2006/main" xmlns:pic="http://schemas.openxmlformats.org/drawingml/2006/picture">
            <wp:extent cx="6217920" cy="35530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checkin_readab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530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