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EED2" w14:textId="77777777" w:rsidR="00A54FB7" w:rsidRPr="00A54FB7" w:rsidRDefault="00A54FB7" w:rsidP="00A54FB7">
      <w:pPr>
        <w:spacing w:line="240" w:lineRule="auto"/>
        <w:jc w:val="center"/>
        <w:rPr>
          <w:rFonts w:ascii="Times New Roman" w:hAnsi="Times New Roman" w:cs="Times New Roman"/>
          <w:b/>
          <w:sz w:val="24"/>
          <w:szCs w:val="24"/>
        </w:rPr>
      </w:pPr>
      <w:r w:rsidRPr="00A54FB7">
        <w:rPr>
          <w:rFonts w:ascii="Times New Roman" w:hAnsi="Times New Roman" w:cs="Times New Roman"/>
          <w:b/>
          <w:sz w:val="30"/>
          <w:szCs w:val="30"/>
        </w:rPr>
        <w:t>Determinação da estratégia de manutenção em ERBs através da análise do histórico de falhas</w:t>
      </w:r>
    </w:p>
    <w:p w14:paraId="672A6659" w14:textId="77777777" w:rsidR="00A54FB7" w:rsidRPr="00A54FB7" w:rsidRDefault="00A54FB7" w:rsidP="00A54FB7">
      <w:pPr>
        <w:spacing w:line="240" w:lineRule="auto"/>
        <w:jc w:val="center"/>
        <w:rPr>
          <w:rFonts w:ascii="Times New Roman" w:hAnsi="Times New Roman" w:cs="Times New Roman"/>
          <w:b/>
          <w:sz w:val="24"/>
          <w:szCs w:val="24"/>
        </w:rPr>
      </w:pPr>
    </w:p>
    <w:p w14:paraId="34545296" w14:textId="77777777" w:rsidR="00A54FB7" w:rsidRDefault="00A54FB7" w:rsidP="00A54FB7">
      <w:pPr>
        <w:spacing w:line="240" w:lineRule="auto"/>
        <w:jc w:val="center"/>
        <w:rPr>
          <w:rFonts w:ascii="Times New Roman" w:hAnsi="Times New Roman" w:cs="Times New Roman"/>
          <w:b/>
          <w:sz w:val="20"/>
          <w:szCs w:val="20"/>
        </w:rPr>
      </w:pPr>
      <w:r w:rsidRPr="00A54FB7">
        <w:rPr>
          <w:rFonts w:ascii="Times New Roman" w:hAnsi="Times New Roman" w:cs="Times New Roman"/>
          <w:b/>
          <w:sz w:val="20"/>
          <w:szCs w:val="20"/>
        </w:rPr>
        <w:t xml:space="preserve">Tiago Beltrão </w:t>
      </w:r>
      <w:r w:rsidR="0017128B" w:rsidRPr="00A54FB7">
        <w:rPr>
          <w:rFonts w:ascii="Times New Roman" w:hAnsi="Times New Roman" w:cs="Times New Roman"/>
          <w:b/>
          <w:sz w:val="20"/>
          <w:szCs w:val="20"/>
        </w:rPr>
        <w:t>Lacerda</w:t>
      </w:r>
      <w:r w:rsidR="0017128B">
        <w:rPr>
          <w:rFonts w:ascii="Times New Roman" w:hAnsi="Times New Roman" w:cs="Times New Roman"/>
          <w:b/>
          <w:sz w:val="20"/>
          <w:szCs w:val="20"/>
        </w:rPr>
        <w:t xml:space="preserve"> (</w:t>
      </w:r>
      <w:r>
        <w:rPr>
          <w:rFonts w:ascii="Times New Roman" w:hAnsi="Times New Roman" w:cs="Times New Roman"/>
          <w:b/>
          <w:sz w:val="20"/>
          <w:szCs w:val="20"/>
        </w:rPr>
        <w:t xml:space="preserve">UFPE) </w:t>
      </w:r>
      <w:hyperlink r:id="rId8" w:history="1">
        <w:r w:rsidR="00894E25" w:rsidRPr="000D4C5D">
          <w:rPr>
            <w:rStyle w:val="Hyperlink"/>
            <w:rFonts w:ascii="Times New Roman" w:hAnsi="Times New Roman" w:cs="Times New Roman"/>
            <w:b/>
            <w:sz w:val="20"/>
            <w:szCs w:val="20"/>
          </w:rPr>
          <w:t>tiago.beltrao.lacerda@gmail.com</w:t>
        </w:r>
      </w:hyperlink>
    </w:p>
    <w:p w14:paraId="0A37501D" w14:textId="77777777" w:rsidR="00894E25" w:rsidRDefault="00894E25" w:rsidP="00A54FB7">
      <w:pPr>
        <w:spacing w:line="240" w:lineRule="auto"/>
        <w:jc w:val="center"/>
        <w:rPr>
          <w:rFonts w:ascii="Times New Roman" w:hAnsi="Times New Roman" w:cs="Times New Roman"/>
          <w:b/>
          <w:sz w:val="20"/>
          <w:szCs w:val="20"/>
        </w:rPr>
      </w:pPr>
    </w:p>
    <w:p w14:paraId="4984862F" w14:textId="77777777" w:rsidR="008B06D9" w:rsidRDefault="004E3C24" w:rsidP="008B06D9">
      <w:pPr>
        <w:spacing w:line="240" w:lineRule="auto"/>
        <w:jc w:val="both"/>
        <w:rPr>
          <w:rFonts w:ascii="Times New Roman" w:hAnsi="Times New Roman" w:cs="Times New Roman"/>
          <w:i/>
          <w:sz w:val="24"/>
          <w:szCs w:val="24"/>
        </w:rPr>
      </w:pPr>
      <w:r>
        <w:rPr>
          <w:rFonts w:ascii="Times New Roman" w:hAnsi="Times New Roman" w:cs="Times New Roman"/>
          <w:b/>
          <w:sz w:val="24"/>
          <w:szCs w:val="24"/>
        </w:rPr>
        <w:t xml:space="preserve">Resumo: </w:t>
      </w:r>
      <w:r>
        <w:rPr>
          <w:rFonts w:ascii="Times New Roman" w:hAnsi="Times New Roman" w:cs="Times New Roman"/>
          <w:i/>
          <w:sz w:val="24"/>
          <w:szCs w:val="24"/>
        </w:rPr>
        <w:t>O objetivo do artigo foi realizar a análise de desempenho de sistemas para um conjunto de ERBs</w:t>
      </w:r>
      <w:r w:rsidR="003E5114">
        <w:rPr>
          <w:rFonts w:ascii="Times New Roman" w:hAnsi="Times New Roman" w:cs="Times New Roman"/>
          <w:i/>
          <w:sz w:val="24"/>
          <w:szCs w:val="24"/>
        </w:rPr>
        <w:t xml:space="preserve"> </w:t>
      </w:r>
      <w:r>
        <w:rPr>
          <w:rFonts w:ascii="Times New Roman" w:hAnsi="Times New Roman" w:cs="Times New Roman"/>
          <w:i/>
          <w:sz w:val="24"/>
          <w:szCs w:val="24"/>
        </w:rPr>
        <w:t>(estações rádio-base)</w:t>
      </w:r>
      <w:r w:rsidR="003E5114">
        <w:rPr>
          <w:rFonts w:ascii="Times New Roman" w:hAnsi="Times New Roman" w:cs="Times New Roman"/>
          <w:i/>
          <w:sz w:val="24"/>
          <w:szCs w:val="24"/>
        </w:rPr>
        <w:t xml:space="preserve"> GSM</w:t>
      </w:r>
      <w:r>
        <w:rPr>
          <w:rFonts w:ascii="Times New Roman" w:hAnsi="Times New Roman" w:cs="Times New Roman"/>
          <w:i/>
          <w:sz w:val="24"/>
          <w:szCs w:val="24"/>
        </w:rPr>
        <w:t xml:space="preserve"> de uma operadora de telefonia </w:t>
      </w:r>
      <w:r w:rsidR="00ED1BC0">
        <w:rPr>
          <w:rFonts w:ascii="Times New Roman" w:hAnsi="Times New Roman" w:cs="Times New Roman"/>
          <w:i/>
          <w:sz w:val="24"/>
          <w:szCs w:val="24"/>
        </w:rPr>
        <w:t xml:space="preserve">celular no estado de </w:t>
      </w:r>
      <w:r w:rsidR="003E5114">
        <w:rPr>
          <w:rFonts w:ascii="Times New Roman" w:hAnsi="Times New Roman" w:cs="Times New Roman"/>
          <w:i/>
          <w:sz w:val="24"/>
          <w:szCs w:val="24"/>
        </w:rPr>
        <w:t xml:space="preserve">Pernambuco. </w:t>
      </w:r>
      <w:r w:rsidR="00ED1BC0">
        <w:rPr>
          <w:rFonts w:ascii="Times New Roman" w:hAnsi="Times New Roman" w:cs="Times New Roman"/>
          <w:i/>
          <w:sz w:val="24"/>
          <w:szCs w:val="24"/>
        </w:rPr>
        <w:t>O método de pesquisa utilizado foi o estudo de caso exploratório do histórico de falhas de</w:t>
      </w:r>
      <w:r w:rsidR="00E4088A">
        <w:rPr>
          <w:rFonts w:ascii="Times New Roman" w:hAnsi="Times New Roman" w:cs="Times New Roman"/>
          <w:i/>
          <w:sz w:val="24"/>
          <w:szCs w:val="24"/>
        </w:rPr>
        <w:t xml:space="preserve"> 231</w:t>
      </w:r>
      <w:r w:rsidR="003E5114">
        <w:rPr>
          <w:rFonts w:ascii="Times New Roman" w:hAnsi="Times New Roman" w:cs="Times New Roman"/>
          <w:i/>
          <w:sz w:val="24"/>
          <w:szCs w:val="24"/>
        </w:rPr>
        <w:t xml:space="preserve"> </w:t>
      </w:r>
      <w:r w:rsidR="00E4088A">
        <w:rPr>
          <w:rFonts w:ascii="Times New Roman" w:hAnsi="Times New Roman" w:cs="Times New Roman"/>
          <w:i/>
          <w:sz w:val="24"/>
          <w:szCs w:val="24"/>
        </w:rPr>
        <w:t xml:space="preserve">setores de </w:t>
      </w:r>
      <w:r w:rsidR="003E5114">
        <w:rPr>
          <w:rFonts w:ascii="Times New Roman" w:hAnsi="Times New Roman" w:cs="Times New Roman"/>
          <w:i/>
          <w:sz w:val="24"/>
          <w:szCs w:val="24"/>
        </w:rPr>
        <w:t xml:space="preserve">ERBs GSM. Determinamos a distribuição de probabilidade mais representativa para o histórico de falhas de cada um dos setores das ERBs de forma a obter </w:t>
      </w:r>
      <w:r w:rsidR="009F055E">
        <w:rPr>
          <w:rFonts w:ascii="Times New Roman" w:hAnsi="Times New Roman" w:cs="Times New Roman"/>
          <w:i/>
          <w:sz w:val="24"/>
          <w:szCs w:val="24"/>
        </w:rPr>
        <w:t>um histograma da posição na curva da banheira de cada um dos setores e, com isto, auxiliar na implementação da melhor estratégia de manutenção a ser adotada.</w:t>
      </w:r>
    </w:p>
    <w:p w14:paraId="282F0AD8" w14:textId="77777777" w:rsidR="00894E25" w:rsidRDefault="008B06D9" w:rsidP="008B06D9">
      <w:pPr>
        <w:spacing w:line="240" w:lineRule="auto"/>
        <w:jc w:val="both"/>
        <w:rPr>
          <w:rFonts w:ascii="Times New Roman" w:hAnsi="Times New Roman" w:cs="Times New Roman"/>
          <w:i/>
          <w:sz w:val="24"/>
          <w:szCs w:val="24"/>
        </w:rPr>
      </w:pPr>
      <w:r>
        <w:rPr>
          <w:rFonts w:ascii="Times New Roman" w:hAnsi="Times New Roman" w:cs="Times New Roman"/>
          <w:b/>
          <w:sz w:val="24"/>
          <w:szCs w:val="24"/>
        </w:rPr>
        <w:t xml:space="preserve">Palavras-Chave: </w:t>
      </w:r>
      <w:r>
        <w:rPr>
          <w:rFonts w:ascii="Times New Roman" w:hAnsi="Times New Roman" w:cs="Times New Roman"/>
          <w:sz w:val="24"/>
          <w:szCs w:val="24"/>
        </w:rPr>
        <w:t>Estratégia de manutenção, ERBs, histórico de falhas.</w:t>
      </w:r>
    </w:p>
    <w:p w14:paraId="5DAB6C7B" w14:textId="77777777" w:rsidR="00677532" w:rsidRPr="00107D43" w:rsidRDefault="00677532" w:rsidP="00107D43">
      <w:pPr>
        <w:spacing w:line="240" w:lineRule="auto"/>
        <w:rPr>
          <w:rFonts w:ascii="Times New Roman" w:hAnsi="Times New Roman" w:cs="Times New Roman"/>
          <w:sz w:val="24"/>
          <w:szCs w:val="24"/>
        </w:rPr>
      </w:pPr>
    </w:p>
    <w:p w14:paraId="02EB378F" w14:textId="77777777" w:rsidR="00107D43" w:rsidRPr="00107D43" w:rsidRDefault="00107D43" w:rsidP="00107D43">
      <w:pPr>
        <w:spacing w:line="240" w:lineRule="auto"/>
        <w:rPr>
          <w:rFonts w:ascii="Times New Roman" w:hAnsi="Times New Roman" w:cs="Times New Roman"/>
          <w:sz w:val="24"/>
          <w:szCs w:val="24"/>
        </w:rPr>
      </w:pPr>
    </w:p>
    <w:p w14:paraId="28E8BE6E" w14:textId="77777777" w:rsidR="00677532" w:rsidRDefault="00677532" w:rsidP="00677532">
      <w:pPr>
        <w:pStyle w:val="ListParagraph"/>
        <w:numPr>
          <w:ilvl w:val="0"/>
          <w:numId w:val="1"/>
        </w:numPr>
        <w:spacing w:line="240" w:lineRule="auto"/>
        <w:rPr>
          <w:rFonts w:ascii="Times New Roman" w:hAnsi="Times New Roman" w:cs="Times New Roman"/>
          <w:b/>
          <w:sz w:val="24"/>
          <w:szCs w:val="24"/>
        </w:rPr>
      </w:pPr>
      <w:r w:rsidRPr="00677532">
        <w:rPr>
          <w:rFonts w:ascii="Times New Roman" w:hAnsi="Times New Roman" w:cs="Times New Roman"/>
          <w:b/>
          <w:sz w:val="24"/>
          <w:szCs w:val="24"/>
        </w:rPr>
        <w:t>Introdução</w:t>
      </w:r>
    </w:p>
    <w:p w14:paraId="6922C209" w14:textId="77777777" w:rsidR="00677532" w:rsidRDefault="00677532" w:rsidP="00F72236">
      <w:pPr>
        <w:spacing w:line="240" w:lineRule="auto"/>
        <w:ind w:left="360" w:firstLine="348"/>
        <w:jc w:val="both"/>
        <w:rPr>
          <w:rFonts w:ascii="Times New Roman" w:hAnsi="Times New Roman" w:cs="Times New Roman"/>
          <w:sz w:val="24"/>
          <w:szCs w:val="24"/>
        </w:rPr>
      </w:pPr>
      <w:r>
        <w:rPr>
          <w:rFonts w:ascii="Times New Roman" w:hAnsi="Times New Roman" w:cs="Times New Roman"/>
          <w:sz w:val="24"/>
          <w:szCs w:val="24"/>
        </w:rPr>
        <w:t>As empresas de telecomunicações disputam um mercado cada vez mais acirrado onde o cliente, com a portabilidade, tem total liberdade para trocar de prestadora</w:t>
      </w:r>
      <w:r w:rsidR="00FD6135">
        <w:rPr>
          <w:rFonts w:ascii="Times New Roman" w:hAnsi="Times New Roman" w:cs="Times New Roman"/>
          <w:sz w:val="24"/>
          <w:szCs w:val="24"/>
        </w:rPr>
        <w:t xml:space="preserve"> de serviço sempre que desejar. Falhas podem acarretar perda de clientes além de danos </w:t>
      </w:r>
      <w:r w:rsidR="00B470C7">
        <w:rPr>
          <w:rFonts w:ascii="Times New Roman" w:hAnsi="Times New Roman" w:cs="Times New Roman"/>
          <w:sz w:val="24"/>
          <w:szCs w:val="24"/>
        </w:rPr>
        <w:t>à</w:t>
      </w:r>
      <w:r w:rsidR="00FD6135">
        <w:rPr>
          <w:rFonts w:ascii="Times New Roman" w:hAnsi="Times New Roman" w:cs="Times New Roman"/>
          <w:sz w:val="24"/>
          <w:szCs w:val="24"/>
        </w:rPr>
        <w:t xml:space="preserve"> imagem institucional das empresas, principalmente se incluírem aspectos de segurança pessoal e patrimonial e de meio ambiente. Nesse novo contexto, tem crescido a importância estratégica da função manutenção.</w:t>
      </w:r>
    </w:p>
    <w:p w14:paraId="21B0E248" w14:textId="77777777" w:rsidR="007510B6" w:rsidRDefault="007510B6" w:rsidP="00F72236">
      <w:pPr>
        <w:spacing w:line="240" w:lineRule="auto"/>
        <w:ind w:left="360" w:firstLine="348"/>
        <w:jc w:val="both"/>
        <w:rPr>
          <w:rFonts w:ascii="Times New Roman" w:hAnsi="Times New Roman" w:cs="Times New Roman"/>
          <w:sz w:val="24"/>
          <w:szCs w:val="24"/>
        </w:rPr>
      </w:pPr>
      <w:r>
        <w:rPr>
          <w:rFonts w:ascii="Times New Roman" w:hAnsi="Times New Roman" w:cs="Times New Roman"/>
          <w:sz w:val="24"/>
          <w:szCs w:val="24"/>
        </w:rPr>
        <w:t>O objetivo deste artigo foi aplicar o método da analise de desempenho de sistemas ao histórico de falhas de um grupo de ERBs GSM presentes no estado de Pernambuco e determinar, para cada setor de cada site, qual a situação em que se encontram na curva da banheira (</w:t>
      </w:r>
      <w:r>
        <w:rPr>
          <w:rFonts w:ascii="Times New Roman" w:hAnsi="Times New Roman" w:cs="Times New Roman"/>
          <w:i/>
          <w:sz w:val="24"/>
          <w:szCs w:val="24"/>
        </w:rPr>
        <w:t>de-bugging</w:t>
      </w:r>
      <w:r>
        <w:rPr>
          <w:rFonts w:ascii="Times New Roman" w:hAnsi="Times New Roman" w:cs="Times New Roman"/>
          <w:sz w:val="24"/>
          <w:szCs w:val="24"/>
        </w:rPr>
        <w:t xml:space="preserve">, vida útil ou </w:t>
      </w:r>
      <w:r>
        <w:rPr>
          <w:rFonts w:ascii="Times New Roman" w:hAnsi="Times New Roman" w:cs="Times New Roman"/>
          <w:i/>
          <w:sz w:val="24"/>
          <w:szCs w:val="24"/>
        </w:rPr>
        <w:t>wear-out</w:t>
      </w:r>
      <w:r w:rsidR="00C46EC9">
        <w:rPr>
          <w:rFonts w:ascii="Times New Roman" w:hAnsi="Times New Roman" w:cs="Times New Roman"/>
          <w:sz w:val="24"/>
          <w:szCs w:val="24"/>
        </w:rPr>
        <w:t>). Com a vi</w:t>
      </w:r>
      <w:r w:rsidR="00B470C7">
        <w:rPr>
          <w:rFonts w:ascii="Times New Roman" w:hAnsi="Times New Roman" w:cs="Times New Roman"/>
          <w:sz w:val="24"/>
          <w:szCs w:val="24"/>
        </w:rPr>
        <w:t xml:space="preserve">são macro resultante da análise </w:t>
      </w:r>
      <w:r>
        <w:rPr>
          <w:rFonts w:ascii="Times New Roman" w:hAnsi="Times New Roman" w:cs="Times New Roman"/>
          <w:sz w:val="24"/>
          <w:szCs w:val="24"/>
        </w:rPr>
        <w:t>das falha</w:t>
      </w:r>
      <w:r w:rsidR="00B470C7">
        <w:rPr>
          <w:rFonts w:ascii="Times New Roman" w:hAnsi="Times New Roman" w:cs="Times New Roman"/>
          <w:sz w:val="24"/>
          <w:szCs w:val="24"/>
        </w:rPr>
        <w:t xml:space="preserve">s recentes da planta do estado, sugerimos uma estratégia de manutenção a ser adotada. O método do trabalho foi: (i) revisão bibliográfica dos conceitos de confiabilidade e mantenabilidade; (ii) delimitar o sistema a ser estudado; (iii) levantamento histórico de intervalos entre falhas; (iv) </w:t>
      </w:r>
      <w:r w:rsidR="004137A2">
        <w:rPr>
          <w:rFonts w:ascii="Times New Roman" w:hAnsi="Times New Roman" w:cs="Times New Roman"/>
          <w:sz w:val="24"/>
          <w:szCs w:val="24"/>
        </w:rPr>
        <w:t>determinar a distribuição de probabilidade mais representativa para</w:t>
      </w:r>
      <w:r w:rsidR="00950735">
        <w:rPr>
          <w:rFonts w:ascii="Times New Roman" w:hAnsi="Times New Roman" w:cs="Times New Roman"/>
          <w:sz w:val="24"/>
          <w:szCs w:val="24"/>
        </w:rPr>
        <w:t xml:space="preserve"> o intervalo entre falhas</w:t>
      </w:r>
      <w:r w:rsidR="004137A2">
        <w:rPr>
          <w:rFonts w:ascii="Times New Roman" w:hAnsi="Times New Roman" w:cs="Times New Roman"/>
          <w:sz w:val="24"/>
          <w:szCs w:val="24"/>
        </w:rPr>
        <w:t xml:space="preserve"> e</w:t>
      </w:r>
      <w:r w:rsidR="00950735">
        <w:rPr>
          <w:rFonts w:ascii="Times New Roman" w:hAnsi="Times New Roman" w:cs="Times New Roman"/>
          <w:sz w:val="24"/>
          <w:szCs w:val="24"/>
        </w:rPr>
        <w:t xml:space="preserve"> identificar o ponto no ciclo de vida em que se encontra cada setor de cada ERB estudada; (v) Utilizar os resultados obtidos para propor uma política de manutenção para as EBRs presentes no estado.</w:t>
      </w:r>
    </w:p>
    <w:p w14:paraId="7FD5DA49" w14:textId="77777777" w:rsidR="00720026" w:rsidRDefault="00720026" w:rsidP="00720026">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Confiabilidade na gestão da manutenção: definições</w:t>
      </w:r>
    </w:p>
    <w:p w14:paraId="6F3DA3C8" w14:textId="77777777" w:rsidR="00720026" w:rsidRPr="00CD5BE2" w:rsidRDefault="00720026" w:rsidP="00F72236">
      <w:pPr>
        <w:spacing w:line="240" w:lineRule="auto"/>
        <w:ind w:left="360" w:firstLine="348"/>
        <w:jc w:val="both"/>
        <w:rPr>
          <w:rFonts w:ascii="Times New Roman" w:hAnsi="Times New Roman" w:cs="Times New Roman"/>
          <w:i/>
          <w:sz w:val="24"/>
          <w:szCs w:val="24"/>
        </w:rPr>
      </w:pPr>
      <w:r>
        <w:rPr>
          <w:rFonts w:ascii="Times New Roman" w:hAnsi="Times New Roman" w:cs="Times New Roman"/>
          <w:sz w:val="24"/>
          <w:szCs w:val="24"/>
        </w:rPr>
        <w:t xml:space="preserve">O conceito de confiabilidade é empregado em vários campos de conhecimento, inclusive a gestão da manutenção. Confiabilidade é a probabilidade de um sistema exercer sem falhas a função para a qual foi projetado, por um determinado período de tempo e sob um conjunto de condições pré-estabelecidas. Falha é definida como o evento ou o estado de inoperância de um sistema ou subsistema de produção que não executa a função para a </w:t>
      </w:r>
      <w:r>
        <w:rPr>
          <w:rFonts w:ascii="Times New Roman" w:hAnsi="Times New Roman" w:cs="Times New Roman"/>
          <w:sz w:val="24"/>
          <w:szCs w:val="24"/>
        </w:rPr>
        <w:lastRenderedPageBreak/>
        <w:t>qual foi especificado. Assim, pode-se também definir confiabilidade como a probabilidade do evento falha de um sistema produtivo não ocorrer antes do tempo</w:t>
      </w:r>
      <w:r w:rsidR="00CD0577">
        <w:rPr>
          <w:rFonts w:ascii="Times New Roman" w:hAnsi="Times New Roman" w:cs="Times New Roman"/>
          <w:sz w:val="24"/>
          <w:szCs w:val="24"/>
        </w:rPr>
        <w:t xml:space="preserve"> t (RAUSAND e HOYLAND, 2004). Função pode ser definida como as ações desempenhadas e as características apresentadas por um componente, subsistema ou sistema produtivo (RAUSAND e OIEN, 1996).</w:t>
      </w:r>
      <w:r w:rsidR="00CD5BE2">
        <w:rPr>
          <w:rFonts w:ascii="Times New Roman" w:hAnsi="Times New Roman" w:cs="Times New Roman"/>
          <w:i/>
          <w:sz w:val="24"/>
          <w:szCs w:val="24"/>
        </w:rPr>
        <w:t xml:space="preserve"> </w:t>
      </w:r>
    </w:p>
    <w:p w14:paraId="490A4F74" w14:textId="77777777" w:rsidR="00EE5BFA" w:rsidRDefault="00CD0577" w:rsidP="00F72236">
      <w:pPr>
        <w:spacing w:line="24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 confiabilidade é descrita com o emprego de funções. Quatro funções apóiam a análise da confiabilidade: função confiabilidade R(t), função probabilidade de falha F(t), função densidade de probabilidade de falha f(t) e função taxa de falha h(t). Dado um conjunto de condições operacionais, a função confiabilidade R(t) de um componente ou sistema é a probabilidade que o sistema não venha a falhar até o tempo t. A função probabilidade de falha F(t) é o complemento de R(t). A função densidade de probabilidade </w:t>
      </w:r>
      <w:r w:rsidR="00CD5BE2">
        <w:rPr>
          <w:rFonts w:ascii="Times New Roman" w:hAnsi="Times New Roman" w:cs="Times New Roman"/>
          <w:i/>
          <w:sz w:val="24"/>
          <w:szCs w:val="24"/>
        </w:rPr>
        <w:t>fdp</w:t>
      </w:r>
      <w:r w:rsidR="00CD5BE2">
        <w:rPr>
          <w:rFonts w:ascii="Times New Roman" w:hAnsi="Times New Roman" w:cs="Times New Roman"/>
          <w:sz w:val="24"/>
          <w:szCs w:val="24"/>
        </w:rPr>
        <w:t xml:space="preserve"> é a probabilidade que a falha venha a ocorrer no tempo entre t e [t+∆t]. A função taxa de falha h(t) é a probabilidade condicional de que, dado que o item não falhou até t, falhará em [t+∆t] (LAFRAIA, 2001).</w:t>
      </w:r>
    </w:p>
    <w:p w14:paraId="0BC68DB8" w14:textId="77777777" w:rsidR="00EE5BFA" w:rsidRDefault="00EE5BFA" w:rsidP="00F72236">
      <w:pPr>
        <w:spacing w:line="240" w:lineRule="auto"/>
        <w:ind w:left="360" w:firstLine="34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Seja uma variável aleatória T, o tempo decorrido até o sistema falhar. A função de confiabilidade R(t) é expressa por (1). Uma vez que um sistema não falha para 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t, ele necessáriamente irá falhar para T &gt; t. Tem-se então (2). Da definição de função de distribuição acumulada, tem-se (3). A função taxa de falhas pode ser obtida por (4). Finalmente, a confiabilidade pode ser expressa por (5) (ERTAS e JONES, 1996).</w:t>
      </w:r>
      <w:r>
        <w:rPr>
          <w:rFonts w:ascii="Times New Roman" w:eastAsiaTheme="minorEastAsia" w:hAnsi="Times New Roman" w:cs="Times New Roman"/>
          <w:sz w:val="24"/>
          <w:szCs w:val="24"/>
        </w:rPr>
        <w:tab/>
      </w:r>
    </w:p>
    <w:p w14:paraId="7A716EA5" w14:textId="77777777" w:rsidR="00EE5BFA" w:rsidRDefault="00EE5BFA" w:rsidP="00EE5BFA">
      <w:pPr>
        <w:spacing w:line="240" w:lineRule="auto"/>
        <w:ind w:left="360" w:firstLine="348"/>
        <w:jc w:val="center"/>
        <w:rPr>
          <w:rFonts w:ascii="Times New Roman" w:eastAsiaTheme="minorEastAsia" w:hAnsi="Times New Roman" w:cs="Times New Roman"/>
          <w:sz w:val="24"/>
          <w:szCs w:val="24"/>
        </w:rPr>
      </w:pP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T&gt;t</m:t>
            </m:r>
          </m:e>
        </m:d>
      </m:oMath>
      <w:r w:rsidR="009006A8">
        <w:rPr>
          <w:rFonts w:ascii="Times New Roman" w:eastAsiaTheme="minorEastAsia" w:hAnsi="Times New Roman" w:cs="Times New Roman"/>
          <w:sz w:val="24"/>
          <w:szCs w:val="24"/>
        </w:rPr>
        <w:t xml:space="preserve"> </w:t>
      </w:r>
      <w:r w:rsidR="00810FD7">
        <w:rPr>
          <w:rFonts w:ascii="Times New Roman" w:eastAsiaTheme="minorEastAsia" w:hAnsi="Times New Roman" w:cs="Times New Roman"/>
          <w:sz w:val="24"/>
          <w:szCs w:val="24"/>
        </w:rPr>
        <w:tab/>
      </w:r>
      <w:r w:rsidR="009006A8">
        <w:rPr>
          <w:rFonts w:ascii="Times New Roman" w:eastAsiaTheme="minorEastAsia" w:hAnsi="Times New Roman" w:cs="Times New Roman"/>
          <w:sz w:val="24"/>
          <w:szCs w:val="24"/>
        </w:rPr>
        <w:t>(1)</w:t>
      </w:r>
    </w:p>
    <w:p w14:paraId="738F812B" w14:textId="77777777" w:rsidR="009006A8" w:rsidRDefault="009006A8" w:rsidP="00EE5BFA">
      <w:pPr>
        <w:spacing w:line="240" w:lineRule="auto"/>
        <w:ind w:left="360" w:firstLine="348"/>
        <w:jc w:val="center"/>
        <w:rPr>
          <w:rFonts w:ascii="Times New Roman" w:eastAsiaTheme="minorEastAsia" w:hAnsi="Times New Roman" w:cs="Times New Roman"/>
          <w:sz w:val="24"/>
          <w:szCs w:val="24"/>
        </w:rPr>
      </w:pP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=1-F(t)</m:t>
        </m:r>
      </m:oMath>
      <w:r>
        <w:rPr>
          <w:rFonts w:ascii="Times New Roman" w:eastAsiaTheme="minorEastAsia" w:hAnsi="Times New Roman" w:cs="Times New Roman"/>
          <w:sz w:val="24"/>
          <w:szCs w:val="24"/>
        </w:rPr>
        <w:t xml:space="preserve"> </w:t>
      </w:r>
      <w:r w:rsidR="00810FD7">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(2)</w:t>
      </w:r>
    </w:p>
    <w:p w14:paraId="5D43E831" w14:textId="77777777" w:rsidR="009006A8" w:rsidRDefault="009006A8" w:rsidP="00EE5BFA">
      <w:pPr>
        <w:spacing w:line="240" w:lineRule="auto"/>
        <w:ind w:left="360" w:firstLine="348"/>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f(t)</m:t>
            </m:r>
          </m:e>
        </m:nary>
        <m:r>
          <w:rPr>
            <w:rFonts w:ascii="Cambria Math" w:eastAsiaTheme="minorEastAsia" w:hAnsi="Cambria Math" w:cs="Times New Roman"/>
            <w:sz w:val="24"/>
            <w:szCs w:val="24"/>
          </w:rPr>
          <m:t>dt</m:t>
        </m:r>
      </m:oMath>
      <w:r>
        <w:rPr>
          <w:rFonts w:ascii="Times New Roman" w:eastAsiaTheme="minorEastAsia" w:hAnsi="Times New Roman" w:cs="Times New Roman"/>
          <w:sz w:val="24"/>
          <w:szCs w:val="24"/>
        </w:rPr>
        <w:t xml:space="preserve"> </w:t>
      </w:r>
      <w:r w:rsidR="00810FD7">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(3)</w:t>
      </w:r>
    </w:p>
    <w:p w14:paraId="32B86674" w14:textId="77777777" w:rsidR="009006A8" w:rsidRDefault="009006A8" w:rsidP="00EE5BFA">
      <w:pPr>
        <w:spacing w:line="240" w:lineRule="auto"/>
        <w:ind w:left="360" w:firstLine="348"/>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∆t→0</m:t>
                </m:r>
              </m:lim>
            </m:limLow>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m:t>
                    </m:r>
                  </m:e>
                </m:d>
                <m:r>
                  <w:rPr>
                    <w:rFonts w:ascii="Cambria Math" w:eastAsiaTheme="minorEastAsia" w:hAnsi="Cambria Math" w:cs="Times New Roman"/>
                    <w:sz w:val="24"/>
                    <w:szCs w:val="24"/>
                  </w:rPr>
                  <m:t>-F(t)</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f(t)</m:t>
                </m:r>
              </m:num>
              <m:den>
                <m:r>
                  <w:rPr>
                    <w:rFonts w:ascii="Cambria Math" w:eastAsiaTheme="minorEastAsia" w:hAnsi="Cambria Math" w:cs="Times New Roman"/>
                    <w:sz w:val="24"/>
                    <w:szCs w:val="24"/>
                  </w:rPr>
                  <m:t>R(t)</m:t>
                </m:r>
              </m:den>
            </m:f>
          </m:e>
        </m:func>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r w:rsidR="00810FD7">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(4)</w:t>
      </w:r>
    </w:p>
    <w:p w14:paraId="4ABF7ACF" w14:textId="77777777" w:rsidR="009006A8" w:rsidRDefault="009006A8" w:rsidP="00EE5BFA">
      <w:pPr>
        <w:spacing w:line="240" w:lineRule="auto"/>
        <w:ind w:left="360" w:firstLine="348"/>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sup>
        </m:sSup>
      </m:oMath>
      <w:r>
        <w:rPr>
          <w:rFonts w:ascii="Times New Roman" w:eastAsiaTheme="minorEastAsia" w:hAnsi="Times New Roman" w:cs="Times New Roman"/>
          <w:sz w:val="24"/>
          <w:szCs w:val="24"/>
        </w:rPr>
        <w:t xml:space="preserve"> </w:t>
      </w:r>
      <w:r w:rsidR="00810FD7">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(5)</w:t>
      </w:r>
    </w:p>
    <w:p w14:paraId="2737DDC4" w14:textId="77777777" w:rsidR="009006A8" w:rsidRDefault="009006A8" w:rsidP="009006A8">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Curva da banheira</w:t>
      </w:r>
    </w:p>
    <w:p w14:paraId="243F06E2" w14:textId="77777777" w:rsidR="009006A8" w:rsidRDefault="009006A8" w:rsidP="00F72236">
      <w:pPr>
        <w:spacing w:line="240" w:lineRule="auto"/>
        <w:ind w:left="360" w:firstLine="348"/>
        <w:jc w:val="both"/>
        <w:rPr>
          <w:rFonts w:ascii="Times New Roman" w:eastAsiaTheme="minorEastAsia" w:hAnsi="Times New Roman" w:cs="Times New Roman"/>
          <w:sz w:val="24"/>
          <w:szCs w:val="24"/>
        </w:rPr>
      </w:pPr>
      <w:r>
        <w:rPr>
          <w:rFonts w:ascii="Times New Roman" w:hAnsi="Times New Roman" w:cs="Times New Roman"/>
          <w:sz w:val="24"/>
          <w:szCs w:val="24"/>
        </w:rPr>
        <w:t>A análise do comportamento da taxa de falha de um equipamento ao longo do tempo pode ser representada por uma curva que possui a forma de uma banheira, a curva da banheira</w:t>
      </w:r>
      <w:r w:rsidR="00D93D33">
        <w:rPr>
          <w:rFonts w:ascii="Times New Roman" w:hAnsi="Times New Roman" w:cs="Times New Roman"/>
          <w:sz w:val="24"/>
          <w:szCs w:val="24"/>
        </w:rPr>
        <w:t xml:space="preserve"> (figura 1). A curva representa as fases da vida características de um sistema: </w:t>
      </w:r>
      <w:r w:rsidR="00795DFC">
        <w:rPr>
          <w:rFonts w:ascii="Times New Roman" w:hAnsi="Times New Roman" w:cs="Times New Roman"/>
          <w:sz w:val="24"/>
          <w:szCs w:val="24"/>
        </w:rPr>
        <w:t xml:space="preserve">mortalidade infantil, maturidade e mortalidade senil. As fases estão associadas ao fator de forma </w:t>
      </w:r>
      <m:oMath>
        <m:r>
          <w:rPr>
            <w:rFonts w:ascii="Cambria Math" w:hAnsi="Cambria Math" w:cs="Times New Roman"/>
            <w:sz w:val="24"/>
            <w:szCs w:val="24"/>
          </w:rPr>
          <m:t>γ</m:t>
        </m:r>
      </m:oMath>
      <w:r w:rsidR="00795DFC">
        <w:rPr>
          <w:rFonts w:ascii="Times New Roman" w:eastAsiaTheme="minorEastAsia" w:hAnsi="Times New Roman" w:cs="Times New Roman"/>
          <w:sz w:val="24"/>
          <w:szCs w:val="24"/>
        </w:rPr>
        <w:t>, que é um dos parâmetros de uma eventual distribuição de Weibull que descreva a confiabilidade do item, como será apresentado mais adiante (SELLITTO, 2005).</w:t>
      </w:r>
    </w:p>
    <w:p w14:paraId="2A816DC1" w14:textId="77777777" w:rsidR="009006A8" w:rsidRDefault="00FC07BC" w:rsidP="00F72236">
      <w:pPr>
        <w:spacing w:line="240" w:lineRule="auto"/>
        <w:jc w:val="both"/>
        <w:rPr>
          <w:rFonts w:ascii="Times New Roman" w:hAnsi="Times New Roman" w:cs="Times New Roman"/>
          <w:sz w:val="24"/>
          <w:szCs w:val="24"/>
        </w:rPr>
      </w:pPr>
      <w:r>
        <w:rPr>
          <w:noProof/>
        </w:rPr>
        <w:lastRenderedPageBreak/>
        <w:pict w14:anchorId="0EB7487D">
          <v:shapetype id="_x0000_t202" coordsize="21600,21600" o:spt="202" path="m,l,21600r21600,l21600,xe">
            <v:stroke joinstyle="miter"/>
            <v:path gradientshapeok="t" o:connecttype="rect"/>
          </v:shapetype>
          <v:shape id="_x0000_s1026" type="#_x0000_t202" style="position:absolute;left:0;text-align:left;margin-left:32.3pt;margin-top:164.45pt;width:379.5pt;height:.05pt;z-index:251660288" stroked="f">
            <v:textbox style="mso-next-textbox:#_x0000_s1026;mso-fit-shape-to-text:t" inset="0,0,0,0">
              <w:txbxContent>
                <w:p w14:paraId="2ECF25A1" w14:textId="77777777" w:rsidR="00C76EEB" w:rsidRPr="00C76EEB" w:rsidRDefault="00C76EEB" w:rsidP="00C76EEB">
                  <w:pPr>
                    <w:pStyle w:val="Caption"/>
                    <w:rPr>
                      <w:rFonts w:ascii="Times New Roman" w:hAnsi="Times New Roman" w:cs="Times New Roman"/>
                      <w:noProof/>
                      <w:color w:val="000000" w:themeColor="text1"/>
                      <w:sz w:val="24"/>
                      <w:szCs w:val="24"/>
                    </w:rPr>
                  </w:pPr>
                  <w:r w:rsidRPr="00C76EEB">
                    <w:rPr>
                      <w:rFonts w:ascii="Times New Roman" w:hAnsi="Times New Roman" w:cs="Times New Roman"/>
                      <w:color w:val="000000" w:themeColor="text1"/>
                    </w:rPr>
                    <w:t xml:space="preserve">Figura </w:t>
                  </w:r>
                  <w:r w:rsidR="0095327B" w:rsidRPr="00C76EEB">
                    <w:rPr>
                      <w:rFonts w:ascii="Times New Roman" w:hAnsi="Times New Roman" w:cs="Times New Roman"/>
                      <w:color w:val="000000" w:themeColor="text1"/>
                    </w:rPr>
                    <w:fldChar w:fldCharType="begin"/>
                  </w:r>
                  <w:r w:rsidRPr="00C76EEB">
                    <w:rPr>
                      <w:rFonts w:ascii="Times New Roman" w:hAnsi="Times New Roman" w:cs="Times New Roman"/>
                      <w:color w:val="000000" w:themeColor="text1"/>
                    </w:rPr>
                    <w:instrText xml:space="preserve"> SEQ Figura \* ARABIC </w:instrText>
                  </w:r>
                  <w:r w:rsidR="0095327B" w:rsidRPr="00C76EEB">
                    <w:rPr>
                      <w:rFonts w:ascii="Times New Roman" w:hAnsi="Times New Roman" w:cs="Times New Roman"/>
                      <w:color w:val="000000" w:themeColor="text1"/>
                    </w:rPr>
                    <w:fldChar w:fldCharType="separate"/>
                  </w:r>
                  <w:r w:rsidR="008B06D9">
                    <w:rPr>
                      <w:rFonts w:ascii="Times New Roman" w:hAnsi="Times New Roman" w:cs="Times New Roman"/>
                      <w:noProof/>
                      <w:color w:val="000000" w:themeColor="text1"/>
                    </w:rPr>
                    <w:t>1</w:t>
                  </w:r>
                  <w:r w:rsidR="0095327B" w:rsidRPr="00C76EEB">
                    <w:rPr>
                      <w:rFonts w:ascii="Times New Roman" w:hAnsi="Times New Roman" w:cs="Times New Roman"/>
                      <w:color w:val="000000" w:themeColor="text1"/>
                    </w:rPr>
                    <w:fldChar w:fldCharType="end"/>
                  </w:r>
                  <w:r w:rsidRPr="00C76EEB">
                    <w:rPr>
                      <w:rFonts w:ascii="Times New Roman" w:hAnsi="Times New Roman" w:cs="Times New Roman"/>
                      <w:color w:val="000000" w:themeColor="text1"/>
                    </w:rPr>
                    <w:t xml:space="preserve"> - Curva da Banheira e ciclo de vida de equipamentos. Fonte: Sellitto, 2005.</w:t>
                  </w:r>
                </w:p>
              </w:txbxContent>
            </v:textbox>
            <w10:wrap type="topAndBottom"/>
          </v:shape>
        </w:pict>
      </w:r>
      <w:r w:rsidR="00C76EEB">
        <w:rPr>
          <w:rFonts w:ascii="Times New Roman" w:hAnsi="Times New Roman" w:cs="Times New Roman"/>
          <w:noProof/>
          <w:sz w:val="24"/>
          <w:szCs w:val="24"/>
          <w:lang w:eastAsia="pt-BR"/>
        </w:rPr>
        <w:drawing>
          <wp:anchor distT="0" distB="0" distL="114300" distR="114300" simplePos="0" relativeHeight="251658240" behindDoc="0" locked="0" layoutInCell="1" allowOverlap="1" wp14:anchorId="4D0DC4B1" wp14:editId="07777777">
            <wp:simplePos x="0" y="0"/>
            <wp:positionH relativeFrom="column">
              <wp:posOffset>410210</wp:posOffset>
            </wp:positionH>
            <wp:positionV relativeFrom="paragraph">
              <wp:posOffset>97790</wp:posOffset>
            </wp:positionV>
            <wp:extent cx="4819650" cy="1933575"/>
            <wp:effectExtent l="1905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19650" cy="1933575"/>
                    </a:xfrm>
                    <a:prstGeom prst="rect">
                      <a:avLst/>
                    </a:prstGeom>
                    <a:noFill/>
                    <a:ln w="9525">
                      <a:noFill/>
                      <a:miter lim="800000"/>
                      <a:headEnd/>
                      <a:tailEnd/>
                    </a:ln>
                  </pic:spPr>
                </pic:pic>
              </a:graphicData>
            </a:graphic>
          </wp:anchor>
        </w:drawing>
      </w:r>
      <w:r w:rsidR="00626C7A">
        <w:rPr>
          <w:rFonts w:ascii="Times New Roman" w:hAnsi="Times New Roman" w:cs="Times New Roman"/>
          <w:sz w:val="24"/>
          <w:szCs w:val="24"/>
        </w:rPr>
        <w:tab/>
        <w:t xml:space="preserve">No período de mortalidade infantil, a taxa de falhas é alta, porém decrescente. As falhas preliminarmente são causadas por defeitos de projeto, erros de fabricação, mão-de-obra desqualificada, estocagem inadequada, instalação imprópria entre outras. A taxa de falhas diminui com o tempo, conforme os reparos de defeitos eliminam componentes frágeis </w:t>
      </w:r>
      <w:r w:rsidR="004C3B31">
        <w:rPr>
          <w:rFonts w:ascii="Times New Roman" w:hAnsi="Times New Roman" w:cs="Times New Roman"/>
          <w:sz w:val="24"/>
          <w:szCs w:val="24"/>
        </w:rPr>
        <w:t xml:space="preserve">ou à medida que são detectados e reparados erros de projeto ou de instalação. Sellitto (2005) aponta que, neste período, a melhor estratégia de manutenção é a corretiva, ou seja, cabe à manutenção não apenas reparar o equipamento, mas corrigi-lo, para que a falha não se repita. </w:t>
      </w:r>
    </w:p>
    <w:p w14:paraId="0444F246" w14:textId="77777777" w:rsidR="004C3B31" w:rsidRDefault="004C3B31" w:rsidP="00F72236">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Entre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613A34">
        <w:rPr>
          <w:rFonts w:ascii="Times New Roman" w:eastAsiaTheme="minorEastAsia" w:hAnsi="Times New Roman" w:cs="Times New Roman"/>
          <w:sz w:val="24"/>
          <w:szCs w:val="24"/>
        </w:rPr>
        <w:t xml:space="preserve">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sidR="00613A34">
        <w:rPr>
          <w:rFonts w:ascii="Times New Roman" w:eastAsiaTheme="minorEastAsia" w:hAnsi="Times New Roman" w:cs="Times New Roman"/>
          <w:sz w:val="24"/>
          <w:szCs w:val="24"/>
        </w:rPr>
        <w:t xml:space="preserve"> é a fase de maturidade ou período de vida útil. O valor médio da taxa de falha é constante. Nesta fase, as falhas ocorrem por causas aleatórias, externas ao sistema, tais como acidentes, liberações excessivas de energia, operação inadequada, e são de difícil controle. Falhas aleatórias podem assumir diversas naturezas, tais como: sobrecargas aleatórias, problemas externos de alimentação elétrica, vibração, impactos mecânicos, bruscas variações de temperatura, erros humanos de operação entre outros. Falhas aleatórias podem ser reduzidas projetando equipamentos mais robustos do que exige o meio em que opera ou padronizando a operação. Sellitto(2005) aponta que, neste período, a melhor estratégia de manutenção é a preditiva, ou seja, monitoramento Dara detectar o início da fase de desgaste. </w:t>
      </w:r>
    </w:p>
    <w:p w14:paraId="324BF790" w14:textId="77777777" w:rsidR="00613A34" w:rsidRDefault="00613A34" w:rsidP="00F72236">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Após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há crescimento da taxa de falhas, a mortalidade senil, que representa o início do período final de vida do item. Essa fase é caracterizada pelo desgaste do componente, entre outros. Para produzir produtos com vida útil mais prolongada, deve-se atentar para o projeto, utilizando materiais e componentes mais duráveis, um plano de inspeção e manutenção que detecte que iniciou a mortalidade senil e previna, por substituição preventiva de itens, e supressão dos agentes nocivos presentes no meio. Sellitto(2005) aponta que, neste período, a melhor </w:t>
      </w:r>
      <w:r w:rsidR="00FD2883">
        <w:rPr>
          <w:rFonts w:ascii="Times New Roman" w:eastAsiaTheme="minorEastAsia" w:hAnsi="Times New Roman" w:cs="Times New Roman"/>
          <w:sz w:val="24"/>
          <w:szCs w:val="24"/>
        </w:rPr>
        <w:t xml:space="preserve">estratégia de manutenção é a preventiva, ou seja, já que o equipamento irá falhar, cabe à manutenção aproveitar a melhor oportunidade para substituir ou reformar o item. </w:t>
      </w:r>
    </w:p>
    <w:p w14:paraId="42351E73" w14:textId="48A1688B" w:rsidR="00B747C7" w:rsidRDefault="00FD2883" w:rsidP="00F72236">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Sellitto</w:t>
      </w:r>
      <w:r w:rsidR="00353F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(2005) destaca que o término da vida útil, sob o ponto de vista de confiabilidade, que </w:t>
      </w:r>
      <w:r w:rsidR="00B747C7">
        <w:rPr>
          <w:rFonts w:ascii="Times New Roman" w:eastAsiaTheme="minorEastAsia" w:hAnsi="Times New Roman" w:cs="Times New Roman"/>
          <w:sz w:val="24"/>
          <w:szCs w:val="24"/>
        </w:rPr>
        <w:t>ocorre quando o item ingressa no período de mortalidade senil, não deve ser confundido com sua obsolescência do ponto de vista mercadológico ou produtivo. Nesta, o item é substituído por haver desaparecido o valor atribuído à função que desempenha. Naquela, a substituição ocorre por queda na confiabilidade do item em produzir</w:t>
      </w:r>
      <w:r w:rsidR="00D67235">
        <w:rPr>
          <w:rFonts w:ascii="Times New Roman" w:eastAsiaTheme="minorEastAsia" w:hAnsi="Times New Roman" w:cs="Times New Roman"/>
          <w:sz w:val="24"/>
          <w:szCs w:val="24"/>
        </w:rPr>
        <w:t xml:space="preserve"> o valor que dele se espera. Sistemas eletrônicos geralmente apresentam mortalidade infantil e depois apenas falhas aleatórias, estacionando na parte baixa da curva. Tal região é dita sem memória de </w:t>
      </w:r>
      <w:r w:rsidR="00353FF2">
        <w:rPr>
          <w:rFonts w:ascii="Times New Roman" w:eastAsiaTheme="minorEastAsia" w:hAnsi="Times New Roman" w:cs="Times New Roman"/>
          <w:sz w:val="24"/>
          <w:szCs w:val="24"/>
        </w:rPr>
        <w:t>falha (</w:t>
      </w:r>
      <w:r w:rsidR="00D67235">
        <w:rPr>
          <w:rFonts w:ascii="Times New Roman" w:eastAsiaTheme="minorEastAsia" w:hAnsi="Times New Roman" w:cs="Times New Roman"/>
          <w:i/>
          <w:sz w:val="24"/>
          <w:szCs w:val="24"/>
        </w:rPr>
        <w:t>failure memoryless</w:t>
      </w:r>
      <w:r w:rsidR="00D67235">
        <w:rPr>
          <w:rFonts w:ascii="Times New Roman" w:eastAsiaTheme="minorEastAsia" w:hAnsi="Times New Roman" w:cs="Times New Roman"/>
          <w:sz w:val="24"/>
          <w:szCs w:val="24"/>
        </w:rPr>
        <w:t xml:space="preserve">), pois a incidência de uma falha no tempo </w:t>
      </w:r>
      <w:r w:rsidR="00D67235">
        <w:rPr>
          <w:rFonts w:ascii="Times New Roman" w:eastAsiaTheme="minorEastAsia" w:hAnsi="Times New Roman" w:cs="Times New Roman"/>
          <w:i/>
          <w:sz w:val="24"/>
          <w:szCs w:val="24"/>
        </w:rPr>
        <w:t>t</w:t>
      </w:r>
      <w:r w:rsidR="00D67235">
        <w:rPr>
          <w:rFonts w:ascii="Times New Roman" w:eastAsiaTheme="minorEastAsia" w:hAnsi="Times New Roman" w:cs="Times New Roman"/>
          <w:sz w:val="24"/>
          <w:szCs w:val="24"/>
        </w:rPr>
        <w:t xml:space="preserve"> não tem correlação com o tempo até a próxima falha.</w:t>
      </w:r>
    </w:p>
    <w:p w14:paraId="50615E8E" w14:textId="77777777" w:rsidR="00D67235" w:rsidRDefault="00D67235" w:rsidP="00D67235">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Distribuições de probabilidade úteis em manutenção</w:t>
      </w:r>
    </w:p>
    <w:p w14:paraId="3A7BE928" w14:textId="77777777" w:rsidR="00D67235" w:rsidRDefault="00D67235" w:rsidP="00F72236">
      <w:pPr>
        <w:spacing w:line="240" w:lineRule="auto"/>
        <w:ind w:firstLine="348"/>
        <w:jc w:val="both"/>
        <w:rPr>
          <w:rFonts w:ascii="Times New Roman" w:hAnsi="Times New Roman" w:cs="Times New Roman"/>
          <w:sz w:val="24"/>
          <w:szCs w:val="24"/>
        </w:rPr>
      </w:pPr>
      <w:r>
        <w:rPr>
          <w:rFonts w:ascii="Times New Roman" w:hAnsi="Times New Roman" w:cs="Times New Roman"/>
          <w:sz w:val="24"/>
          <w:szCs w:val="24"/>
        </w:rPr>
        <w:lastRenderedPageBreak/>
        <w:t>Para estudos de confiabilidade em manutenção, é necessário determinar uma distribuição de probabilidade que se ajuste aos dados de tempo de vida do sistema. As de interesse para a manutenção são: normal, lognormal, Weibull, exponencial e gamma. A distribuição normal pode descrever tempos até falhas originadas de causas que se soma</w:t>
      </w:r>
      <w:r w:rsidR="00810FD7">
        <w:rPr>
          <w:rFonts w:ascii="Times New Roman" w:hAnsi="Times New Roman" w:cs="Times New Roman"/>
          <w:sz w:val="24"/>
          <w:szCs w:val="24"/>
        </w:rPr>
        <w:t xml:space="preserve">m; a lognormal, quando a falha se origina de causas que se multiplicam; a Weibull, quando várias causas competem e a primeira que ocorre causa a </w:t>
      </w:r>
      <w:r w:rsidR="009F055E">
        <w:rPr>
          <w:rFonts w:ascii="Times New Roman" w:hAnsi="Times New Roman" w:cs="Times New Roman"/>
          <w:sz w:val="24"/>
          <w:szCs w:val="24"/>
        </w:rPr>
        <w:t>falha (</w:t>
      </w:r>
      <w:r w:rsidR="00810FD7">
        <w:rPr>
          <w:rFonts w:ascii="Times New Roman" w:hAnsi="Times New Roman" w:cs="Times New Roman"/>
          <w:sz w:val="24"/>
          <w:szCs w:val="24"/>
        </w:rPr>
        <w:t xml:space="preserve">sistemas em série); a exponencial, quando a falha ocorre por motivos aleatórios; e a gamma, quando a útima causa que ocorre dispara a </w:t>
      </w:r>
      <w:r w:rsidR="009F055E">
        <w:rPr>
          <w:rFonts w:ascii="Times New Roman" w:hAnsi="Times New Roman" w:cs="Times New Roman"/>
          <w:sz w:val="24"/>
          <w:szCs w:val="24"/>
        </w:rPr>
        <w:t>falha (</w:t>
      </w:r>
      <w:r w:rsidR="00810FD7">
        <w:rPr>
          <w:rFonts w:ascii="Times New Roman" w:hAnsi="Times New Roman" w:cs="Times New Roman"/>
          <w:sz w:val="24"/>
          <w:szCs w:val="24"/>
        </w:rPr>
        <w:t>sistemas em paralelo</w:t>
      </w:r>
      <w:r w:rsidR="009F055E">
        <w:rPr>
          <w:rFonts w:ascii="Times New Roman" w:hAnsi="Times New Roman" w:cs="Times New Roman"/>
          <w:sz w:val="24"/>
          <w:szCs w:val="24"/>
        </w:rPr>
        <w:t>) (</w:t>
      </w:r>
      <w:r w:rsidR="00810FD7">
        <w:rPr>
          <w:rFonts w:ascii="Times New Roman" w:hAnsi="Times New Roman" w:cs="Times New Roman"/>
          <w:sz w:val="24"/>
          <w:szCs w:val="24"/>
        </w:rPr>
        <w:t xml:space="preserve">RAUSAND e HOYLAND, </w:t>
      </w:r>
      <w:r w:rsidR="009F055E">
        <w:rPr>
          <w:rFonts w:ascii="Times New Roman" w:hAnsi="Times New Roman" w:cs="Times New Roman"/>
          <w:sz w:val="24"/>
          <w:szCs w:val="24"/>
        </w:rPr>
        <w:t>2004;</w:t>
      </w:r>
      <w:r w:rsidR="00810FD7">
        <w:rPr>
          <w:rFonts w:ascii="Times New Roman" w:hAnsi="Times New Roman" w:cs="Times New Roman"/>
          <w:sz w:val="24"/>
          <w:szCs w:val="24"/>
        </w:rPr>
        <w:t xml:space="preserve"> HAHN e SHAPIRO, 1967).</w:t>
      </w:r>
    </w:p>
    <w:p w14:paraId="5AC3B2B5" w14:textId="77777777" w:rsidR="00810FD7" w:rsidRDefault="00810FD7" w:rsidP="00F7223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Para a normal, a função distribuição de probabilidade é dada por (6), em termos da média e do desvio padrão, na qual μ representa a medida central, σ indica o desvio-padrão e </w:t>
      </w:r>
      <w:r>
        <w:rPr>
          <w:rFonts w:ascii="Times New Roman" w:hAnsi="Times New Roman" w:cs="Times New Roman"/>
          <w:i/>
          <w:sz w:val="24"/>
          <w:szCs w:val="24"/>
        </w:rPr>
        <w:t>t</w:t>
      </w:r>
      <w:r>
        <w:rPr>
          <w:rFonts w:ascii="Times New Roman" w:hAnsi="Times New Roman" w:cs="Times New Roman"/>
          <w:sz w:val="24"/>
          <w:szCs w:val="24"/>
        </w:rPr>
        <w:t xml:space="preserve"> representa o tempo até a falha.</w:t>
      </w:r>
    </w:p>
    <w:p w14:paraId="74F4DDC8" w14:textId="77777777" w:rsidR="00810FD7" w:rsidRPr="00810FD7" w:rsidRDefault="00810FD7" w:rsidP="00810FD7">
      <w:pPr>
        <w:spacing w:line="240" w:lineRule="auto"/>
        <w:ind w:left="360"/>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-0,5(</m:t>
                </m:r>
                <m:f>
                  <m:fPr>
                    <m:type m:val="skw"/>
                    <m:ctrlPr>
                      <w:rPr>
                        <w:rFonts w:ascii="Cambria Math" w:hAnsi="Cambria Math" w:cs="Times New Roman"/>
                        <w:i/>
                        <w:sz w:val="24"/>
                        <w:szCs w:val="24"/>
                      </w:rPr>
                    </m:ctrlPr>
                  </m:fPr>
                  <m:num>
                    <m:r>
                      <w:rPr>
                        <w:rFonts w:ascii="Cambria Math" w:hAnsi="Cambria Math" w:cs="Times New Roman"/>
                        <w:sz w:val="24"/>
                        <w:szCs w:val="24"/>
                      </w:rPr>
                      <m:t>t-μ</m:t>
                    </m:r>
                  </m:num>
                  <m:den>
                    <m:r>
                      <w:rPr>
                        <w:rFonts w:ascii="Cambria Math" w:hAnsi="Cambria Math" w:cs="Times New Roman"/>
                        <w:sz w:val="24"/>
                        <w:szCs w:val="24"/>
                      </w:rPr>
                      <m:t>σ</m:t>
                    </m:r>
                  </m:den>
                </m:f>
                <m:r>
                  <w:rPr>
                    <w:rFonts w:ascii="Cambria Math" w:hAnsi="Cambria Math" w:cs="Times New Roman"/>
                    <w:sz w:val="24"/>
                    <w:szCs w:val="24"/>
                  </w:rPr>
                  <m:t>)</m:t>
                </m:r>
              </m:e>
              <m:sup>
                <m:r>
                  <w:rPr>
                    <w:rFonts w:ascii="Cambria Math" w:hAnsi="Cambria Math" w:cs="Times New Roman"/>
                    <w:sz w:val="24"/>
                    <w:szCs w:val="24"/>
                  </w:rPr>
                  <m:t>2</m:t>
                </m:r>
              </m:sup>
            </m:sSup>
          </m:sup>
        </m:sSup>
        <m:r>
          <w:rPr>
            <w:rFonts w:ascii="Cambria Math" w:eastAsiaTheme="minorEastAsia" w:hAnsi="Cambria Math" w:cs="Times New Roman"/>
            <w:sz w:val="24"/>
            <w:szCs w:val="24"/>
          </w:rPr>
          <m:t>, -∞&lt;t&lt;∞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p w14:paraId="473C7B4E" w14:textId="77777777" w:rsidR="00D67235" w:rsidRDefault="00810FD7" w:rsidP="00626C7A">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Uma distribuição normal com </w:t>
      </w:r>
      <w:r>
        <w:rPr>
          <w:rFonts w:ascii="Times New Roman" w:eastAsiaTheme="minorEastAsia" w:hAnsi="Times New Roman" w:cs="Times New Roman"/>
          <w:i/>
          <w:sz w:val="24"/>
          <w:szCs w:val="24"/>
        </w:rPr>
        <w:t>ln t</w:t>
      </w:r>
      <w:r>
        <w:rPr>
          <w:rFonts w:ascii="Times New Roman" w:eastAsiaTheme="minorEastAsia" w:hAnsi="Times New Roman" w:cs="Times New Roman"/>
          <w:sz w:val="24"/>
          <w:szCs w:val="24"/>
        </w:rPr>
        <w:t xml:space="preserve"> como variável independente reduz-se a uma distribuição lognormal. A sua densidade de probabilidade é dada por (7), na qual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representa o tempo até a falha, com média do logaritmo dos dados μ</w:t>
      </w:r>
      <w:r w:rsidR="00AC7D17">
        <w:rPr>
          <w:rFonts w:ascii="Times New Roman" w:eastAsiaTheme="minorEastAsia" w:hAnsi="Times New Roman" w:cs="Times New Roman"/>
          <w:sz w:val="24"/>
          <w:szCs w:val="24"/>
        </w:rPr>
        <w:t xml:space="preserve"> e o desvio padrão do logaritmo dos dados </w:t>
      </w:r>
      <m:oMath>
        <m:r>
          <w:rPr>
            <w:rFonts w:ascii="Cambria Math" w:eastAsiaTheme="minorEastAsia" w:hAnsi="Cambria Math" w:cs="Times New Roman"/>
            <w:sz w:val="24"/>
            <w:szCs w:val="24"/>
          </w:rPr>
          <m:t>σ</m:t>
        </m:r>
      </m:oMath>
      <w:r w:rsidR="00AC7D17">
        <w:rPr>
          <w:rFonts w:ascii="Times New Roman" w:eastAsiaTheme="minorEastAsia" w:hAnsi="Times New Roman" w:cs="Times New Roman"/>
          <w:sz w:val="24"/>
          <w:szCs w:val="24"/>
        </w:rPr>
        <w:t>.</w:t>
      </w:r>
    </w:p>
    <w:p w14:paraId="42F7ABAF" w14:textId="77777777" w:rsidR="00AC7D17" w:rsidRPr="00986941" w:rsidRDefault="00986941" w:rsidP="00986941">
      <w:pPr>
        <w:spacing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σt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e>
            </m:rad>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-0,5</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(lnt-μ)</m:t>
                        </m:r>
                      </m:num>
                      <m:den>
                        <m:r>
                          <w:rPr>
                            <w:rFonts w:ascii="Cambria Math" w:eastAsiaTheme="minorEastAsia" w:hAnsi="Cambria Math" w:cs="Times New Roman"/>
                            <w:sz w:val="24"/>
                            <w:szCs w:val="24"/>
                          </w:rPr>
                          <m:t>σ</m:t>
                        </m:r>
                      </m:den>
                    </m:f>
                  </m:e>
                </m:d>
              </m:e>
              <m:sup>
                <m:r>
                  <w:rPr>
                    <w:rFonts w:ascii="Cambria Math" w:eastAsiaTheme="minorEastAsia" w:hAnsi="Cambria Math" w:cs="Times New Roman"/>
                    <w:sz w:val="24"/>
                    <w:szCs w:val="24"/>
                  </w:rPr>
                  <m:t>2</m:t>
                </m:r>
              </m:sup>
            </m:sSup>
          </m:sup>
        </m:sSup>
      </m:oMath>
      <w:r w:rsidRPr="0098694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t&gt;0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(7)</w:t>
      </w:r>
    </w:p>
    <w:p w14:paraId="0ED1E594" w14:textId="77777777" w:rsidR="00986941" w:rsidRPr="00986941" w:rsidRDefault="00986941" w:rsidP="00F72236">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 distribuição Weibull pode ser utilizada em pequenas amostras e tem flexibilidade, devido ao fator de forma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A distribuição oferece informação para classificar tipos de falhas e suportar estratégias de manutenção (DODSON</w:t>
      </w:r>
      <w:r w:rsidR="005F23F7">
        <w:rPr>
          <w:rFonts w:ascii="Times New Roman" w:eastAsiaTheme="minorEastAsia" w:hAnsi="Times New Roman" w:cs="Times New Roman"/>
          <w:sz w:val="24"/>
          <w:szCs w:val="24"/>
        </w:rPr>
        <w:t xml:space="preserve"> </w:t>
      </w:r>
      <w:r w:rsidR="0090733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 NOLAN, 2002). Outra característica é a capacidade de modelar sistemas que operam em série.</w:t>
      </w:r>
      <w:r w:rsidR="00006DFA">
        <w:rPr>
          <w:rFonts w:ascii="Times New Roman" w:eastAsiaTheme="minorEastAsia" w:hAnsi="Times New Roman" w:cs="Times New Roman"/>
          <w:sz w:val="24"/>
          <w:szCs w:val="24"/>
        </w:rPr>
        <w:t xml:space="preserve"> A distribuição de probabilidade é dada por (8) na qual </w:t>
      </w:r>
      <m:oMath>
        <m:r>
          <w:rPr>
            <w:rFonts w:ascii="Cambria Math" w:eastAsiaTheme="minorEastAsia" w:hAnsi="Cambria Math" w:cs="Times New Roman"/>
            <w:sz w:val="24"/>
            <w:szCs w:val="24"/>
          </w:rPr>
          <m:t>θ</m:t>
        </m:r>
      </m:oMath>
      <w:r w:rsidR="00006DFA">
        <w:rPr>
          <w:rFonts w:ascii="Times New Roman" w:eastAsiaTheme="minorEastAsia" w:hAnsi="Times New Roman" w:cs="Times New Roman"/>
          <w:sz w:val="24"/>
          <w:szCs w:val="24"/>
        </w:rPr>
        <w:t xml:space="preserve"> representa parâmetro de escala, </w:t>
      </w:r>
      <m:oMath>
        <m:r>
          <w:rPr>
            <w:rFonts w:ascii="Cambria Math" w:eastAsiaTheme="minorEastAsia" w:hAnsi="Cambria Math" w:cs="Times New Roman"/>
            <w:sz w:val="24"/>
            <w:szCs w:val="24"/>
          </w:rPr>
          <m:t>γ</m:t>
        </m:r>
      </m:oMath>
      <w:r w:rsidR="00006DFA">
        <w:rPr>
          <w:rFonts w:ascii="Times New Roman" w:eastAsiaTheme="minorEastAsia" w:hAnsi="Times New Roman" w:cs="Times New Roman"/>
          <w:sz w:val="24"/>
          <w:szCs w:val="24"/>
        </w:rPr>
        <w:t xml:space="preserve"> representa parâmetro de forma e t representa o tempo até a falha. </w:t>
      </w:r>
    </w:p>
    <w:p w14:paraId="1060BE60" w14:textId="77777777" w:rsidR="00AC7D17" w:rsidRPr="00810FD7" w:rsidRDefault="00AC7D17" w:rsidP="00F72236">
      <w:pPr>
        <w:spacing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θ</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θ</m:t>
                    </m:r>
                  </m:den>
                </m:f>
              </m:e>
            </m:d>
          </m:e>
          <m:sup>
            <m:r>
              <w:rPr>
                <w:rFonts w:ascii="Cambria Math" w:eastAsiaTheme="minorEastAsia" w:hAnsi="Cambria Math" w:cs="Times New Roman"/>
                <w:sz w:val="24"/>
                <w:szCs w:val="24"/>
              </w:rPr>
              <m:t>γ-1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θ</m:t>
                        </m:r>
                      </m:den>
                    </m:f>
                  </m:e>
                </m:d>
              </m:e>
              <m:sup>
                <m:r>
                  <w:rPr>
                    <w:rFonts w:ascii="Cambria Math" w:eastAsiaTheme="minorEastAsia" w:hAnsi="Cambria Math" w:cs="Times New Roman"/>
                    <w:sz w:val="24"/>
                    <w:szCs w:val="24"/>
                  </w:rPr>
                  <m:t>γ</m:t>
                </m:r>
              </m:sup>
            </m:sSup>
          </m:sup>
        </m:s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0≤t≤∞</m:t>
        </m:r>
      </m:oMath>
      <w:r>
        <w:rPr>
          <w:rFonts w:ascii="Times New Roman" w:eastAsiaTheme="minorEastAsia" w:hAnsi="Times New Roman" w:cs="Times New Roman"/>
          <w:sz w:val="24"/>
          <w:szCs w:val="24"/>
        </w:rPr>
        <w:tab/>
        <w:t>(8)</w:t>
      </w:r>
    </w:p>
    <w:p w14:paraId="15178C08" w14:textId="77777777" w:rsidR="00006DFA" w:rsidRDefault="00F169E8" w:rsidP="00F169E8">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distribuição exponencial descreve sistemas com taxas de falhas constantes. Substituindo a taxa de falha λ(t) pela constante λ, a função de distribuição de probabilidade é dada por (9), na qual λ representa a taxa de falha e t indica o tempo até a falha. A distribuição exponencial geralmente é aplicada em sistemas complexos não redundantes ou sistemas complexos com taxas de falhas independentes. Também pode ser aplicada em sistemas com dados de falhas mostrando causas muito heterogêneas, sistemas de vários componentes ou ainda sistemas de vários componentes com substituições antes de falhas devido à manutenção preventiva.</w:t>
      </w:r>
    </w:p>
    <w:p w14:paraId="4EC4881F" w14:textId="77777777" w:rsidR="00F169E8" w:rsidRDefault="00F169E8" w:rsidP="00F169E8">
      <w:pPr>
        <w:spacing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λ</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e</m:t>
            </m:r>
          </m:e>
          <m:sup>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λ</m:t>
            </m:r>
            <m:r>
              <m:rPr>
                <m:sty m:val="p"/>
              </m:rPr>
              <w:rPr>
                <w:rFonts w:ascii="Cambria Math" w:eastAsiaTheme="minorEastAsia" w:hAnsi="Times New Roman" w:cs="Times New Roman"/>
                <w:sz w:val="24"/>
                <w:szCs w:val="24"/>
              </w:rPr>
              <m:t>t</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(9)</w:t>
      </w:r>
    </w:p>
    <w:p w14:paraId="32A8FA04" w14:textId="77777777" w:rsidR="00F169E8" w:rsidRDefault="004A56E7" w:rsidP="00160B10">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Mantenabilidade e disponibilidade</w:t>
      </w:r>
    </w:p>
    <w:p w14:paraId="0021B639" w14:textId="77777777" w:rsidR="004A56E7" w:rsidRDefault="006935E0" w:rsidP="00160B10">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A Confiabilidade tenta reduzir a freqüência ou severidade de falhas em sistemas. A mantenabilidade</w:t>
      </w:r>
      <w:r w:rsidR="00A70F80">
        <w:rPr>
          <w:rFonts w:ascii="Times New Roman" w:hAnsi="Times New Roman" w:cs="Times New Roman"/>
          <w:sz w:val="24"/>
          <w:szCs w:val="24"/>
        </w:rPr>
        <w:t xml:space="preserve"> concentra-se em diminuir o tempo da duração de falhas em um sistema e restabelecer o funcionamento no menor tempo possível. A Norma Brasileira Registrada NBR 5462 (1994), que trata da terminologia para a confiabilidade, define mantenabilidade como: “Facilidade de um item em ser mantido ou recolocado no estado no qual pode executar suas funções requeridas, sob condições de uso especificadas, quando a manutenção é executada </w:t>
      </w:r>
      <w:r w:rsidR="00A70F80">
        <w:rPr>
          <w:rFonts w:ascii="Times New Roman" w:hAnsi="Times New Roman" w:cs="Times New Roman"/>
          <w:sz w:val="24"/>
          <w:szCs w:val="24"/>
        </w:rPr>
        <w:lastRenderedPageBreak/>
        <w:t xml:space="preserve">sob condições determinadas e mediante procedimentos e meios descritos”. </w:t>
      </w:r>
      <w:r w:rsidR="0010532E">
        <w:rPr>
          <w:rFonts w:ascii="Times New Roman" w:hAnsi="Times New Roman" w:cs="Times New Roman"/>
          <w:sz w:val="24"/>
          <w:szCs w:val="24"/>
        </w:rPr>
        <w:t xml:space="preserve">A mantenabilidade também é considerada uma característica de projeto e instalação de um item, que é expresso pela probabilidade de que o tempo de manutenção não ultrapassará um determinado valor, quando o item é operado e mantido por pessoas e procedimentos prescritos. </w:t>
      </w:r>
    </w:p>
    <w:p w14:paraId="4ED1F30D" w14:textId="79FD667B" w:rsidR="009A27A7" w:rsidRPr="00E4088A" w:rsidRDefault="009A27A7" w:rsidP="00160B10">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A mantenabilidade tem por finalidade indicar em que tempo médio a equipe de manutenção terá sucesso no reparo. É um indicativo de performance, porém não é isolado. Seja T</w:t>
      </w:r>
      <w:r w:rsidR="00E22B52">
        <w:rPr>
          <w:rFonts w:ascii="Times New Roman" w:hAnsi="Times New Roman" w:cs="Times New Roman"/>
          <w:sz w:val="24"/>
          <w:szCs w:val="24"/>
        </w:rPr>
        <w:t xml:space="preserve"> o tempo necessário para reparar um sistema a partir do instante da falha. T é uma variável aleatória. A função de densidade de probabilidade de reparo m(t) pode ser definida por (11), na qual m(t) é a probabilidade que o reparo precise de um tempo entre t e </w:t>
      </w:r>
      <m:oMath>
        <m:r>
          <w:rPr>
            <w:rFonts w:ascii="Cambria Math" w:hAnsi="Cambria Math" w:cs="Times New Roman"/>
            <w:sz w:val="24"/>
            <w:szCs w:val="24"/>
          </w:rPr>
          <m:t>[t+∆t]</m:t>
        </m:r>
      </m:oMath>
      <w:r w:rsidR="00E22B52">
        <w:rPr>
          <w:rFonts w:ascii="Times New Roman" w:eastAsiaTheme="minorEastAsia" w:hAnsi="Times New Roman" w:cs="Times New Roman"/>
          <w:sz w:val="24"/>
          <w:szCs w:val="24"/>
        </w:rPr>
        <w:t xml:space="preserve">. A função distribuição para reparo M(t) é dada por (12). O tempo médio para reparo (MTTR) é dado por (13). </w:t>
      </w:r>
      <w:r w:rsidR="00E22B52" w:rsidRPr="00E4088A">
        <w:rPr>
          <w:rFonts w:ascii="Times New Roman" w:eastAsiaTheme="minorEastAsia" w:hAnsi="Times New Roman" w:cs="Times New Roman"/>
          <w:sz w:val="24"/>
          <w:szCs w:val="24"/>
        </w:rPr>
        <w:t xml:space="preserve">TBF indica o tempo entre falhas. </w:t>
      </w:r>
      <w:r w:rsidR="00353FF2" w:rsidRPr="00E4088A">
        <w:rPr>
          <w:rFonts w:ascii="Times New Roman" w:eastAsiaTheme="minorEastAsia" w:hAnsi="Times New Roman" w:cs="Times New Roman"/>
          <w:sz w:val="24"/>
          <w:szCs w:val="24"/>
        </w:rPr>
        <w:t>MTBF (</w:t>
      </w:r>
      <w:r w:rsidR="00E22B52" w:rsidRPr="00E4088A">
        <w:rPr>
          <w:rFonts w:ascii="Times New Roman" w:eastAsiaTheme="minorEastAsia" w:hAnsi="Times New Roman" w:cs="Times New Roman"/>
          <w:i/>
          <w:sz w:val="24"/>
          <w:szCs w:val="24"/>
        </w:rPr>
        <w:t>Mean Time Between Failure</w:t>
      </w:r>
      <w:r w:rsidR="00E22B52" w:rsidRPr="00E4088A">
        <w:rPr>
          <w:rFonts w:ascii="Times New Roman" w:eastAsiaTheme="minorEastAsia" w:hAnsi="Times New Roman" w:cs="Times New Roman"/>
          <w:sz w:val="24"/>
          <w:szCs w:val="24"/>
        </w:rPr>
        <w:t>) é representado matematicamente por (14).</w:t>
      </w:r>
    </w:p>
    <w:p w14:paraId="3848D63E" w14:textId="77777777" w:rsidR="00E22B52" w:rsidRDefault="00E22B52" w:rsidP="00160B10">
      <w:pPr>
        <w:spacing w:line="240" w:lineRule="auto"/>
        <w:jc w:val="both"/>
        <w:rPr>
          <w:rFonts w:ascii="Times New Roman" w:hAnsi="Times New Roman" w:cs="Times New Roman"/>
          <w:sz w:val="24"/>
          <w:szCs w:val="24"/>
        </w:rPr>
      </w:pPr>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.∆t=P</m:t>
        </m:r>
        <m:d>
          <m:dPr>
            <m:begChr m:val="["/>
            <m:endChr m:val="]"/>
            <m:ctrlPr>
              <w:rPr>
                <w:rFonts w:ascii="Cambria Math" w:hAnsi="Cambria Math" w:cs="Times New Roman"/>
                <w:i/>
                <w:sz w:val="24"/>
                <w:szCs w:val="24"/>
              </w:rPr>
            </m:ctrlPr>
          </m:dPr>
          <m:e>
            <m:r>
              <w:rPr>
                <w:rFonts w:ascii="Cambria Math" w:hAnsi="Cambria Math" w:cs="Times New Roman"/>
                <w:sz w:val="24"/>
                <w:szCs w:val="24"/>
              </w:rPr>
              <m:t>t≤T≤t+∆t</m:t>
            </m:r>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(11)</w:t>
      </w:r>
    </w:p>
    <w:p w14:paraId="1A3BFF34" w14:textId="77777777" w:rsidR="0010532E" w:rsidRPr="006935E0" w:rsidRDefault="00E22B52" w:rsidP="00160B10">
      <w:pPr>
        <w:spacing w:line="240" w:lineRule="auto"/>
        <w:jc w:val="both"/>
        <w:rPr>
          <w:rFonts w:ascii="Times New Roman" w:hAnsi="Times New Roman" w:cs="Times New Roman"/>
          <w:sz w:val="24"/>
          <w:szCs w:val="24"/>
        </w:rPr>
      </w:pPr>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(12)</w:t>
      </w:r>
    </w:p>
    <w:p w14:paraId="5E98BE60" w14:textId="77777777" w:rsidR="00006DFA" w:rsidRDefault="00E22B52" w:rsidP="00160B10">
      <w:pPr>
        <w:spacing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MTTR=</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r>
              <w:rPr>
                <w:rFonts w:ascii="Cambria Math" w:hAnsi="Cambria Math" w:cs="Times New Roman"/>
                <w:sz w:val="24"/>
                <w:szCs w:val="24"/>
              </w:rPr>
              <m:t>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(13)</w:t>
      </w:r>
    </w:p>
    <w:p w14:paraId="5ADDA89A" w14:textId="77777777" w:rsidR="00F653EB" w:rsidRPr="00006DFA" w:rsidRDefault="00F653EB" w:rsidP="00160B10">
      <w:pPr>
        <w:spacing w:line="240" w:lineRule="auto"/>
        <w:jc w:val="both"/>
        <w:rPr>
          <w:rFonts w:ascii="Times New Roman" w:hAnsi="Times New Roman" w:cs="Times New Roman"/>
          <w:sz w:val="24"/>
          <w:szCs w:val="24"/>
        </w:rPr>
      </w:pPr>
      <m:oMath>
        <m:r>
          <w:rPr>
            <w:rFonts w:ascii="Cambria Math" w:hAnsi="Cambria Math" w:cs="Times New Roman"/>
            <w:sz w:val="24"/>
            <w:szCs w:val="24"/>
          </w:rPr>
          <m:t>MTBF=</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TBF</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(14)</w:t>
      </w:r>
    </w:p>
    <w:p w14:paraId="5AACF599" w14:textId="149B9486" w:rsidR="00A54FB7" w:rsidRDefault="00F653EB" w:rsidP="00160B10">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Segundo a NBR-5462 (1994), a disponibilidade é a capacidade de um item estar em condições de executar uma certa função em um dado instante ou durante um intervalo de tempo determinado, levando-se em conta os aspectos combinados de sua disponibilidade, mantenabilidade e suporte de manutenção, supondo que os recursos externos requeridos estejam assegurados. </w:t>
      </w:r>
      <w:r w:rsidR="00D7117E">
        <w:rPr>
          <w:rFonts w:ascii="Times New Roman" w:hAnsi="Times New Roman" w:cs="Times New Roman"/>
          <w:sz w:val="24"/>
          <w:szCs w:val="24"/>
        </w:rPr>
        <w:t xml:space="preserve">A disponibilidade A(t) representa a probabilidade de que um determinado sistema ou equipamento, quando usado em determinadas condições, esteja em condição operacional em um instante de tempo t. Na prática, disponibilidade é expressa pelo percentual de tempo em que o sistema </w:t>
      </w:r>
      <w:r w:rsidR="00353FF2">
        <w:rPr>
          <w:rFonts w:ascii="Times New Roman" w:hAnsi="Times New Roman" w:cs="Times New Roman"/>
          <w:sz w:val="24"/>
          <w:szCs w:val="24"/>
        </w:rPr>
        <w:t>se encontra</w:t>
      </w:r>
      <w:r w:rsidR="00D7117E">
        <w:rPr>
          <w:rFonts w:ascii="Times New Roman" w:hAnsi="Times New Roman" w:cs="Times New Roman"/>
          <w:sz w:val="24"/>
          <w:szCs w:val="24"/>
        </w:rPr>
        <w:t xml:space="preserve"> operante, para componentes que operem continuamente. Dado que se tenham o MTBF e o MTTR, é possível calcular a disponibilidade de um equipamento por (16). A disponibilidade indica a probabilidade de que o equipamento esteja disponível para a produção.</w:t>
      </w:r>
    </w:p>
    <w:p w14:paraId="0AA87CE6" w14:textId="77777777" w:rsidR="00D7117E" w:rsidRPr="00F653EB" w:rsidRDefault="00D7117E" w:rsidP="00160B10">
      <w:pPr>
        <w:spacing w:line="240" w:lineRule="auto"/>
        <w:jc w:val="both"/>
        <w:rPr>
          <w:rFonts w:ascii="Times New Roman" w:hAnsi="Times New Roman" w:cs="Times New Roman"/>
          <w:sz w:val="24"/>
          <w:szCs w:val="24"/>
        </w:rPr>
      </w:pPr>
      <m:oMath>
        <m:r>
          <w:rPr>
            <w:rFonts w:ascii="Cambria Math" w:hAnsi="Cambria Math" w:cs="Times New Roman"/>
            <w:sz w:val="24"/>
            <w:szCs w:val="24"/>
          </w:rPr>
          <m:t>Av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MTBF</m:t>
            </m:r>
          </m:num>
          <m:den>
            <m:r>
              <w:rPr>
                <w:rFonts w:ascii="Cambria Math" w:hAnsi="Cambria Math" w:cs="Times New Roman"/>
                <w:sz w:val="24"/>
                <w:szCs w:val="24"/>
              </w:rPr>
              <m:t>MTBF+MTTR</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(16)</w:t>
      </w:r>
    </w:p>
    <w:p w14:paraId="525EA952" w14:textId="77777777" w:rsidR="00D7117E" w:rsidRDefault="00D7117E" w:rsidP="00160B10">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 pesquisa</w:t>
      </w:r>
    </w:p>
    <w:p w14:paraId="4B479BEB" w14:textId="77777777" w:rsidR="005F7C5F" w:rsidRDefault="00D30C05" w:rsidP="00160B10">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A pesquisa foi realizada em uma operadora de telefonia móvel que detêm 676 ERBs(estações rádio-base) GSM (</w:t>
      </w:r>
      <w:r w:rsidRPr="00D30C05">
        <w:rPr>
          <w:rFonts w:ascii="Times New Roman" w:hAnsi="Times New Roman" w:cs="Times New Roman"/>
          <w:sz w:val="24"/>
          <w:szCs w:val="24"/>
        </w:rPr>
        <w:t>Global System for Mobile Communications</w:t>
      </w:r>
      <w:r>
        <w:rPr>
          <w:rFonts w:ascii="Times New Roman" w:hAnsi="Times New Roman" w:cs="Times New Roman"/>
          <w:sz w:val="24"/>
          <w:szCs w:val="24"/>
        </w:rPr>
        <w:t>)</w:t>
      </w:r>
      <w:r w:rsidR="003F71E0">
        <w:rPr>
          <w:rFonts w:ascii="Times New Roman" w:hAnsi="Times New Roman" w:cs="Times New Roman"/>
          <w:sz w:val="24"/>
          <w:szCs w:val="24"/>
        </w:rPr>
        <w:t xml:space="preserve"> no estado de Pernambuco(dados de jul/2011)</w:t>
      </w:r>
      <w:r>
        <w:rPr>
          <w:rFonts w:ascii="Times New Roman" w:hAnsi="Times New Roman" w:cs="Times New Roman"/>
          <w:sz w:val="24"/>
          <w:szCs w:val="24"/>
        </w:rPr>
        <w:t>. A</w:t>
      </w:r>
      <w:r w:rsidR="005F7C5F">
        <w:rPr>
          <w:rFonts w:ascii="Times New Roman" w:hAnsi="Times New Roman" w:cs="Times New Roman"/>
          <w:sz w:val="24"/>
          <w:szCs w:val="24"/>
        </w:rPr>
        <w:t>s</w:t>
      </w:r>
      <w:r>
        <w:rPr>
          <w:rFonts w:ascii="Times New Roman" w:hAnsi="Times New Roman" w:cs="Times New Roman"/>
          <w:sz w:val="24"/>
          <w:szCs w:val="24"/>
        </w:rPr>
        <w:t xml:space="preserve"> ERB</w:t>
      </w:r>
      <w:r w:rsidR="005F7C5F">
        <w:rPr>
          <w:rFonts w:ascii="Times New Roman" w:hAnsi="Times New Roman" w:cs="Times New Roman"/>
          <w:sz w:val="24"/>
          <w:szCs w:val="24"/>
        </w:rPr>
        <w:t xml:space="preserve">s GSM são distribuídas geograficamente e cobrem, individualmente, um raio aproximado de </w:t>
      </w:r>
      <w:r w:rsidR="003F71E0">
        <w:rPr>
          <w:rFonts w:ascii="Times New Roman" w:hAnsi="Times New Roman" w:cs="Times New Roman"/>
          <w:sz w:val="24"/>
          <w:szCs w:val="24"/>
        </w:rPr>
        <w:t>2 km (</w:t>
      </w:r>
      <w:r w:rsidR="005F7C5F">
        <w:rPr>
          <w:rFonts w:ascii="Times New Roman" w:hAnsi="Times New Roman" w:cs="Times New Roman"/>
          <w:sz w:val="24"/>
          <w:szCs w:val="24"/>
        </w:rPr>
        <w:t xml:space="preserve">depende </w:t>
      </w:r>
      <w:r w:rsidR="003F71E0">
        <w:rPr>
          <w:rFonts w:ascii="Times New Roman" w:hAnsi="Times New Roman" w:cs="Times New Roman"/>
          <w:sz w:val="24"/>
          <w:szCs w:val="24"/>
        </w:rPr>
        <w:t>da geografia do terreno). Elas são responsáveis</w:t>
      </w:r>
      <w:r>
        <w:rPr>
          <w:rFonts w:ascii="Times New Roman" w:hAnsi="Times New Roman" w:cs="Times New Roman"/>
          <w:sz w:val="24"/>
          <w:szCs w:val="24"/>
        </w:rPr>
        <w:t xml:space="preserve"> pela comuni</w:t>
      </w:r>
      <w:r w:rsidR="005F7C5F">
        <w:rPr>
          <w:rFonts w:ascii="Times New Roman" w:hAnsi="Times New Roman" w:cs="Times New Roman"/>
          <w:sz w:val="24"/>
          <w:szCs w:val="24"/>
        </w:rPr>
        <w:t xml:space="preserve">cação entre o móvel do usuário e a central telefônica da empresa. </w:t>
      </w:r>
      <w:r w:rsidR="003F71E0">
        <w:rPr>
          <w:rFonts w:ascii="Times New Roman" w:hAnsi="Times New Roman" w:cs="Times New Roman"/>
          <w:sz w:val="24"/>
          <w:szCs w:val="24"/>
        </w:rPr>
        <w:t>A ERB é</w:t>
      </w:r>
      <w:r w:rsidR="005F7C5F">
        <w:rPr>
          <w:rFonts w:ascii="Times New Roman" w:hAnsi="Times New Roman" w:cs="Times New Roman"/>
          <w:sz w:val="24"/>
          <w:szCs w:val="24"/>
        </w:rPr>
        <w:t xml:space="preserve"> formada basicamente por: 1- equipamento de suporte, que fornece alimentação DC, baterias (caso falte energia), e temperatura adequada aos equipamentos. 2 – Equipamento GSM, 3- Sistema irradiante, composto basicamente de 3 antenas, 4 – sistema de microondas, para comunicação ponto-a-ponto com a central.</w:t>
      </w:r>
    </w:p>
    <w:p w14:paraId="7D913F01" w14:textId="77777777" w:rsidR="00435B69" w:rsidRDefault="005F7C5F" w:rsidP="00160B10">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O</w:t>
      </w:r>
      <w:r w:rsidR="00D30C05">
        <w:rPr>
          <w:rFonts w:ascii="Times New Roman" w:hAnsi="Times New Roman" w:cs="Times New Roman"/>
          <w:sz w:val="24"/>
          <w:szCs w:val="24"/>
        </w:rPr>
        <w:t xml:space="preserve"> objetivo da pesquisa foi, a</w:t>
      </w:r>
      <w:r w:rsidR="00E26CD8" w:rsidRPr="00D30C05">
        <w:rPr>
          <w:rFonts w:ascii="Times New Roman" w:hAnsi="Times New Roman" w:cs="Times New Roman"/>
          <w:sz w:val="24"/>
          <w:szCs w:val="24"/>
        </w:rPr>
        <w:t>través da análise do histórico de falhas das ERBs, determ</w:t>
      </w:r>
      <w:r w:rsidR="00D30C05">
        <w:rPr>
          <w:rFonts w:ascii="Times New Roman" w:hAnsi="Times New Roman" w:cs="Times New Roman"/>
          <w:sz w:val="24"/>
          <w:szCs w:val="24"/>
        </w:rPr>
        <w:t>inar, para cada setor, a distribuição de probabilidade mais aderente aos dados de falha do respectivo setor. Dados que os</w:t>
      </w:r>
      <w:r w:rsidR="00E26CD8" w:rsidRPr="00D30C05">
        <w:rPr>
          <w:rFonts w:ascii="Times New Roman" w:hAnsi="Times New Roman" w:cs="Times New Roman"/>
          <w:sz w:val="24"/>
          <w:szCs w:val="24"/>
        </w:rPr>
        <w:t xml:space="preserve"> equipamentos são essencialmente eletrônicos, esperamos que </w:t>
      </w:r>
      <w:r w:rsidR="00D30C05">
        <w:rPr>
          <w:rFonts w:ascii="Times New Roman" w:hAnsi="Times New Roman" w:cs="Times New Roman"/>
          <w:sz w:val="24"/>
          <w:szCs w:val="24"/>
        </w:rPr>
        <w:lastRenderedPageBreak/>
        <w:t>boa parte do</w:t>
      </w:r>
      <w:r w:rsidR="003F71E0">
        <w:rPr>
          <w:rFonts w:ascii="Times New Roman" w:hAnsi="Times New Roman" w:cs="Times New Roman"/>
          <w:sz w:val="24"/>
          <w:szCs w:val="24"/>
        </w:rPr>
        <w:t xml:space="preserve">s dados de falha </w:t>
      </w:r>
      <w:r w:rsidR="00E26CD8" w:rsidRPr="00D30C05">
        <w:rPr>
          <w:rFonts w:ascii="Times New Roman" w:hAnsi="Times New Roman" w:cs="Times New Roman"/>
          <w:sz w:val="24"/>
          <w:szCs w:val="24"/>
        </w:rPr>
        <w:t xml:space="preserve">sigam distribuições exponenciais. Caso seja verdade, mostraremos que não há sentido em realizar a manutenção preventiva das ERBs e que a empresa deveria fortalecer a política de manutenção corretiva e realizar a manutenção preventiva apenas como manutenção oportunística (por exemplo: quando for aceitar novos equipamentos/ampliações na ERB). </w:t>
      </w:r>
    </w:p>
    <w:p w14:paraId="1501419C" w14:textId="77777777" w:rsidR="00CA4008" w:rsidRDefault="003F71E0" w:rsidP="00160B10">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7C76B1">
        <w:rPr>
          <w:rFonts w:ascii="Times New Roman" w:hAnsi="Times New Roman" w:cs="Times New Roman"/>
          <w:sz w:val="24"/>
          <w:szCs w:val="24"/>
        </w:rPr>
        <w:t>O método da pesquisa foi: levantamento de dados históricos de tempos até a falha de 231 setores de ERBs do estado de Pernambuco no período de 30/dez/2010 a 03/jul/2011 e que falharam ao menos seis vezes no período; modelagem pelo software Excel da Microsoft e através de planilhas especificas criadas para tal; obtenção da distribuição de probabilidade com maior aderência aos dados de falha para cada um dos setores. Foram testadas quatro distribuições: normal, lognormal, exponencial e Weibull; e discussão dos resultados.</w:t>
      </w:r>
    </w:p>
    <w:p w14:paraId="0E309491" w14:textId="77777777" w:rsidR="00E4088A" w:rsidRDefault="00CA4008" w:rsidP="00160B10">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A p</w:t>
      </w:r>
      <w:r w:rsidR="00985605">
        <w:rPr>
          <w:rFonts w:ascii="Times New Roman" w:hAnsi="Times New Roman" w:cs="Times New Roman"/>
          <w:sz w:val="24"/>
          <w:szCs w:val="24"/>
        </w:rPr>
        <w:t xml:space="preserve">lanilha em Excel </w:t>
      </w:r>
      <w:r w:rsidR="00326B0C">
        <w:rPr>
          <w:rFonts w:ascii="Times New Roman" w:hAnsi="Times New Roman" w:cs="Times New Roman"/>
          <w:sz w:val="24"/>
          <w:szCs w:val="24"/>
        </w:rPr>
        <w:t>utilizou a linearização dos dados de falha e posterior cálculo do fator de correlação r-múl</w:t>
      </w:r>
      <w:r w:rsidR="00985605">
        <w:rPr>
          <w:rFonts w:ascii="Times New Roman" w:hAnsi="Times New Roman" w:cs="Times New Roman"/>
          <w:sz w:val="24"/>
          <w:szCs w:val="24"/>
        </w:rPr>
        <w:t>tiplo</w:t>
      </w:r>
      <w:r w:rsidR="00326B0C">
        <w:rPr>
          <w:rFonts w:ascii="Times New Roman" w:hAnsi="Times New Roman" w:cs="Times New Roman"/>
          <w:sz w:val="24"/>
          <w:szCs w:val="24"/>
        </w:rPr>
        <w:t xml:space="preserve"> para cada uma das distribuições de probabilidade consideradas e </w:t>
      </w:r>
      <w:r w:rsidR="00C957B8">
        <w:rPr>
          <w:rFonts w:ascii="Times New Roman" w:hAnsi="Times New Roman" w:cs="Times New Roman"/>
          <w:sz w:val="24"/>
          <w:szCs w:val="24"/>
        </w:rPr>
        <w:t>assinalou a distribuição com maior r-múltiplo, para cada setor. Em seguida foi feito um histograma das distribuições de probabilidade e o número de setores que tiveram seu histórico de falhas correlacionadas a elas. Como a hipótese a testada foi de que a maioria dos setores teria falhas aleatórias e, portanto, seguiria uma distribuição exponencial, fizemos um gráfico de Pareto do fator de correlação r-múltiplo de cada um dos setores para a distribuição exponencial.</w:t>
      </w:r>
    </w:p>
    <w:p w14:paraId="6A05A809" w14:textId="77777777" w:rsidR="00CA4008" w:rsidRDefault="00CA4008" w:rsidP="00CA4008">
      <w:pPr>
        <w:keepNext/>
        <w:spacing w:line="240" w:lineRule="auto"/>
      </w:pPr>
      <w:r w:rsidRPr="00CA4008">
        <w:rPr>
          <w:rFonts w:ascii="Times New Roman" w:hAnsi="Times New Roman" w:cs="Times New Roman"/>
          <w:noProof/>
          <w:sz w:val="24"/>
          <w:szCs w:val="24"/>
          <w:lang w:eastAsia="pt-BR"/>
        </w:rPr>
        <w:drawing>
          <wp:inline distT="0" distB="0" distL="0" distR="0" wp14:anchorId="76022644" wp14:editId="07777777">
            <wp:extent cx="5612130" cy="2487295"/>
            <wp:effectExtent l="0" t="0" r="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AE335B" w14:textId="77777777" w:rsidR="00C957B8" w:rsidRPr="00CA4008" w:rsidRDefault="00CA4008" w:rsidP="00CA4008">
      <w:pPr>
        <w:pStyle w:val="Caption"/>
        <w:rPr>
          <w:rFonts w:ascii="Times New Roman" w:hAnsi="Times New Roman" w:cs="Times New Roman"/>
          <w:color w:val="000000" w:themeColor="text1"/>
          <w:sz w:val="24"/>
          <w:szCs w:val="24"/>
        </w:rPr>
      </w:pPr>
      <w:r w:rsidRPr="00CA4008">
        <w:rPr>
          <w:color w:val="000000" w:themeColor="text1"/>
        </w:rPr>
        <w:t xml:space="preserve">Figura </w:t>
      </w:r>
      <w:r w:rsidR="0095327B" w:rsidRPr="00CA4008">
        <w:rPr>
          <w:color w:val="000000" w:themeColor="text1"/>
        </w:rPr>
        <w:fldChar w:fldCharType="begin"/>
      </w:r>
      <w:r w:rsidRPr="00CA4008">
        <w:rPr>
          <w:color w:val="000000" w:themeColor="text1"/>
        </w:rPr>
        <w:instrText xml:space="preserve"> SEQ Figura \* ARABIC </w:instrText>
      </w:r>
      <w:r w:rsidR="0095327B" w:rsidRPr="00CA4008">
        <w:rPr>
          <w:color w:val="000000" w:themeColor="text1"/>
        </w:rPr>
        <w:fldChar w:fldCharType="separate"/>
      </w:r>
      <w:r w:rsidR="008B06D9">
        <w:rPr>
          <w:noProof/>
          <w:color w:val="000000" w:themeColor="text1"/>
        </w:rPr>
        <w:t>2</w:t>
      </w:r>
      <w:r w:rsidR="0095327B" w:rsidRPr="00CA4008">
        <w:rPr>
          <w:color w:val="000000" w:themeColor="text1"/>
        </w:rPr>
        <w:fldChar w:fldCharType="end"/>
      </w:r>
      <w:r w:rsidR="006C6E82">
        <w:rPr>
          <w:color w:val="000000" w:themeColor="text1"/>
        </w:rPr>
        <w:t xml:space="preserve"> - </w:t>
      </w:r>
      <w:r w:rsidRPr="00CA4008">
        <w:rPr>
          <w:color w:val="000000" w:themeColor="text1"/>
        </w:rPr>
        <w:t>Histograma da aderência dos dados de falha dos setores que</w:t>
      </w:r>
      <w:r w:rsidRPr="00CA4008">
        <w:rPr>
          <w:noProof/>
          <w:color w:val="000000" w:themeColor="text1"/>
        </w:rPr>
        <w:t xml:space="preserve"> falharam 6 veses ou mais no período estudado.</w:t>
      </w:r>
    </w:p>
    <w:p w14:paraId="118E1F96" w14:textId="77777777" w:rsidR="00AB394C" w:rsidRDefault="00AB394C" w:rsidP="00160B1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Verificamos que 43% das falhas seguiram uma distribuição lognormal e 11% a normal, indicando que a maior fração dos setores estudados é composta por equipamentos que se encontram na fase de </w:t>
      </w:r>
      <w:r>
        <w:rPr>
          <w:rFonts w:ascii="Times New Roman" w:hAnsi="Times New Roman" w:cs="Times New Roman"/>
          <w:i/>
          <w:sz w:val="24"/>
          <w:szCs w:val="24"/>
        </w:rPr>
        <w:t xml:space="preserve">wear-out. </w:t>
      </w:r>
      <w:r>
        <w:rPr>
          <w:rFonts w:ascii="Times New Roman" w:hAnsi="Times New Roman" w:cs="Times New Roman"/>
          <w:sz w:val="24"/>
          <w:szCs w:val="24"/>
        </w:rPr>
        <w:t>27% das falhas estudadas seguiram distribuições exponenciais, indicando que são de origem aleatória.</w:t>
      </w:r>
    </w:p>
    <w:p w14:paraId="471E3A3E" w14:textId="77777777" w:rsidR="00AB394C" w:rsidRDefault="006C6E82" w:rsidP="00160B10">
      <w:pPr>
        <w:spacing w:line="240" w:lineRule="auto"/>
        <w:jc w:val="both"/>
        <w:rPr>
          <w:rFonts w:ascii="Times New Roman" w:hAnsi="Times New Roman" w:cs="Times New Roman"/>
          <w:sz w:val="24"/>
          <w:szCs w:val="24"/>
        </w:rPr>
      </w:pPr>
      <w:r>
        <w:rPr>
          <w:rFonts w:ascii="Times New Roman" w:hAnsi="Times New Roman" w:cs="Times New Roman"/>
          <w:sz w:val="24"/>
          <w:szCs w:val="24"/>
        </w:rPr>
        <w:tab/>
        <w:t>Verificamos que 80% dos 231 setores estudados tiveram um r-múltiplo ≥ 0,94 para a distribuição exponencial. Embora 43% dos dados foram mais bem representados pela distribuição lognormal, esse fato não deve ser descartado e deve motivar um estudo mais aprofundado.</w:t>
      </w:r>
    </w:p>
    <w:p w14:paraId="5A39BBE3" w14:textId="77777777" w:rsidR="006C6E82" w:rsidRDefault="00AB394C" w:rsidP="006C6E82">
      <w:pPr>
        <w:keepNext/>
        <w:spacing w:line="240" w:lineRule="auto"/>
      </w:pPr>
      <w:r w:rsidRPr="00AB394C">
        <w:rPr>
          <w:rFonts w:ascii="Times New Roman" w:hAnsi="Times New Roman" w:cs="Times New Roman"/>
          <w:noProof/>
          <w:sz w:val="24"/>
          <w:szCs w:val="24"/>
          <w:lang w:eastAsia="pt-BR"/>
        </w:rPr>
        <w:lastRenderedPageBreak/>
        <w:drawing>
          <wp:inline distT="0" distB="0" distL="0" distR="0" wp14:anchorId="5584137C" wp14:editId="07777777">
            <wp:extent cx="5612130" cy="3029585"/>
            <wp:effectExtent l="0" t="0" r="0" b="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9AE0A6" w14:textId="77777777" w:rsidR="006C6E82" w:rsidRPr="006C6E82" w:rsidRDefault="006C6E82" w:rsidP="006C6E82">
      <w:pPr>
        <w:pStyle w:val="Caption"/>
        <w:rPr>
          <w:color w:val="000000" w:themeColor="text1"/>
        </w:rPr>
      </w:pPr>
      <w:r w:rsidRPr="006C6E82">
        <w:rPr>
          <w:color w:val="000000" w:themeColor="text1"/>
        </w:rPr>
        <w:t xml:space="preserve">Figura </w:t>
      </w:r>
      <w:r w:rsidR="0095327B" w:rsidRPr="006C6E82">
        <w:rPr>
          <w:color w:val="000000" w:themeColor="text1"/>
        </w:rPr>
        <w:fldChar w:fldCharType="begin"/>
      </w:r>
      <w:r w:rsidRPr="006C6E82">
        <w:rPr>
          <w:color w:val="000000" w:themeColor="text1"/>
        </w:rPr>
        <w:instrText xml:space="preserve"> SEQ Figura \* ARABIC </w:instrText>
      </w:r>
      <w:r w:rsidR="0095327B" w:rsidRPr="006C6E82">
        <w:rPr>
          <w:color w:val="000000" w:themeColor="text1"/>
        </w:rPr>
        <w:fldChar w:fldCharType="separate"/>
      </w:r>
      <w:r w:rsidR="008B06D9">
        <w:rPr>
          <w:noProof/>
          <w:color w:val="000000" w:themeColor="text1"/>
        </w:rPr>
        <w:t>3</w:t>
      </w:r>
      <w:r w:rsidR="0095327B" w:rsidRPr="006C6E82">
        <w:rPr>
          <w:color w:val="000000" w:themeColor="text1"/>
        </w:rPr>
        <w:fldChar w:fldCharType="end"/>
      </w:r>
      <w:r w:rsidRPr="006C6E82">
        <w:rPr>
          <w:color w:val="000000" w:themeColor="text1"/>
        </w:rPr>
        <w:t xml:space="preserve"> - Histograma de r-múltiplo para a distribuição exponencial dos 231 setores que falharam 6 ou mais vezes no período estudado.</w:t>
      </w:r>
    </w:p>
    <w:p w14:paraId="672EED1B" w14:textId="77777777" w:rsidR="006C6E82" w:rsidRPr="00160B10" w:rsidRDefault="006C6E82" w:rsidP="00160B10">
      <w:pPr>
        <w:pStyle w:val="ListParagraph"/>
        <w:numPr>
          <w:ilvl w:val="0"/>
          <w:numId w:val="1"/>
        </w:numPr>
        <w:spacing w:line="240" w:lineRule="auto"/>
        <w:rPr>
          <w:rFonts w:ascii="Times New Roman" w:hAnsi="Times New Roman" w:cs="Times New Roman"/>
          <w:b/>
          <w:sz w:val="24"/>
          <w:szCs w:val="24"/>
        </w:rPr>
      </w:pPr>
      <w:r w:rsidRPr="00160B10">
        <w:rPr>
          <w:rFonts w:ascii="Times New Roman" w:hAnsi="Times New Roman" w:cs="Times New Roman"/>
          <w:b/>
          <w:sz w:val="24"/>
          <w:szCs w:val="24"/>
        </w:rPr>
        <w:t>Considerações finais</w:t>
      </w:r>
    </w:p>
    <w:p w14:paraId="5E2F1814" w14:textId="77777777" w:rsidR="00AB394C" w:rsidRDefault="006C6E82" w:rsidP="00160B10">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O objetivo do artigo foi estudar o histórico de falhas de um conjunto de ERBs GSM do estado de Pernambuco de uma operadora de telefonia celular da região</w:t>
      </w:r>
      <w:r w:rsidR="00AC1603">
        <w:rPr>
          <w:rFonts w:ascii="Times New Roman" w:hAnsi="Times New Roman" w:cs="Times New Roman"/>
          <w:sz w:val="24"/>
          <w:szCs w:val="24"/>
        </w:rPr>
        <w:t>. Com isto obtemos</w:t>
      </w:r>
      <w:r>
        <w:rPr>
          <w:rFonts w:ascii="Times New Roman" w:hAnsi="Times New Roman" w:cs="Times New Roman"/>
          <w:sz w:val="24"/>
          <w:szCs w:val="24"/>
        </w:rPr>
        <w:t xml:space="preserve"> um panorama </w:t>
      </w:r>
      <w:r w:rsidR="00AC1603">
        <w:rPr>
          <w:rFonts w:ascii="Times New Roman" w:hAnsi="Times New Roman" w:cs="Times New Roman"/>
          <w:sz w:val="24"/>
          <w:szCs w:val="24"/>
        </w:rPr>
        <w:t xml:space="preserve">das falhas apresentadas nos últimos 6 meses, de forma a orientar a estratégia de manutenção a ser adotada. </w:t>
      </w:r>
    </w:p>
    <w:p w14:paraId="51D54458" w14:textId="77777777" w:rsidR="00AC1603" w:rsidRDefault="00AC1603" w:rsidP="00160B10">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Foram levantados, com o apoio do sistema de informações da empresa, dados de falha de 231 setores GSM que falharam 6 vezes ou mais no período de estudo. Foi importante para o estudo que as informações coletadas fossem confiáveis. Chegamos </w:t>
      </w:r>
      <w:r w:rsidR="007C76B1">
        <w:rPr>
          <w:rFonts w:ascii="Times New Roman" w:hAnsi="Times New Roman" w:cs="Times New Roman"/>
          <w:sz w:val="24"/>
          <w:szCs w:val="24"/>
        </w:rPr>
        <w:t>à</w:t>
      </w:r>
      <w:r>
        <w:rPr>
          <w:rFonts w:ascii="Times New Roman" w:hAnsi="Times New Roman" w:cs="Times New Roman"/>
          <w:sz w:val="24"/>
          <w:szCs w:val="24"/>
        </w:rPr>
        <w:t xml:space="preserve"> conclusão de que 54% das falhas seguiram as distribuições lognormal e normal, indicando que estes setores estão na fase de </w:t>
      </w:r>
      <w:r>
        <w:rPr>
          <w:rFonts w:ascii="Times New Roman" w:hAnsi="Times New Roman" w:cs="Times New Roman"/>
          <w:i/>
          <w:sz w:val="24"/>
          <w:szCs w:val="24"/>
        </w:rPr>
        <w:t>wear-out</w:t>
      </w:r>
      <w:r>
        <w:rPr>
          <w:rFonts w:ascii="Times New Roman" w:hAnsi="Times New Roman" w:cs="Times New Roman"/>
          <w:sz w:val="24"/>
          <w:szCs w:val="24"/>
        </w:rPr>
        <w:t xml:space="preserve"> da curva da banheira e que a manutenção preventiva, para estes casos, é a mais indicada. Também verificamos que 27% dos setores tiveram falhas segundo a distribuição exponencial, fato relevante, pois indica que os setores estão no período de vida útil da curva da banheira e que as falhas são aleatórias, e que, portanto, realizar manutenções preventivas neles não melhora a disponibilidade deles. </w:t>
      </w:r>
    </w:p>
    <w:p w14:paraId="6851AF2F" w14:textId="77777777" w:rsidR="00AC1603" w:rsidRDefault="00AC1603" w:rsidP="00160B10">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Estas informações serão úteis para um melhor direcionamento dos recursos da manutenção nas ERBs. Através do monitoramento contínuo dos histórico</w:t>
      </w:r>
      <w:r w:rsidR="000106BB">
        <w:rPr>
          <w:rFonts w:ascii="Times New Roman" w:hAnsi="Times New Roman" w:cs="Times New Roman"/>
          <w:sz w:val="24"/>
          <w:szCs w:val="24"/>
        </w:rPr>
        <w:t>s</w:t>
      </w:r>
      <w:r>
        <w:rPr>
          <w:rFonts w:ascii="Times New Roman" w:hAnsi="Times New Roman" w:cs="Times New Roman"/>
          <w:sz w:val="24"/>
          <w:szCs w:val="24"/>
        </w:rPr>
        <w:t xml:space="preserve"> de falhas dos setores das ERBs, podemos direcionar os esforços da manutenção preventiva </w:t>
      </w:r>
      <w:r w:rsidR="000106BB">
        <w:rPr>
          <w:rFonts w:ascii="Times New Roman" w:hAnsi="Times New Roman" w:cs="Times New Roman"/>
          <w:sz w:val="24"/>
          <w:szCs w:val="24"/>
        </w:rPr>
        <w:t>onde realmente são necessários. Ao invés de aplicar a política de realizar manutenção preventiva em todos os setores da rede como é feito hoje.</w:t>
      </w:r>
    </w:p>
    <w:p w14:paraId="1A8A572A" w14:textId="77777777" w:rsidR="00893EBA" w:rsidRDefault="00893EBA" w:rsidP="00160B10">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Referências</w:t>
      </w:r>
    </w:p>
    <w:p w14:paraId="5CFDB023" w14:textId="77777777" w:rsidR="00893EBA" w:rsidRPr="008B06D9" w:rsidRDefault="00893EBA" w:rsidP="00160B10">
      <w:pPr>
        <w:spacing w:line="240" w:lineRule="auto"/>
        <w:jc w:val="both"/>
        <w:rPr>
          <w:rFonts w:ascii="Times New Roman" w:hAnsi="Times New Roman" w:cs="Times New Roman"/>
          <w:sz w:val="24"/>
          <w:szCs w:val="24"/>
          <w:lang w:val="en-US"/>
        </w:rPr>
      </w:pPr>
      <w:r w:rsidRPr="00893EBA">
        <w:rPr>
          <w:rFonts w:ascii="Times New Roman" w:hAnsi="Times New Roman" w:cs="Times New Roman"/>
          <w:sz w:val="24"/>
          <w:szCs w:val="24"/>
          <w:lang w:val="en-US"/>
        </w:rPr>
        <w:t xml:space="preserve">DODSON, B.; NOLAN, D. </w:t>
      </w:r>
      <w:r w:rsidRPr="00893EBA">
        <w:rPr>
          <w:rFonts w:ascii="Times New Roman" w:hAnsi="Times New Roman" w:cs="Times New Roman"/>
          <w:i/>
          <w:sz w:val="24"/>
          <w:szCs w:val="24"/>
          <w:lang w:val="en-US"/>
        </w:rPr>
        <w:t xml:space="preserve">Reliability engineering handbook. </w:t>
      </w:r>
      <w:r w:rsidRPr="008B06D9">
        <w:rPr>
          <w:rFonts w:ascii="Times New Roman" w:hAnsi="Times New Roman" w:cs="Times New Roman"/>
          <w:sz w:val="24"/>
          <w:szCs w:val="24"/>
          <w:lang w:val="en-US"/>
        </w:rPr>
        <w:t>N. York: Marcel Dekker, 2002.</w:t>
      </w:r>
    </w:p>
    <w:p w14:paraId="6030E8B2" w14:textId="77777777" w:rsidR="00893EBA" w:rsidRDefault="00893EBA" w:rsidP="00160B10">
      <w:pPr>
        <w:spacing w:line="240" w:lineRule="auto"/>
        <w:jc w:val="both"/>
        <w:rPr>
          <w:rFonts w:ascii="Times New Roman" w:hAnsi="Times New Roman" w:cs="Times New Roman"/>
          <w:sz w:val="24"/>
          <w:szCs w:val="24"/>
          <w:lang w:val="en-US"/>
        </w:rPr>
      </w:pPr>
      <w:r w:rsidRPr="00893EBA">
        <w:rPr>
          <w:rFonts w:ascii="Times New Roman" w:hAnsi="Times New Roman" w:cs="Times New Roman"/>
          <w:sz w:val="24"/>
          <w:szCs w:val="24"/>
          <w:lang w:val="en-US"/>
        </w:rPr>
        <w:t xml:space="preserve">ERTAS, A; JONES, J. </w:t>
      </w:r>
      <w:r w:rsidRPr="00893EBA">
        <w:rPr>
          <w:rFonts w:ascii="Times New Roman" w:hAnsi="Times New Roman" w:cs="Times New Roman"/>
          <w:i/>
          <w:sz w:val="24"/>
          <w:szCs w:val="24"/>
          <w:lang w:val="en-US"/>
        </w:rPr>
        <w:t xml:space="preserve">The engineering design process. </w:t>
      </w:r>
      <w:r>
        <w:rPr>
          <w:rFonts w:ascii="Times New Roman" w:hAnsi="Times New Roman" w:cs="Times New Roman"/>
          <w:sz w:val="24"/>
          <w:szCs w:val="24"/>
          <w:lang w:val="en-US"/>
        </w:rPr>
        <w:t>N. York: John Wiley &amp; Sons, 1996.</w:t>
      </w:r>
    </w:p>
    <w:p w14:paraId="1DE8CF6B" w14:textId="77777777" w:rsidR="00893EBA" w:rsidRPr="00893EBA" w:rsidRDefault="00893EBA" w:rsidP="00160B1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HAHN, G.; SHAPIRO, S.</w:t>
      </w:r>
      <w:r>
        <w:rPr>
          <w:rFonts w:ascii="Times New Roman" w:hAnsi="Times New Roman" w:cs="Times New Roman"/>
          <w:i/>
          <w:sz w:val="24"/>
          <w:szCs w:val="24"/>
          <w:lang w:val="en-US"/>
        </w:rPr>
        <w:t xml:space="preserve"> Statistical models in engineering. </w:t>
      </w:r>
      <w:r>
        <w:rPr>
          <w:rFonts w:ascii="Times New Roman" w:hAnsi="Times New Roman" w:cs="Times New Roman"/>
          <w:sz w:val="24"/>
          <w:szCs w:val="24"/>
          <w:lang w:val="en-US"/>
        </w:rPr>
        <w:t>N. York: John Wiley &amp; Sons, 1967.</w:t>
      </w:r>
    </w:p>
    <w:p w14:paraId="0CB2C323" w14:textId="77777777" w:rsidR="00893EBA" w:rsidRPr="00414FFC" w:rsidRDefault="00893EBA" w:rsidP="00160B10">
      <w:pPr>
        <w:spacing w:line="240" w:lineRule="auto"/>
        <w:jc w:val="both"/>
        <w:rPr>
          <w:rFonts w:ascii="Times New Roman" w:hAnsi="Times New Roman" w:cs="Times New Roman"/>
          <w:sz w:val="24"/>
          <w:szCs w:val="24"/>
          <w:lang w:val="en-US"/>
        </w:rPr>
      </w:pPr>
      <w:r w:rsidRPr="00893EBA">
        <w:rPr>
          <w:rFonts w:ascii="Times New Roman" w:hAnsi="Times New Roman" w:cs="Times New Roman"/>
          <w:sz w:val="24"/>
          <w:szCs w:val="24"/>
        </w:rPr>
        <w:lastRenderedPageBreak/>
        <w:t xml:space="preserve">LAFRAIA, J. </w:t>
      </w:r>
      <w:r w:rsidRPr="00893EBA">
        <w:rPr>
          <w:rFonts w:ascii="Times New Roman" w:hAnsi="Times New Roman" w:cs="Times New Roman"/>
          <w:i/>
          <w:sz w:val="24"/>
          <w:szCs w:val="24"/>
        </w:rPr>
        <w:t xml:space="preserve">Manual de confiabilidade, mantenabilidade e disponibilidade. </w:t>
      </w:r>
      <w:r w:rsidRPr="00414FFC">
        <w:rPr>
          <w:rFonts w:ascii="Times New Roman" w:hAnsi="Times New Roman" w:cs="Times New Roman"/>
          <w:sz w:val="24"/>
          <w:szCs w:val="24"/>
          <w:lang w:val="en-US"/>
        </w:rPr>
        <w:t>Rio de janeiro: Qualitymark, 2001.</w:t>
      </w:r>
    </w:p>
    <w:p w14:paraId="6D067BE3" w14:textId="77777777" w:rsidR="00893EBA" w:rsidRDefault="00893EBA" w:rsidP="00160B10">
      <w:pPr>
        <w:spacing w:line="240" w:lineRule="auto"/>
        <w:jc w:val="both"/>
        <w:rPr>
          <w:rFonts w:ascii="Times New Roman" w:hAnsi="Times New Roman" w:cs="Times New Roman"/>
          <w:sz w:val="24"/>
          <w:szCs w:val="24"/>
          <w:lang w:val="en-US"/>
        </w:rPr>
      </w:pPr>
      <w:r w:rsidRPr="00414FFC">
        <w:rPr>
          <w:rFonts w:ascii="Times New Roman" w:hAnsi="Times New Roman" w:cs="Times New Roman"/>
          <w:sz w:val="24"/>
          <w:szCs w:val="24"/>
          <w:lang w:val="en-US"/>
        </w:rPr>
        <w:t>RAUSAND, M.</w:t>
      </w:r>
      <w:r w:rsidR="00414FFC" w:rsidRPr="00414FFC">
        <w:rPr>
          <w:rFonts w:ascii="Times New Roman" w:hAnsi="Times New Roman" w:cs="Times New Roman"/>
          <w:sz w:val="24"/>
          <w:szCs w:val="24"/>
          <w:lang w:val="en-US"/>
        </w:rPr>
        <w:t xml:space="preserve">; OIEN, K. </w:t>
      </w:r>
      <w:r w:rsidR="00414FFC" w:rsidRPr="00414FFC">
        <w:rPr>
          <w:rFonts w:ascii="Times New Roman" w:hAnsi="Times New Roman" w:cs="Times New Roman"/>
          <w:i/>
          <w:sz w:val="24"/>
          <w:szCs w:val="24"/>
          <w:lang w:val="en-US"/>
        </w:rPr>
        <w:t>The basic concepts of failure analy</w:t>
      </w:r>
      <w:r w:rsidR="00414FFC">
        <w:rPr>
          <w:rFonts w:ascii="Times New Roman" w:hAnsi="Times New Roman" w:cs="Times New Roman"/>
          <w:i/>
          <w:sz w:val="24"/>
          <w:szCs w:val="24"/>
          <w:lang w:val="en-US"/>
        </w:rPr>
        <w:t xml:space="preserve">sis. </w:t>
      </w:r>
      <w:r w:rsidR="00414FFC">
        <w:rPr>
          <w:rFonts w:ascii="Times New Roman" w:hAnsi="Times New Roman" w:cs="Times New Roman"/>
          <w:sz w:val="24"/>
          <w:szCs w:val="24"/>
          <w:lang w:val="en-US"/>
        </w:rPr>
        <w:t>Reliability engineering and safety systems, v.60, n.2, p121-132, 1998.</w:t>
      </w:r>
    </w:p>
    <w:p w14:paraId="58DDA1C7" w14:textId="77777777" w:rsidR="00414FFC" w:rsidRPr="008B06D9" w:rsidRDefault="00414FFC" w:rsidP="00160B10">
      <w:p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RAUSAND, M.; HOLYLAND, A. </w:t>
      </w:r>
      <w:r>
        <w:rPr>
          <w:rFonts w:ascii="Times New Roman" w:hAnsi="Times New Roman" w:cs="Times New Roman"/>
          <w:i/>
          <w:sz w:val="24"/>
          <w:szCs w:val="24"/>
          <w:lang w:val="en-US"/>
        </w:rPr>
        <w:t xml:space="preserve">System reliability theory: </w:t>
      </w:r>
      <w:r>
        <w:rPr>
          <w:rFonts w:ascii="Times New Roman" w:hAnsi="Times New Roman" w:cs="Times New Roman"/>
          <w:sz w:val="24"/>
          <w:szCs w:val="24"/>
          <w:lang w:val="en-US"/>
        </w:rPr>
        <w:t xml:space="preserve">models, statistical methods and applications. </w:t>
      </w:r>
      <w:r w:rsidRPr="008B06D9">
        <w:rPr>
          <w:rFonts w:ascii="Times New Roman" w:hAnsi="Times New Roman" w:cs="Times New Roman"/>
          <w:sz w:val="24"/>
          <w:szCs w:val="24"/>
        </w:rPr>
        <w:t>N. York: Wiley, 2004.</w:t>
      </w:r>
    </w:p>
    <w:p w14:paraId="3765BB92" w14:textId="77777777" w:rsidR="00414FFC" w:rsidRDefault="00414FFC" w:rsidP="00160B10">
      <w:pPr>
        <w:spacing w:line="240" w:lineRule="auto"/>
        <w:jc w:val="both"/>
        <w:rPr>
          <w:rFonts w:ascii="Times New Roman" w:hAnsi="Times New Roman" w:cs="Times New Roman"/>
          <w:sz w:val="24"/>
          <w:szCs w:val="24"/>
        </w:rPr>
      </w:pPr>
      <w:r w:rsidRPr="00414FFC">
        <w:rPr>
          <w:rFonts w:ascii="Times New Roman" w:hAnsi="Times New Roman" w:cs="Times New Roman"/>
          <w:sz w:val="24"/>
          <w:szCs w:val="24"/>
        </w:rPr>
        <w:t xml:space="preserve">SELLITTO, M. </w:t>
      </w:r>
      <w:r w:rsidRPr="00414FFC">
        <w:rPr>
          <w:rFonts w:ascii="Times New Roman" w:hAnsi="Times New Roman" w:cs="Times New Roman"/>
          <w:i/>
          <w:sz w:val="24"/>
          <w:szCs w:val="24"/>
        </w:rPr>
        <w:t>Formulação estratégica da manuten</w:t>
      </w:r>
      <w:r>
        <w:rPr>
          <w:rFonts w:ascii="Times New Roman" w:hAnsi="Times New Roman" w:cs="Times New Roman"/>
          <w:i/>
          <w:sz w:val="24"/>
          <w:szCs w:val="24"/>
        </w:rPr>
        <w:t xml:space="preserve">ção industrial com base na confiabilidade dos equipamentos. </w:t>
      </w:r>
      <w:r>
        <w:rPr>
          <w:rFonts w:ascii="Times New Roman" w:hAnsi="Times New Roman" w:cs="Times New Roman"/>
          <w:sz w:val="24"/>
          <w:szCs w:val="24"/>
        </w:rPr>
        <w:t>Produção, v.15, n.1, p.44-59, 2005.</w:t>
      </w:r>
    </w:p>
    <w:p w14:paraId="46379E75" w14:textId="77777777" w:rsidR="00414FFC" w:rsidRPr="00160B10" w:rsidRDefault="00160B10" w:rsidP="00160B1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WUTTKE, R.A.; SELLITTO, M.A. </w:t>
      </w:r>
      <w:r>
        <w:rPr>
          <w:rFonts w:ascii="Times New Roman" w:hAnsi="Times New Roman" w:cs="Times New Roman"/>
          <w:i/>
          <w:sz w:val="24"/>
          <w:szCs w:val="24"/>
        </w:rPr>
        <w:t>Cálculo da disponibilidade e da posição na curva da banheira de uma válvula de proces</w:t>
      </w:r>
      <w:r w:rsidR="007C76B1">
        <w:rPr>
          <w:rFonts w:ascii="Times New Roman" w:hAnsi="Times New Roman" w:cs="Times New Roman"/>
          <w:i/>
          <w:sz w:val="24"/>
          <w:szCs w:val="24"/>
        </w:rPr>
        <w:t>so p</w:t>
      </w:r>
      <w:r>
        <w:rPr>
          <w:rFonts w:ascii="Times New Roman" w:hAnsi="Times New Roman" w:cs="Times New Roman"/>
          <w:i/>
          <w:sz w:val="24"/>
          <w:szCs w:val="24"/>
        </w:rPr>
        <w:t>et</w:t>
      </w:r>
      <w:r w:rsidR="007C76B1">
        <w:rPr>
          <w:rFonts w:ascii="Times New Roman" w:hAnsi="Times New Roman" w:cs="Times New Roman"/>
          <w:i/>
          <w:sz w:val="24"/>
          <w:szCs w:val="24"/>
        </w:rPr>
        <w:t>r</w:t>
      </w:r>
      <w:r>
        <w:rPr>
          <w:rFonts w:ascii="Times New Roman" w:hAnsi="Times New Roman" w:cs="Times New Roman"/>
          <w:i/>
          <w:sz w:val="24"/>
          <w:szCs w:val="24"/>
        </w:rPr>
        <w:t xml:space="preserve">oquímico. </w:t>
      </w:r>
      <w:r>
        <w:rPr>
          <w:rFonts w:ascii="Times New Roman" w:hAnsi="Times New Roman" w:cs="Times New Roman"/>
          <w:sz w:val="24"/>
          <w:szCs w:val="24"/>
        </w:rPr>
        <w:t>Revista Produção Online. Vol.8 n.4 Dez.2008. Disponível em http://producaoonline.org.br/index.php/rpo/article/viewFile/134/218</w:t>
      </w:r>
    </w:p>
    <w:p w14:paraId="41C8F396" w14:textId="77777777" w:rsidR="000106BB" w:rsidRPr="00414FFC" w:rsidRDefault="000106BB" w:rsidP="00AC1603">
      <w:pPr>
        <w:spacing w:line="240" w:lineRule="auto"/>
        <w:ind w:firstLine="360"/>
        <w:rPr>
          <w:rFonts w:ascii="Times New Roman" w:hAnsi="Times New Roman" w:cs="Times New Roman"/>
          <w:sz w:val="24"/>
          <w:szCs w:val="24"/>
        </w:rPr>
      </w:pPr>
    </w:p>
    <w:p w14:paraId="72A3D3EC" w14:textId="77777777" w:rsidR="000106BB" w:rsidRPr="00414FFC" w:rsidRDefault="000106BB" w:rsidP="00AC1603">
      <w:pPr>
        <w:spacing w:line="240" w:lineRule="auto"/>
        <w:ind w:firstLine="360"/>
        <w:rPr>
          <w:rFonts w:ascii="Times New Roman" w:hAnsi="Times New Roman" w:cs="Times New Roman"/>
          <w:sz w:val="24"/>
          <w:szCs w:val="24"/>
        </w:rPr>
      </w:pPr>
    </w:p>
    <w:p w14:paraId="0D0B940D" w14:textId="77777777" w:rsidR="00A54FB7" w:rsidRPr="00414FFC" w:rsidRDefault="00A54FB7" w:rsidP="00AB394C">
      <w:pPr>
        <w:spacing w:line="240" w:lineRule="auto"/>
        <w:jc w:val="both"/>
        <w:rPr>
          <w:rFonts w:ascii="Times New Roman" w:hAnsi="Times New Roman" w:cs="Times New Roman"/>
          <w:sz w:val="24"/>
          <w:szCs w:val="24"/>
        </w:rPr>
      </w:pPr>
    </w:p>
    <w:p w14:paraId="0E27B00A" w14:textId="77777777" w:rsidR="00A54FB7" w:rsidRPr="00414FFC" w:rsidRDefault="00A54FB7" w:rsidP="00A54FB7">
      <w:pPr>
        <w:spacing w:line="240" w:lineRule="auto"/>
        <w:jc w:val="center"/>
        <w:rPr>
          <w:rFonts w:ascii="Times New Roman" w:hAnsi="Times New Roman" w:cs="Times New Roman"/>
          <w:b/>
          <w:sz w:val="24"/>
          <w:szCs w:val="24"/>
        </w:rPr>
      </w:pPr>
    </w:p>
    <w:p w14:paraId="60061E4C" w14:textId="77777777" w:rsidR="00A54FB7" w:rsidRPr="00414FFC" w:rsidRDefault="00A54FB7" w:rsidP="00A54FB7">
      <w:pPr>
        <w:spacing w:line="240" w:lineRule="auto"/>
        <w:jc w:val="center"/>
        <w:rPr>
          <w:rFonts w:ascii="Times New Roman" w:hAnsi="Times New Roman" w:cs="Times New Roman"/>
          <w:b/>
          <w:sz w:val="24"/>
          <w:szCs w:val="24"/>
        </w:rPr>
      </w:pPr>
    </w:p>
    <w:p w14:paraId="44EAFD9C" w14:textId="77777777" w:rsidR="00A54FB7" w:rsidRPr="00414FFC" w:rsidRDefault="00A54FB7" w:rsidP="00A54FB7">
      <w:pPr>
        <w:spacing w:line="240" w:lineRule="auto"/>
        <w:rPr>
          <w:rFonts w:ascii="Times New Roman" w:hAnsi="Times New Roman" w:cs="Times New Roman"/>
          <w:sz w:val="24"/>
          <w:szCs w:val="24"/>
        </w:rPr>
      </w:pPr>
    </w:p>
    <w:p w14:paraId="4B94D5A5" w14:textId="77777777" w:rsidR="00A54FB7" w:rsidRPr="00414FFC" w:rsidRDefault="00A54FB7" w:rsidP="00A54FB7">
      <w:pPr>
        <w:spacing w:line="240" w:lineRule="auto"/>
        <w:rPr>
          <w:rFonts w:ascii="Times New Roman" w:hAnsi="Times New Roman" w:cs="Times New Roman"/>
          <w:sz w:val="24"/>
          <w:szCs w:val="24"/>
        </w:rPr>
      </w:pPr>
    </w:p>
    <w:p w14:paraId="3DEEC669" w14:textId="77777777" w:rsidR="00A54FB7" w:rsidRPr="00414FFC" w:rsidRDefault="00A54FB7">
      <w:pPr>
        <w:rPr>
          <w:rFonts w:ascii="Times New Roman" w:hAnsi="Times New Roman" w:cs="Times New Roman"/>
          <w:sz w:val="24"/>
          <w:szCs w:val="24"/>
        </w:rPr>
      </w:pPr>
    </w:p>
    <w:p w14:paraId="3656B9AB" w14:textId="77777777" w:rsidR="00FD6135" w:rsidRPr="00414FFC" w:rsidRDefault="00FD6135">
      <w:pPr>
        <w:rPr>
          <w:rFonts w:ascii="Times New Roman" w:hAnsi="Times New Roman" w:cs="Times New Roman"/>
          <w:sz w:val="24"/>
          <w:szCs w:val="24"/>
        </w:rPr>
      </w:pPr>
    </w:p>
    <w:p w14:paraId="45FB0818" w14:textId="77777777" w:rsidR="00FD6135" w:rsidRPr="00414FFC" w:rsidRDefault="00FD6135">
      <w:pPr>
        <w:rPr>
          <w:rFonts w:ascii="Times New Roman" w:hAnsi="Times New Roman" w:cs="Times New Roman"/>
          <w:sz w:val="24"/>
          <w:szCs w:val="24"/>
        </w:rPr>
      </w:pPr>
    </w:p>
    <w:p w14:paraId="049F31CB" w14:textId="77777777" w:rsidR="00FD6135" w:rsidRPr="00414FFC" w:rsidRDefault="00FD6135">
      <w:pPr>
        <w:rPr>
          <w:rFonts w:ascii="Times New Roman" w:hAnsi="Times New Roman" w:cs="Times New Roman"/>
          <w:sz w:val="24"/>
          <w:szCs w:val="24"/>
        </w:rPr>
      </w:pPr>
    </w:p>
    <w:sectPr w:rsidR="00FD6135" w:rsidRPr="00414FFC" w:rsidSect="00A54FB7">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28261" w14:textId="77777777" w:rsidR="00224EEA" w:rsidRDefault="00224EEA" w:rsidP="00FD6135">
      <w:pPr>
        <w:spacing w:after="0" w:line="240" w:lineRule="auto"/>
      </w:pPr>
      <w:r>
        <w:separator/>
      </w:r>
    </w:p>
  </w:endnote>
  <w:endnote w:type="continuationSeparator" w:id="0">
    <w:p w14:paraId="62486C05" w14:textId="77777777" w:rsidR="00224EEA" w:rsidRDefault="00224EEA" w:rsidP="00FD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C327" w14:textId="77777777" w:rsidR="00FC07BC" w:rsidRDefault="00FC07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BBF9" w14:textId="6D6A4BF6" w:rsidR="00FC07BC" w:rsidRDefault="00FC07BC">
    <w:pPr>
      <w:pStyle w:val="Footer"/>
    </w:pPr>
    <w:r>
      <w:rPr>
        <w:noProof/>
      </w:rPr>
      <w:pict w14:anchorId="21F11B13">
        <v:shapetype id="_x0000_t202" coordsize="21600,21600" o:spt="202" path="m,l,21600r21600,l21600,xe">
          <v:stroke joinstyle="miter"/>
          <v:path gradientshapeok="t" o:connecttype="rect"/>
        </v:shapetype>
        <v:shape id="MSIPCM57fe4536aac9badfcacf9443" o:spid="_x0000_s2049" type="#_x0000_t202" alt="{&quot;HashCode&quot;:1105292881,&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6EDB0049" w14:textId="62A6DCB7" w:rsidR="00FC07BC" w:rsidRPr="00FC07BC" w:rsidRDefault="00FC07BC" w:rsidP="00FC07BC">
                <w:pPr>
                  <w:spacing w:after="0"/>
                  <w:jc w:val="center"/>
                  <w:rPr>
                    <w:rFonts w:ascii="Calibri" w:hAnsi="Calibri" w:cs="Calibri"/>
                    <w:color w:val="737373"/>
                    <w:sz w:val="16"/>
                  </w:rPr>
                </w:pPr>
                <w:r w:rsidRPr="00FC07BC">
                  <w:rPr>
                    <w:rFonts w:ascii="Calibri" w:hAnsi="Calibri" w:cs="Calibri"/>
                    <w:color w:val="737373"/>
                    <w:sz w:val="16"/>
                  </w:rPr>
                  <w:t>Classificado como Público</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9BB5" w14:textId="77777777" w:rsidR="00FC07BC" w:rsidRDefault="00FC0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1652C" w14:textId="77777777" w:rsidR="00224EEA" w:rsidRDefault="00224EEA" w:rsidP="00FD6135">
      <w:pPr>
        <w:spacing w:after="0" w:line="240" w:lineRule="auto"/>
      </w:pPr>
      <w:r>
        <w:separator/>
      </w:r>
    </w:p>
  </w:footnote>
  <w:footnote w:type="continuationSeparator" w:id="0">
    <w:p w14:paraId="4B99056E" w14:textId="77777777" w:rsidR="00224EEA" w:rsidRDefault="00224EEA" w:rsidP="00FD6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3C464" w14:textId="77777777" w:rsidR="00FC07BC" w:rsidRDefault="00FC07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791A7" w14:textId="77777777" w:rsidR="00FD6135" w:rsidRPr="00FD6135" w:rsidRDefault="00FD6135" w:rsidP="00FD6135">
    <w:pPr>
      <w:jc w:val="right"/>
      <w:rPr>
        <w:rFonts w:ascii="Arial" w:hAnsi="Arial" w:cs="Arial"/>
        <w:i/>
        <w:sz w:val="18"/>
        <w:szCs w:val="18"/>
      </w:rPr>
    </w:pPr>
    <w:r w:rsidRPr="00A54FB7">
      <w:rPr>
        <w:rFonts w:ascii="Arial" w:hAnsi="Arial" w:cs="Arial"/>
        <w:i/>
        <w:sz w:val="18"/>
        <w:szCs w:val="18"/>
      </w:rPr>
      <w:t>Especialização em Gestão da Manutenção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F21C" w14:textId="77777777" w:rsidR="00FC07BC" w:rsidRDefault="00FC0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F38"/>
    <w:multiLevelType w:val="hybridMultilevel"/>
    <w:tmpl w:val="459496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BC0CCF"/>
    <w:multiLevelType w:val="hybridMultilevel"/>
    <w:tmpl w:val="1B828A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237A2"/>
    <w:multiLevelType w:val="hybridMultilevel"/>
    <w:tmpl w:val="37A4D6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ED4998"/>
    <w:multiLevelType w:val="hybridMultilevel"/>
    <w:tmpl w:val="0DA022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1E02A0"/>
    <w:multiLevelType w:val="hybridMultilevel"/>
    <w:tmpl w:val="9AB6BC48"/>
    <w:lvl w:ilvl="0" w:tplc="F5CAEE6E">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0B96ECF"/>
    <w:multiLevelType w:val="hybridMultilevel"/>
    <w:tmpl w:val="B2A04F5A"/>
    <w:lvl w:ilvl="0" w:tplc="B978BBC0">
      <w:start w:val="1"/>
      <w:numFmt w:val="bullet"/>
      <w:lvlText w:val="•"/>
      <w:lvlJc w:val="left"/>
      <w:pPr>
        <w:tabs>
          <w:tab w:val="num" w:pos="720"/>
        </w:tabs>
        <w:ind w:left="720" w:hanging="360"/>
      </w:pPr>
      <w:rPr>
        <w:rFonts w:ascii="Arial" w:hAnsi="Arial" w:hint="default"/>
      </w:rPr>
    </w:lvl>
    <w:lvl w:ilvl="1" w:tplc="57605B24" w:tentative="1">
      <w:start w:val="1"/>
      <w:numFmt w:val="bullet"/>
      <w:lvlText w:val="•"/>
      <w:lvlJc w:val="left"/>
      <w:pPr>
        <w:tabs>
          <w:tab w:val="num" w:pos="1440"/>
        </w:tabs>
        <w:ind w:left="1440" w:hanging="360"/>
      </w:pPr>
      <w:rPr>
        <w:rFonts w:ascii="Arial" w:hAnsi="Arial" w:hint="default"/>
      </w:rPr>
    </w:lvl>
    <w:lvl w:ilvl="2" w:tplc="E7FEBC0E" w:tentative="1">
      <w:start w:val="1"/>
      <w:numFmt w:val="bullet"/>
      <w:lvlText w:val="•"/>
      <w:lvlJc w:val="left"/>
      <w:pPr>
        <w:tabs>
          <w:tab w:val="num" w:pos="2160"/>
        </w:tabs>
        <w:ind w:left="2160" w:hanging="360"/>
      </w:pPr>
      <w:rPr>
        <w:rFonts w:ascii="Arial" w:hAnsi="Arial" w:hint="default"/>
      </w:rPr>
    </w:lvl>
    <w:lvl w:ilvl="3" w:tplc="EB3619A8" w:tentative="1">
      <w:start w:val="1"/>
      <w:numFmt w:val="bullet"/>
      <w:lvlText w:val="•"/>
      <w:lvlJc w:val="left"/>
      <w:pPr>
        <w:tabs>
          <w:tab w:val="num" w:pos="2880"/>
        </w:tabs>
        <w:ind w:left="2880" w:hanging="360"/>
      </w:pPr>
      <w:rPr>
        <w:rFonts w:ascii="Arial" w:hAnsi="Arial" w:hint="default"/>
      </w:rPr>
    </w:lvl>
    <w:lvl w:ilvl="4" w:tplc="C8144996" w:tentative="1">
      <w:start w:val="1"/>
      <w:numFmt w:val="bullet"/>
      <w:lvlText w:val="•"/>
      <w:lvlJc w:val="left"/>
      <w:pPr>
        <w:tabs>
          <w:tab w:val="num" w:pos="3600"/>
        </w:tabs>
        <w:ind w:left="3600" w:hanging="360"/>
      </w:pPr>
      <w:rPr>
        <w:rFonts w:ascii="Arial" w:hAnsi="Arial" w:hint="default"/>
      </w:rPr>
    </w:lvl>
    <w:lvl w:ilvl="5" w:tplc="878C818C" w:tentative="1">
      <w:start w:val="1"/>
      <w:numFmt w:val="bullet"/>
      <w:lvlText w:val="•"/>
      <w:lvlJc w:val="left"/>
      <w:pPr>
        <w:tabs>
          <w:tab w:val="num" w:pos="4320"/>
        </w:tabs>
        <w:ind w:left="4320" w:hanging="360"/>
      </w:pPr>
      <w:rPr>
        <w:rFonts w:ascii="Arial" w:hAnsi="Arial" w:hint="default"/>
      </w:rPr>
    </w:lvl>
    <w:lvl w:ilvl="6" w:tplc="62DAAC3A" w:tentative="1">
      <w:start w:val="1"/>
      <w:numFmt w:val="bullet"/>
      <w:lvlText w:val="•"/>
      <w:lvlJc w:val="left"/>
      <w:pPr>
        <w:tabs>
          <w:tab w:val="num" w:pos="5040"/>
        </w:tabs>
        <w:ind w:left="5040" w:hanging="360"/>
      </w:pPr>
      <w:rPr>
        <w:rFonts w:ascii="Arial" w:hAnsi="Arial" w:hint="default"/>
      </w:rPr>
    </w:lvl>
    <w:lvl w:ilvl="7" w:tplc="CA803A0A" w:tentative="1">
      <w:start w:val="1"/>
      <w:numFmt w:val="bullet"/>
      <w:lvlText w:val="•"/>
      <w:lvlJc w:val="left"/>
      <w:pPr>
        <w:tabs>
          <w:tab w:val="num" w:pos="5760"/>
        </w:tabs>
        <w:ind w:left="5760" w:hanging="360"/>
      </w:pPr>
      <w:rPr>
        <w:rFonts w:ascii="Arial" w:hAnsi="Arial" w:hint="default"/>
      </w:rPr>
    </w:lvl>
    <w:lvl w:ilvl="8" w:tplc="DB0E64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0D7763"/>
    <w:multiLevelType w:val="hybridMultilevel"/>
    <w:tmpl w:val="37A4D6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4FB7"/>
    <w:rsid w:val="00006DFA"/>
    <w:rsid w:val="000075A3"/>
    <w:rsid w:val="000106BB"/>
    <w:rsid w:val="00050435"/>
    <w:rsid w:val="000C5160"/>
    <w:rsid w:val="0010532E"/>
    <w:rsid w:val="00107D43"/>
    <w:rsid w:val="00126A56"/>
    <w:rsid w:val="00160B10"/>
    <w:rsid w:val="0017128B"/>
    <w:rsid w:val="001B6E28"/>
    <w:rsid w:val="001B71ED"/>
    <w:rsid w:val="00224EEA"/>
    <w:rsid w:val="00326B0C"/>
    <w:rsid w:val="00343FAD"/>
    <w:rsid w:val="00353FF2"/>
    <w:rsid w:val="003E5114"/>
    <w:rsid w:val="003F71E0"/>
    <w:rsid w:val="004137A2"/>
    <w:rsid w:val="00414FFC"/>
    <w:rsid w:val="00435B69"/>
    <w:rsid w:val="00480E33"/>
    <w:rsid w:val="004A56E7"/>
    <w:rsid w:val="004C3B31"/>
    <w:rsid w:val="004E3C24"/>
    <w:rsid w:val="005F23F7"/>
    <w:rsid w:val="005F7C5F"/>
    <w:rsid w:val="00613A34"/>
    <w:rsid w:val="00626C7A"/>
    <w:rsid w:val="00677532"/>
    <w:rsid w:val="006935E0"/>
    <w:rsid w:val="006C6E82"/>
    <w:rsid w:val="00720026"/>
    <w:rsid w:val="00726D88"/>
    <w:rsid w:val="007510B6"/>
    <w:rsid w:val="00795DFC"/>
    <w:rsid w:val="007C76B1"/>
    <w:rsid w:val="00810FD7"/>
    <w:rsid w:val="00893EBA"/>
    <w:rsid w:val="00894E25"/>
    <w:rsid w:val="008B06D9"/>
    <w:rsid w:val="009006A8"/>
    <w:rsid w:val="00907338"/>
    <w:rsid w:val="00950735"/>
    <w:rsid w:val="0095327B"/>
    <w:rsid w:val="009812B1"/>
    <w:rsid w:val="00985605"/>
    <w:rsid w:val="00986941"/>
    <w:rsid w:val="009A27A7"/>
    <w:rsid w:val="009F055E"/>
    <w:rsid w:val="00A54FB7"/>
    <w:rsid w:val="00A70F80"/>
    <w:rsid w:val="00AB394C"/>
    <w:rsid w:val="00AC1603"/>
    <w:rsid w:val="00AC7D17"/>
    <w:rsid w:val="00B15739"/>
    <w:rsid w:val="00B470C7"/>
    <w:rsid w:val="00B747C7"/>
    <w:rsid w:val="00C46EC9"/>
    <w:rsid w:val="00C76EEB"/>
    <w:rsid w:val="00C957B8"/>
    <w:rsid w:val="00CA4008"/>
    <w:rsid w:val="00CB576F"/>
    <w:rsid w:val="00CD0577"/>
    <w:rsid w:val="00CD5BE2"/>
    <w:rsid w:val="00D30C05"/>
    <w:rsid w:val="00D52AC9"/>
    <w:rsid w:val="00D57213"/>
    <w:rsid w:val="00D67235"/>
    <w:rsid w:val="00D7117E"/>
    <w:rsid w:val="00D93D33"/>
    <w:rsid w:val="00E22B52"/>
    <w:rsid w:val="00E26CD8"/>
    <w:rsid w:val="00E4088A"/>
    <w:rsid w:val="00ED1BC0"/>
    <w:rsid w:val="00EE5BFA"/>
    <w:rsid w:val="00F14168"/>
    <w:rsid w:val="00F169E8"/>
    <w:rsid w:val="00F653EB"/>
    <w:rsid w:val="00F72236"/>
    <w:rsid w:val="00FC07BC"/>
    <w:rsid w:val="00FD2883"/>
    <w:rsid w:val="00FD6135"/>
    <w:rsid w:val="3B1188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A06B7A"/>
  <w15:docId w15:val="{1733180B-0B66-4FD9-A73F-F84893D2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E25"/>
    <w:rPr>
      <w:color w:val="0000FF" w:themeColor="hyperlink"/>
      <w:u w:val="single"/>
    </w:rPr>
  </w:style>
  <w:style w:type="paragraph" w:styleId="ListParagraph">
    <w:name w:val="List Paragraph"/>
    <w:basedOn w:val="Normal"/>
    <w:uiPriority w:val="34"/>
    <w:qFormat/>
    <w:rsid w:val="00677532"/>
    <w:pPr>
      <w:ind w:left="720"/>
      <w:contextualSpacing/>
    </w:pPr>
  </w:style>
  <w:style w:type="paragraph" w:styleId="Header">
    <w:name w:val="header"/>
    <w:basedOn w:val="Normal"/>
    <w:link w:val="HeaderChar"/>
    <w:uiPriority w:val="99"/>
    <w:unhideWhenUsed/>
    <w:rsid w:val="00FD6135"/>
    <w:pPr>
      <w:tabs>
        <w:tab w:val="center" w:pos="4252"/>
        <w:tab w:val="right" w:pos="8504"/>
      </w:tabs>
      <w:spacing w:after="0" w:line="240" w:lineRule="auto"/>
    </w:pPr>
  </w:style>
  <w:style w:type="character" w:customStyle="1" w:styleId="HeaderChar">
    <w:name w:val="Header Char"/>
    <w:basedOn w:val="DefaultParagraphFont"/>
    <w:link w:val="Header"/>
    <w:uiPriority w:val="99"/>
    <w:rsid w:val="00FD6135"/>
  </w:style>
  <w:style w:type="paragraph" w:styleId="Footer">
    <w:name w:val="footer"/>
    <w:basedOn w:val="Normal"/>
    <w:link w:val="FooterChar"/>
    <w:uiPriority w:val="99"/>
    <w:unhideWhenUsed/>
    <w:rsid w:val="00FD6135"/>
    <w:pPr>
      <w:tabs>
        <w:tab w:val="center" w:pos="4252"/>
        <w:tab w:val="right" w:pos="8504"/>
      </w:tabs>
      <w:spacing w:after="0" w:line="240" w:lineRule="auto"/>
    </w:pPr>
  </w:style>
  <w:style w:type="character" w:customStyle="1" w:styleId="FooterChar">
    <w:name w:val="Footer Char"/>
    <w:basedOn w:val="DefaultParagraphFont"/>
    <w:link w:val="Footer"/>
    <w:uiPriority w:val="99"/>
    <w:rsid w:val="00FD6135"/>
  </w:style>
  <w:style w:type="paragraph" w:styleId="BalloonText">
    <w:name w:val="Balloon Text"/>
    <w:basedOn w:val="Normal"/>
    <w:link w:val="BalloonTextChar"/>
    <w:uiPriority w:val="99"/>
    <w:semiHidden/>
    <w:unhideWhenUsed/>
    <w:rsid w:val="00FD6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135"/>
    <w:rPr>
      <w:rFonts w:ascii="Tahoma" w:hAnsi="Tahoma" w:cs="Tahoma"/>
      <w:sz w:val="16"/>
      <w:szCs w:val="16"/>
    </w:rPr>
  </w:style>
  <w:style w:type="character" w:styleId="PlaceholderText">
    <w:name w:val="Placeholder Text"/>
    <w:basedOn w:val="DefaultParagraphFont"/>
    <w:uiPriority w:val="99"/>
    <w:semiHidden/>
    <w:rsid w:val="00EE5BFA"/>
    <w:rPr>
      <w:color w:val="808080"/>
    </w:rPr>
  </w:style>
  <w:style w:type="paragraph" w:styleId="Caption">
    <w:name w:val="caption"/>
    <w:basedOn w:val="Normal"/>
    <w:next w:val="Normal"/>
    <w:uiPriority w:val="35"/>
    <w:unhideWhenUsed/>
    <w:qFormat/>
    <w:rsid w:val="00C76EEB"/>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E4088A"/>
    <w:rPr>
      <w:color w:val="800080"/>
      <w:u w:val="single"/>
    </w:rPr>
  </w:style>
  <w:style w:type="paragraph" w:customStyle="1" w:styleId="xl69">
    <w:name w:val="xl69"/>
    <w:basedOn w:val="Normal"/>
    <w:rsid w:val="00E4088A"/>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70">
    <w:name w:val="xl70"/>
    <w:basedOn w:val="Normal"/>
    <w:rsid w:val="00E4088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ourier New" w:eastAsia="Times New Roman" w:hAnsi="Courier New" w:cs="Courier New"/>
      <w:sz w:val="18"/>
      <w:szCs w:val="18"/>
      <w:lang w:eastAsia="pt-BR"/>
    </w:rPr>
  </w:style>
  <w:style w:type="paragraph" w:customStyle="1" w:styleId="xl71">
    <w:name w:val="xl71"/>
    <w:basedOn w:val="Normal"/>
    <w:rsid w:val="00E4088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72">
    <w:name w:val="xl72"/>
    <w:basedOn w:val="Normal"/>
    <w:rsid w:val="00E4088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ourier New" w:eastAsia="Times New Roman" w:hAnsi="Courier New" w:cs="Courier New"/>
      <w:sz w:val="18"/>
      <w:szCs w:val="18"/>
      <w:lang w:eastAsia="pt-BR"/>
    </w:rPr>
  </w:style>
  <w:style w:type="paragraph" w:customStyle="1" w:styleId="xl73">
    <w:name w:val="xl73"/>
    <w:basedOn w:val="Normal"/>
    <w:rsid w:val="00E4088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4">
    <w:name w:val="xl74"/>
    <w:basedOn w:val="Normal"/>
    <w:rsid w:val="00E4088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pt-BR"/>
    </w:rPr>
  </w:style>
  <w:style w:type="paragraph" w:customStyle="1" w:styleId="xl75">
    <w:name w:val="xl75"/>
    <w:basedOn w:val="Normal"/>
    <w:rsid w:val="00E4088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pt-BR"/>
    </w:rPr>
  </w:style>
  <w:style w:type="paragraph" w:customStyle="1" w:styleId="xl76">
    <w:name w:val="xl76"/>
    <w:basedOn w:val="Normal"/>
    <w:rsid w:val="00726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ourier New" w:eastAsia="Times New Roman" w:hAnsi="Courier New" w:cs="Courier New"/>
      <w:sz w:val="16"/>
      <w:szCs w:val="16"/>
      <w:lang w:eastAsia="pt-BR"/>
    </w:rPr>
  </w:style>
  <w:style w:type="paragraph" w:customStyle="1" w:styleId="xl77">
    <w:name w:val="xl77"/>
    <w:basedOn w:val="Normal"/>
    <w:rsid w:val="00726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928741">
      <w:bodyDiv w:val="1"/>
      <w:marLeft w:val="0"/>
      <w:marRight w:val="0"/>
      <w:marTop w:val="0"/>
      <w:marBottom w:val="0"/>
      <w:divBdr>
        <w:top w:val="none" w:sz="0" w:space="0" w:color="auto"/>
        <w:left w:val="none" w:sz="0" w:space="0" w:color="auto"/>
        <w:bottom w:val="none" w:sz="0" w:space="0" w:color="auto"/>
        <w:right w:val="none" w:sz="0" w:space="0" w:color="auto"/>
      </w:divBdr>
      <w:divsChild>
        <w:div w:id="1926499910">
          <w:marLeft w:val="547"/>
          <w:marRight w:val="0"/>
          <w:marTop w:val="130"/>
          <w:marBottom w:val="0"/>
          <w:divBdr>
            <w:top w:val="none" w:sz="0" w:space="0" w:color="auto"/>
            <w:left w:val="none" w:sz="0" w:space="0" w:color="auto"/>
            <w:bottom w:val="none" w:sz="0" w:space="0" w:color="auto"/>
            <w:right w:val="none" w:sz="0" w:space="0" w:color="auto"/>
          </w:divBdr>
        </w:div>
      </w:divsChild>
    </w:div>
    <w:div w:id="631518228">
      <w:bodyDiv w:val="1"/>
      <w:marLeft w:val="0"/>
      <w:marRight w:val="0"/>
      <w:marTop w:val="0"/>
      <w:marBottom w:val="0"/>
      <w:divBdr>
        <w:top w:val="none" w:sz="0" w:space="0" w:color="auto"/>
        <w:left w:val="none" w:sz="0" w:space="0" w:color="auto"/>
        <w:bottom w:val="none" w:sz="0" w:space="0" w:color="auto"/>
        <w:right w:val="none" w:sz="0" w:space="0" w:color="auto"/>
      </w:divBdr>
    </w:div>
    <w:div w:id="1518540372">
      <w:bodyDiv w:val="1"/>
      <w:marLeft w:val="0"/>
      <w:marRight w:val="0"/>
      <w:marTop w:val="0"/>
      <w:marBottom w:val="0"/>
      <w:divBdr>
        <w:top w:val="none" w:sz="0" w:space="0" w:color="auto"/>
        <w:left w:val="none" w:sz="0" w:space="0" w:color="auto"/>
        <w:bottom w:val="none" w:sz="0" w:space="0" w:color="auto"/>
        <w:right w:val="none" w:sz="0" w:space="0" w:color="auto"/>
      </w:divBdr>
      <w:divsChild>
        <w:div w:id="1650284556">
          <w:marLeft w:val="547"/>
          <w:marRight w:val="0"/>
          <w:marTop w:val="130"/>
          <w:marBottom w:val="0"/>
          <w:divBdr>
            <w:top w:val="none" w:sz="0" w:space="0" w:color="auto"/>
            <w:left w:val="none" w:sz="0" w:space="0" w:color="auto"/>
            <w:bottom w:val="none" w:sz="0" w:space="0" w:color="auto"/>
            <w:right w:val="none" w:sz="0" w:space="0" w:color="auto"/>
          </w:divBdr>
        </w:div>
      </w:divsChild>
    </w:div>
    <w:div w:id="1536039070">
      <w:bodyDiv w:val="1"/>
      <w:marLeft w:val="0"/>
      <w:marRight w:val="0"/>
      <w:marTop w:val="0"/>
      <w:marBottom w:val="0"/>
      <w:divBdr>
        <w:top w:val="none" w:sz="0" w:space="0" w:color="auto"/>
        <w:left w:val="none" w:sz="0" w:space="0" w:color="auto"/>
        <w:bottom w:val="none" w:sz="0" w:space="0" w:color="auto"/>
        <w:right w:val="none" w:sz="0" w:space="0" w:color="auto"/>
      </w:divBdr>
    </w:div>
    <w:div w:id="184419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ago.beltrao.lacerda@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ESPECIALIZACAO%20EM%20GESTAO%20DA%20MANUTENCAO\10.%20TRABALHO%20FINAL%20DE%20CURSO\CONSOLIDACAO%20DOS%20DADOS.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ESPECIALIZACAO%20EM%20GESTAO%20DA%20MANUTENCAO\10.%20TRABALHO%20FINAL%20DE%20CURSO\CONSOLIDACAO%20DOS%20DADOS.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pivotSource>
    <c:name>[CONSOLIDACAO DOS DADOS.xlsm]GRAFICOS!Tabela dinâmica1</c:name>
    <c:fmtId val="3"/>
  </c:pivotSource>
  <c:chart>
    <c:title>
      <c:tx>
        <c:rich>
          <a:bodyPr/>
          <a:lstStyle/>
          <a:p>
            <a:pPr>
              <a:defRPr/>
            </a:pPr>
            <a:r>
              <a:rPr lang="en-US"/>
              <a:t>Aderência</a:t>
            </a:r>
            <a:r>
              <a:rPr lang="en-US" baseline="0"/>
              <a:t> as distribuições para setores que falharam 6 vezes ou mais no período de estudo</a:t>
            </a:r>
            <a:endParaRPr lang="en-US"/>
          </a:p>
        </c:rich>
      </c:tx>
      <c:overlay val="1"/>
    </c:title>
    <c:autoTitleDeleted val="0"/>
    <c:pivotFmts>
      <c:pivotFmt>
        <c:idx val="0"/>
        <c:marker>
          <c:symbol val="none"/>
        </c:marker>
        <c:dLbl>
          <c:idx val="0"/>
          <c:spPr/>
          <c:txPr>
            <a:bodyPr/>
            <a:lstStyle/>
            <a:p>
              <a:pPr>
                <a:defRPr/>
              </a:pPr>
              <a:endParaRPr lang="pt-BR"/>
            </a:p>
          </c:txPr>
          <c:showLegendKey val="1"/>
          <c:showVal val="1"/>
          <c:showCatName val="1"/>
          <c:showSerName val="1"/>
          <c:showPercent val="1"/>
          <c:showBubbleSize val="1"/>
          <c:extLst>
            <c:ext xmlns:c15="http://schemas.microsoft.com/office/drawing/2012/chart" uri="{CE6537A1-D6FC-4f65-9D91-7224C49458BB}"/>
          </c:extLst>
        </c:dLbl>
      </c:pivotFmt>
      <c:pivotFmt>
        <c:idx val="1"/>
        <c:marker>
          <c:symbol val="none"/>
        </c:marker>
        <c:dLbl>
          <c:idx val="0"/>
          <c:spPr/>
          <c:txPr>
            <a:bodyPr/>
            <a:lstStyle/>
            <a:p>
              <a:pPr>
                <a:defRPr/>
              </a:pPr>
              <a:endParaRPr lang="pt-BR"/>
            </a:p>
          </c:txPr>
          <c:showLegendKey val="1"/>
          <c:showVal val="1"/>
          <c:showCatName val="1"/>
          <c:showSerName val="1"/>
          <c:showPercent val="1"/>
          <c:showBubbleSize val="1"/>
          <c:extLst>
            <c:ext xmlns:c15="http://schemas.microsoft.com/office/drawing/2012/chart" uri="{CE6537A1-D6FC-4f65-9D91-7224C49458BB}"/>
          </c:extLst>
        </c:dLbl>
      </c:pivotFmt>
    </c:pivotFmts>
    <c:plotArea>
      <c:layout/>
      <c:barChart>
        <c:barDir val="col"/>
        <c:grouping val="clustered"/>
        <c:varyColors val="1"/>
        <c:ser>
          <c:idx val="0"/>
          <c:order val="0"/>
          <c:tx>
            <c:strRef>
              <c:f>GRAFICOS!$R$75</c:f>
              <c:strCache>
                <c:ptCount val="1"/>
                <c:pt idx="0">
                  <c:v>Total</c:v>
                </c:pt>
              </c:strCache>
            </c:strRef>
          </c:tx>
          <c:invertIfNegative val="1"/>
          <c:dLbls>
            <c:spPr>
              <a:noFill/>
              <a:ln>
                <a:noFill/>
              </a:ln>
              <a:effectLst/>
            </c:spPr>
            <c:txPr>
              <a:bodyPr/>
              <a:lstStyle/>
              <a:p>
                <a:pPr>
                  <a:defRPr/>
                </a:pPr>
                <a:endParaRPr lang="pt-BR"/>
              </a:p>
            </c:tx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GRAFICOS!$Q$76:$Q$80</c:f>
              <c:strCache>
                <c:ptCount val="4"/>
                <c:pt idx="0">
                  <c:v>EXPONENCIAL</c:v>
                </c:pt>
                <c:pt idx="1">
                  <c:v>LOGNORMAL</c:v>
                </c:pt>
                <c:pt idx="2">
                  <c:v>NORMAL</c:v>
                </c:pt>
                <c:pt idx="3">
                  <c:v>WEIBULL</c:v>
                </c:pt>
              </c:strCache>
            </c:strRef>
          </c:cat>
          <c:val>
            <c:numRef>
              <c:f>GRAFICOS!$R$76:$R$80</c:f>
              <c:numCache>
                <c:formatCode>General</c:formatCode>
                <c:ptCount val="4"/>
                <c:pt idx="0">
                  <c:v>64</c:v>
                </c:pt>
                <c:pt idx="1">
                  <c:v>100</c:v>
                </c:pt>
                <c:pt idx="2">
                  <c:v>27</c:v>
                </c:pt>
                <c:pt idx="3">
                  <c:v>40</c:v>
                </c:pt>
              </c:numCache>
            </c:numRef>
          </c:val>
          <c:extLst>
            <c:ext xmlns:c16="http://schemas.microsoft.com/office/drawing/2014/chart" uri="{C3380CC4-5D6E-409C-BE32-E72D297353CC}">
              <c16:uniqueId val="{00000000-127F-4E61-AEA2-753FABADF672}"/>
            </c:ext>
          </c:extLst>
        </c:ser>
        <c:dLbls>
          <c:showLegendKey val="0"/>
          <c:showVal val="0"/>
          <c:showCatName val="0"/>
          <c:showSerName val="0"/>
          <c:showPercent val="0"/>
          <c:showBubbleSize val="0"/>
        </c:dLbls>
        <c:gapWidth val="150"/>
        <c:axId val="90870144"/>
        <c:axId val="90890240"/>
      </c:barChart>
      <c:catAx>
        <c:axId val="90870144"/>
        <c:scaling>
          <c:orientation val="minMax"/>
        </c:scaling>
        <c:delete val="1"/>
        <c:axPos val="b"/>
        <c:numFmt formatCode="General" sourceLinked="0"/>
        <c:majorTickMark val="cross"/>
        <c:minorTickMark val="cross"/>
        <c:tickLblPos val="nextTo"/>
        <c:crossAx val="90890240"/>
        <c:crosses val="autoZero"/>
        <c:auto val="1"/>
        <c:lblAlgn val="ctr"/>
        <c:lblOffset val="100"/>
        <c:noMultiLvlLbl val="1"/>
      </c:catAx>
      <c:valAx>
        <c:axId val="90890240"/>
        <c:scaling>
          <c:orientation val="minMax"/>
        </c:scaling>
        <c:delete val="1"/>
        <c:axPos val="l"/>
        <c:majorGridlines/>
        <c:numFmt formatCode="General" sourceLinked="1"/>
        <c:majorTickMark val="cross"/>
        <c:minorTickMark val="cross"/>
        <c:tickLblPos val="nextTo"/>
        <c:crossAx val="90870144"/>
        <c:crosses val="autoZero"/>
        <c:crossBetween val="between"/>
      </c:valAx>
    </c:plotArea>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title>
      <c:tx>
        <c:rich>
          <a:bodyPr/>
          <a:lstStyle/>
          <a:p>
            <a:pPr>
              <a:defRPr/>
            </a:pPr>
            <a:r>
              <a:rPr lang="pt-BR" sz="1200"/>
              <a:t>Histograma de r-múltiplo</a:t>
            </a:r>
            <a:r>
              <a:rPr lang="pt-BR" sz="1200" baseline="0"/>
              <a:t> para a distribuição exponencial dos 231 setores que falharam 6 ou mais vezes no período estudado</a:t>
            </a:r>
            <a:endParaRPr lang="pt-BR" sz="1200"/>
          </a:p>
        </c:rich>
      </c:tx>
      <c:overlay val="1"/>
    </c:title>
    <c:autoTitleDeleted val="0"/>
    <c:plotArea>
      <c:layout/>
      <c:barChart>
        <c:barDir val="col"/>
        <c:grouping val="clustered"/>
        <c:varyColors val="1"/>
        <c:ser>
          <c:idx val="0"/>
          <c:order val="0"/>
          <c:tx>
            <c:v>Freqüência</c:v>
          </c:tx>
          <c:invertIfNegative val="1"/>
          <c:cat>
            <c:strRef>
              <c:f>GRAFICOS!$AF$9:$AF$42</c:f>
              <c:strCache>
                <c:ptCount val="34"/>
                <c:pt idx="0">
                  <c:v>0,96</c:v>
                </c:pt>
                <c:pt idx="1">
                  <c:v>0,99</c:v>
                </c:pt>
                <c:pt idx="2">
                  <c:v>0,97</c:v>
                </c:pt>
                <c:pt idx="3">
                  <c:v>0,98</c:v>
                </c:pt>
                <c:pt idx="4">
                  <c:v>0,95</c:v>
                </c:pt>
                <c:pt idx="5">
                  <c:v>0,94</c:v>
                </c:pt>
                <c:pt idx="6">
                  <c:v>0,93</c:v>
                </c:pt>
                <c:pt idx="7">
                  <c:v>0,9</c:v>
                </c:pt>
                <c:pt idx="8">
                  <c:v>1</c:v>
                </c:pt>
                <c:pt idx="9">
                  <c:v>0,88</c:v>
                </c:pt>
                <c:pt idx="10">
                  <c:v>0,87</c:v>
                </c:pt>
                <c:pt idx="11">
                  <c:v>0,89</c:v>
                </c:pt>
                <c:pt idx="12">
                  <c:v>0,85</c:v>
                </c:pt>
                <c:pt idx="13">
                  <c:v>0,91</c:v>
                </c:pt>
                <c:pt idx="14">
                  <c:v>0,8</c:v>
                </c:pt>
                <c:pt idx="15">
                  <c:v>0,82</c:v>
                </c:pt>
                <c:pt idx="16">
                  <c:v>0,92</c:v>
                </c:pt>
                <c:pt idx="17">
                  <c:v>0,68</c:v>
                </c:pt>
                <c:pt idx="18">
                  <c:v>0,69</c:v>
                </c:pt>
                <c:pt idx="19">
                  <c:v>0,7</c:v>
                </c:pt>
                <c:pt idx="20">
                  <c:v>0,71</c:v>
                </c:pt>
                <c:pt idx="21">
                  <c:v>0,72</c:v>
                </c:pt>
                <c:pt idx="22">
                  <c:v>0,73</c:v>
                </c:pt>
                <c:pt idx="23">
                  <c:v>0,74</c:v>
                </c:pt>
                <c:pt idx="24">
                  <c:v>0,75</c:v>
                </c:pt>
                <c:pt idx="25">
                  <c:v>0,76</c:v>
                </c:pt>
                <c:pt idx="26">
                  <c:v>0,77</c:v>
                </c:pt>
                <c:pt idx="27">
                  <c:v>0,78</c:v>
                </c:pt>
                <c:pt idx="28">
                  <c:v>0,79</c:v>
                </c:pt>
                <c:pt idx="29">
                  <c:v>0,81</c:v>
                </c:pt>
                <c:pt idx="30">
                  <c:v>0,83</c:v>
                </c:pt>
                <c:pt idx="31">
                  <c:v>0,84</c:v>
                </c:pt>
                <c:pt idx="32">
                  <c:v>0,86</c:v>
                </c:pt>
                <c:pt idx="33">
                  <c:v>Mais</c:v>
                </c:pt>
              </c:strCache>
            </c:strRef>
          </c:cat>
          <c:val>
            <c:numRef>
              <c:f>GRAFICOS!$AG$9:$AG$42</c:f>
              <c:numCache>
                <c:formatCode>General</c:formatCode>
                <c:ptCount val="34"/>
                <c:pt idx="0">
                  <c:v>35</c:v>
                </c:pt>
                <c:pt idx="1">
                  <c:v>33</c:v>
                </c:pt>
                <c:pt idx="2">
                  <c:v>32</c:v>
                </c:pt>
                <c:pt idx="3">
                  <c:v>31</c:v>
                </c:pt>
                <c:pt idx="4">
                  <c:v>29</c:v>
                </c:pt>
                <c:pt idx="5">
                  <c:v>21</c:v>
                </c:pt>
                <c:pt idx="6">
                  <c:v>11</c:v>
                </c:pt>
                <c:pt idx="7">
                  <c:v>9</c:v>
                </c:pt>
                <c:pt idx="8">
                  <c:v>7</c:v>
                </c:pt>
                <c:pt idx="9">
                  <c:v>6</c:v>
                </c:pt>
                <c:pt idx="10">
                  <c:v>5</c:v>
                </c:pt>
                <c:pt idx="11">
                  <c:v>4</c:v>
                </c:pt>
                <c:pt idx="12">
                  <c:v>3</c:v>
                </c:pt>
                <c:pt idx="13">
                  <c:v>2</c:v>
                </c:pt>
                <c:pt idx="14">
                  <c:v>1</c:v>
                </c:pt>
                <c:pt idx="15">
                  <c:v>1</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numCache>
            </c:numRef>
          </c:val>
          <c:extLst>
            <c:ext xmlns:c16="http://schemas.microsoft.com/office/drawing/2014/chart" uri="{C3380CC4-5D6E-409C-BE32-E72D297353CC}">
              <c16:uniqueId val="{00000000-689F-4D5E-A902-966D95C46275}"/>
            </c:ext>
          </c:extLst>
        </c:ser>
        <c:dLbls>
          <c:showLegendKey val="0"/>
          <c:showVal val="0"/>
          <c:showCatName val="0"/>
          <c:showSerName val="0"/>
          <c:showPercent val="0"/>
          <c:showBubbleSize val="0"/>
        </c:dLbls>
        <c:gapWidth val="150"/>
        <c:axId val="101307520"/>
        <c:axId val="101309824"/>
      </c:barChart>
      <c:lineChart>
        <c:grouping val="standard"/>
        <c:varyColors val="1"/>
        <c:ser>
          <c:idx val="1"/>
          <c:order val="1"/>
          <c:tx>
            <c:v>% cumulativo</c:v>
          </c:tx>
          <c:cat>
            <c:strRef>
              <c:f>GRAFICOS!$AF$9:$AF$42</c:f>
              <c:strCache>
                <c:ptCount val="34"/>
                <c:pt idx="0">
                  <c:v>0,96</c:v>
                </c:pt>
                <c:pt idx="1">
                  <c:v>0,99</c:v>
                </c:pt>
                <c:pt idx="2">
                  <c:v>0,97</c:v>
                </c:pt>
                <c:pt idx="3">
                  <c:v>0,98</c:v>
                </c:pt>
                <c:pt idx="4">
                  <c:v>0,95</c:v>
                </c:pt>
                <c:pt idx="5">
                  <c:v>0,94</c:v>
                </c:pt>
                <c:pt idx="6">
                  <c:v>0,93</c:v>
                </c:pt>
                <c:pt idx="7">
                  <c:v>0,9</c:v>
                </c:pt>
                <c:pt idx="8">
                  <c:v>1</c:v>
                </c:pt>
                <c:pt idx="9">
                  <c:v>0,88</c:v>
                </c:pt>
                <c:pt idx="10">
                  <c:v>0,87</c:v>
                </c:pt>
                <c:pt idx="11">
                  <c:v>0,89</c:v>
                </c:pt>
                <c:pt idx="12">
                  <c:v>0,85</c:v>
                </c:pt>
                <c:pt idx="13">
                  <c:v>0,91</c:v>
                </c:pt>
                <c:pt idx="14">
                  <c:v>0,8</c:v>
                </c:pt>
                <c:pt idx="15">
                  <c:v>0,82</c:v>
                </c:pt>
                <c:pt idx="16">
                  <c:v>0,92</c:v>
                </c:pt>
                <c:pt idx="17">
                  <c:v>0,68</c:v>
                </c:pt>
                <c:pt idx="18">
                  <c:v>0,69</c:v>
                </c:pt>
                <c:pt idx="19">
                  <c:v>0,7</c:v>
                </c:pt>
                <c:pt idx="20">
                  <c:v>0,71</c:v>
                </c:pt>
                <c:pt idx="21">
                  <c:v>0,72</c:v>
                </c:pt>
                <c:pt idx="22">
                  <c:v>0,73</c:v>
                </c:pt>
                <c:pt idx="23">
                  <c:v>0,74</c:v>
                </c:pt>
                <c:pt idx="24">
                  <c:v>0,75</c:v>
                </c:pt>
                <c:pt idx="25">
                  <c:v>0,76</c:v>
                </c:pt>
                <c:pt idx="26">
                  <c:v>0,77</c:v>
                </c:pt>
                <c:pt idx="27">
                  <c:v>0,78</c:v>
                </c:pt>
                <c:pt idx="28">
                  <c:v>0,79</c:v>
                </c:pt>
                <c:pt idx="29">
                  <c:v>0,81</c:v>
                </c:pt>
                <c:pt idx="30">
                  <c:v>0,83</c:v>
                </c:pt>
                <c:pt idx="31">
                  <c:v>0,84</c:v>
                </c:pt>
                <c:pt idx="32">
                  <c:v>0,86</c:v>
                </c:pt>
                <c:pt idx="33">
                  <c:v>Mais</c:v>
                </c:pt>
              </c:strCache>
            </c:strRef>
          </c:cat>
          <c:val>
            <c:numRef>
              <c:f>GRAFICOS!$AH$9:$AH$42</c:f>
              <c:numCache>
                <c:formatCode>0.00%</c:formatCode>
                <c:ptCount val="34"/>
                <c:pt idx="0">
                  <c:v>0.15151515151515169</c:v>
                </c:pt>
                <c:pt idx="1">
                  <c:v>0.29437229437229473</c:v>
                </c:pt>
                <c:pt idx="2">
                  <c:v>0.43290043290043306</c:v>
                </c:pt>
                <c:pt idx="3">
                  <c:v>0.56709956709956744</c:v>
                </c:pt>
                <c:pt idx="4">
                  <c:v>0.69264069264069339</c:v>
                </c:pt>
                <c:pt idx="5">
                  <c:v>0.78354978354978388</c:v>
                </c:pt>
                <c:pt idx="6">
                  <c:v>0.83116883116883156</c:v>
                </c:pt>
                <c:pt idx="7">
                  <c:v>0.87012987012987097</c:v>
                </c:pt>
                <c:pt idx="8">
                  <c:v>0.90043290043290003</c:v>
                </c:pt>
                <c:pt idx="9">
                  <c:v>0.92640692640692646</c:v>
                </c:pt>
                <c:pt idx="10">
                  <c:v>0.9480519480519477</c:v>
                </c:pt>
                <c:pt idx="11">
                  <c:v>0.96536796536796465</c:v>
                </c:pt>
                <c:pt idx="12">
                  <c:v>0.97835497835497864</c:v>
                </c:pt>
                <c:pt idx="13">
                  <c:v>0.98701298701298645</c:v>
                </c:pt>
                <c:pt idx="14">
                  <c:v>0.9913419913419913</c:v>
                </c:pt>
                <c:pt idx="15">
                  <c:v>0.99567099567099571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numCache>
            </c:numRef>
          </c:val>
          <c:smooth val="1"/>
          <c:extLst>
            <c:ext xmlns:c16="http://schemas.microsoft.com/office/drawing/2014/chart" uri="{C3380CC4-5D6E-409C-BE32-E72D297353CC}">
              <c16:uniqueId val="{00000001-689F-4D5E-A902-966D95C46275}"/>
            </c:ext>
          </c:extLst>
        </c:ser>
        <c:dLbls>
          <c:showLegendKey val="0"/>
          <c:showVal val="0"/>
          <c:showCatName val="0"/>
          <c:showSerName val="0"/>
          <c:showPercent val="0"/>
          <c:showBubbleSize val="0"/>
        </c:dLbls>
        <c:marker val="1"/>
        <c:smooth val="0"/>
        <c:axId val="101314560"/>
        <c:axId val="101312000"/>
      </c:lineChart>
      <c:catAx>
        <c:axId val="101307520"/>
        <c:scaling>
          <c:orientation val="minMax"/>
        </c:scaling>
        <c:delete val="1"/>
        <c:axPos val="b"/>
        <c:title>
          <c:tx>
            <c:rich>
              <a:bodyPr/>
              <a:lstStyle/>
              <a:p>
                <a:pPr>
                  <a:defRPr/>
                </a:pPr>
                <a:r>
                  <a:rPr lang="pt-BR"/>
                  <a:t>r-múltiplo</a:t>
                </a:r>
              </a:p>
            </c:rich>
          </c:tx>
          <c:overlay val="1"/>
        </c:title>
        <c:numFmt formatCode="General" sourceLinked="0"/>
        <c:majorTickMark val="cross"/>
        <c:minorTickMark val="cross"/>
        <c:tickLblPos val="nextTo"/>
        <c:crossAx val="101309824"/>
        <c:crosses val="autoZero"/>
        <c:auto val="1"/>
        <c:lblAlgn val="ctr"/>
        <c:lblOffset val="100"/>
        <c:noMultiLvlLbl val="1"/>
      </c:catAx>
      <c:valAx>
        <c:axId val="101309824"/>
        <c:scaling>
          <c:orientation val="minMax"/>
        </c:scaling>
        <c:delete val="1"/>
        <c:axPos val="l"/>
        <c:title>
          <c:tx>
            <c:rich>
              <a:bodyPr/>
              <a:lstStyle/>
              <a:p>
                <a:pPr>
                  <a:defRPr/>
                </a:pPr>
                <a:r>
                  <a:rPr lang="pt-BR"/>
                  <a:t>Freqüência</a:t>
                </a:r>
              </a:p>
            </c:rich>
          </c:tx>
          <c:overlay val="1"/>
        </c:title>
        <c:numFmt formatCode="General" sourceLinked="1"/>
        <c:majorTickMark val="cross"/>
        <c:minorTickMark val="cross"/>
        <c:tickLblPos val="nextTo"/>
        <c:crossAx val="101307520"/>
        <c:crosses val="autoZero"/>
        <c:crossBetween val="between"/>
      </c:valAx>
      <c:valAx>
        <c:axId val="101312000"/>
        <c:scaling>
          <c:orientation val="minMax"/>
        </c:scaling>
        <c:delete val="1"/>
        <c:axPos val="r"/>
        <c:numFmt formatCode="0.00%" sourceLinked="1"/>
        <c:majorTickMark val="cross"/>
        <c:minorTickMark val="cross"/>
        <c:tickLblPos val="nextTo"/>
        <c:crossAx val="101314560"/>
        <c:crosses val="max"/>
        <c:crossBetween val="between"/>
      </c:valAx>
      <c:catAx>
        <c:axId val="101314560"/>
        <c:scaling>
          <c:orientation val="minMax"/>
        </c:scaling>
        <c:delete val="1"/>
        <c:axPos val="b"/>
        <c:numFmt formatCode="General" sourceLinked="0"/>
        <c:majorTickMark val="cross"/>
        <c:minorTickMark val="cross"/>
        <c:tickLblPos val="none"/>
        <c:crossAx val="101312000"/>
        <c:crosses val="autoZero"/>
        <c:auto val="1"/>
        <c:lblAlgn val="ctr"/>
        <c:lblOffset val="100"/>
        <c:noMultiLvlLbl val="1"/>
      </c:catAx>
    </c:plotArea>
    <c:legend>
      <c:legendPos val="r"/>
      <c:overlay val="1"/>
    </c:legend>
    <c:plotVisOnly val="1"/>
    <c:dispBlanksAs val="gap"/>
    <c:showDLblsOverMax val="1"/>
  </c:chart>
  <c:externalData r:id="rId1">
    <c:autoUpdate val="1"/>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4EDD7-476A-4D37-A8A1-A6F32693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2974</Words>
  <Characters>16063</Characters>
  <Application>Microsoft Office Word</Application>
  <DocSecurity>0</DocSecurity>
  <Lines>133</Lines>
  <Paragraphs>37</Paragraphs>
  <ScaleCrop>false</ScaleCrop>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USER</dc:creator>
  <cp:keywords/>
  <dc:description/>
  <cp:lastModifiedBy>Tiago Beltrao Lacerda</cp:lastModifiedBy>
  <cp:revision>42</cp:revision>
  <dcterms:created xsi:type="dcterms:W3CDTF">2011-10-05T22:31:00Z</dcterms:created>
  <dcterms:modified xsi:type="dcterms:W3CDTF">2023-07-14T12:59:00Z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e7e18f-5bef-4af5-83ed-4f28cda7ebe7_Enabled">
    <vt:lpwstr>true</vt:lpwstr>
  </property>
  <property fmtid="{D5CDD505-2E9C-101B-9397-08002B2CF9AE}" pid="3" name="MSIP_Label_66e7e18f-5bef-4af5-83ed-4f28cda7ebe7_SetDate">
    <vt:lpwstr>2023-07-14T12:59:03Z</vt:lpwstr>
  </property>
  <property fmtid="{D5CDD505-2E9C-101B-9397-08002B2CF9AE}" pid="4" name="MSIP_Label_66e7e18f-5bef-4af5-83ed-4f28cda7ebe7_Method">
    <vt:lpwstr>Privileged</vt:lpwstr>
  </property>
  <property fmtid="{D5CDD505-2E9C-101B-9397-08002B2CF9AE}" pid="5" name="MSIP_Label_66e7e18f-5bef-4af5-83ed-4f28cda7ebe7_Name">
    <vt:lpwstr>66e7e18f-5bef-4af5-83ed-4f28cda7ebe7</vt:lpwstr>
  </property>
  <property fmtid="{D5CDD505-2E9C-101B-9397-08002B2CF9AE}" pid="6" name="MSIP_Label_66e7e18f-5bef-4af5-83ed-4f28cda7ebe7_SiteId">
    <vt:lpwstr>57b8c96e-ac2f-4d78-a149-f1fc6817d3c4</vt:lpwstr>
  </property>
  <property fmtid="{D5CDD505-2E9C-101B-9397-08002B2CF9AE}" pid="7" name="MSIP_Label_66e7e18f-5bef-4af5-83ed-4f28cda7ebe7_ActionId">
    <vt:lpwstr>d2583ac6-1a50-4c84-9bc1-5a01d027a591</vt:lpwstr>
  </property>
  <property fmtid="{D5CDD505-2E9C-101B-9397-08002B2CF9AE}" pid="8" name="MSIP_Label_66e7e18f-5bef-4af5-83ed-4f28cda7ebe7_ContentBits">
    <vt:lpwstr>2</vt:lpwstr>
  </property>
</Properties>
</file>