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sz w:val="28"/>
        </w:rPr>
        <w:t xml:space="preserve">Section 0: Business Strategy &amp; Market Intelligence</w:t>
      </w:r>
    </w:p>
    <w:p>
      <w:r>
        <w:rPr>
          <w:i/>
          <w:sz w:val="22"/>
        </w:rPr>
        <w:t xml:space="preserve">This section provides comprehensive business strategy, market intelligence, and go-to-market analysis for Token Factory — an open-source model inference platform with fine-tuning capabilities built by Infinia Technologies (IHC Group). Detailed deep-dive research files (65,000+ words) are in the /market_research/ directory.</w:t>
      </w:r>
    </w:p>
    <w:p>
      <w:pPr>
        <w:pStyle w:val="Heading2"/>
      </w:pPr>
      <w:r>
        <w:rPr>
          <w:b/>
          <w:sz w:val="26"/>
        </w:rPr>
        <w:t xml:space="preserve">0.1 Executive Summary</w:t>
      </w:r>
    </w:p>
    <w:p>
      <w:r>
        <w:rPr>
          <w:sz w:val="22"/>
        </w:rPr>
        <w:t xml:space="preserve">Token Factory enters the open-source LLM inference market — projected to reach $4.0-4.8 billion by 2026 — with a platform-first approach addressing the critical enterprise governance gap. While Together AI ($533M funding, ~$300M ARR), Fireworks AI ($327M funding, 20x YoY growth), and OpenRouter (5M users) lead in raw inference, none offers comprehensive cost intelligence, fine-tuning lifecycle management, and compliance architecture.</w:t>
      </w:r>
    </w:p>
    <w:p>
      <w:r>
        <w:rPr>
          <w:sz w:val="22"/>
        </w:rPr>
        <w:t xml:space="preserve">Token Factory's structural advantages come from IHC Group — a $238B Abu Dhabi conglomerate with 422 subsidiaries across healthcare (Burjeel/PureHealth), real estate (ALDAR), financial services (2PointZero), and technology. This provides: (1) built-in enterprise customers via internal procurement, (2) $20.4B cash reserves without VC dilution, (3) sovereign AI credibility through Infinia's Tenstorrent partnership, (4) compliance fast-tracking within IHC entities. Revenue projections: Year 1 $18.9M, Year 2 $120.8M, Year 3 $377M.</w:t>
      </w:r>
    </w:p>
    <w:p>
      <w:pPr>
        <w:pStyle w:val="Heading2"/>
      </w:pPr>
      <w:r>
        <w:rPr>
          <w:b/>
          <w:sz w:val="26"/>
        </w:rPr>
        <w:t xml:space="preserve">0.2 Market Opportunity &amp; Customer Value</w:t>
      </w:r>
    </w:p>
    <w:p>
      <w:r>
        <w:rPr>
          <w:i/>
          <w:sz w:val="22"/>
        </w:rPr>
        <w:t xml:space="preserve">Reference: market_research/01_market_opportunity_and_customer_value.md</w:t>
      </w:r>
    </w:p>
    <w:p>
      <w:r>
        <w:rPr>
          <w:sz w:val="22"/>
        </w:rPr>
        <w:t xml:space="preserve">The open-source LLM inference market has exploded with model releases (LLaMA 3.1, Mistral Large 2, DeepSeek V3, Qwen 2.5) but infrastructure remains fragmented. Managing multiple inference providers creates 2-4 developer-weeks per quarter of operational overhead. The core value proposition: one platform, one API key, one bill, one compliance contract, every open-source model.</w:t>
      </w:r>
    </w:p>
    <w:p>
      <w:r>
        <w:rPr>
          <w:sz w:val="22"/>
        </w:rPr>
        <w:t xml:space="preserve">Quantified value for teams spending $10K+/month: engineering time savings ($50K-$150K/year), cost optimization (20-40% through intelligent routing), compliance consolidation ($32K-$128K per vendor eliminated). For IHC Group's 422 subsidiaries, group-wide net value could exceed $10M/year. Global enterprise LLM API spend: $8.4B H1 2025, projected $15B+ by end 2026. Middle East AI market: $3.2B (2025) to $8.5B (2028).</w:t>
      </w:r>
    </w:p>
    <w:p>
      <w:pPr>
        <w:pStyle w:val="Heading2"/>
      </w:pPr>
      <w:r>
        <w:rPr>
          <w:b/>
          <w:sz w:val="26"/>
        </w:rPr>
        <w:t xml:space="preserve">0.3 Competitive Landscape</w:t>
      </w:r>
    </w:p>
    <w:p>
      <w:r>
        <w:rPr>
          <w:i/>
          <w:sz w:val="22"/>
        </w:rPr>
        <w:t xml:space="preserve">Reference: market_research/02_competitive_landscape_and_ecosystem.md</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500"/>
        <w:gridCol w:w="1500"/>
        <w:gridCol w:w="1500"/>
        <w:gridCol w:w="1500"/>
        <w:gridCol w:w="1500"/>
      </w:tblGrid>
      <w:tr>
        <w:tc>
          <w:p>
            <w:r>
              <w:rPr>
                <w:b/>
                <w:sz w:val="20"/>
              </w:rPr>
              <w:t xml:space="preserve">Competitor</w:t>
            </w:r>
          </w:p>
        </w:tc>
        <w:tc>
          <w:p>
            <w:r>
              <w:rPr>
                <w:b/>
                <w:sz w:val="20"/>
              </w:rPr>
              <w:t xml:space="preserve">Funding</w:t>
            </w:r>
          </w:p>
        </w:tc>
        <w:tc>
          <w:p>
            <w:r>
              <w:rPr>
                <w:b/>
                <w:sz w:val="20"/>
              </w:rPr>
              <w:t xml:space="preserve">Est. ARR</w:t>
            </w:r>
          </w:p>
        </w:tc>
        <w:tc>
          <w:p>
            <w:r>
              <w:rPr>
                <w:b/>
                <w:sz w:val="20"/>
              </w:rPr>
              <w:t xml:space="preserve">Key Strength</w:t>
            </w:r>
          </w:p>
        </w:tc>
        <w:tc>
          <w:p>
            <w:r>
              <w:rPr>
                <w:b/>
                <w:sz w:val="20"/>
              </w:rPr>
              <w:t xml:space="preserve">Weakness vs TF</w:t>
            </w:r>
          </w:p>
        </w:tc>
        <w:tc>
          <w:p>
            <w:r>
              <w:rPr>
                <w:b/>
                <w:sz w:val="20"/>
              </w:rPr>
              <w:t xml:space="preserve">Threat</w:t>
            </w:r>
          </w:p>
        </w:tc>
      </w:tr>
      <w:tr>
        <w:tc>
          <w:p>
            <w:r>
              <w:rPr>
                <w:sz w:val="20"/>
              </w:rPr>
              <w:t xml:space="preserve">Together AI</w:t>
            </w:r>
          </w:p>
        </w:tc>
        <w:tc>
          <w:p>
            <w:r>
              <w:rPr>
                <w:sz w:val="20"/>
              </w:rPr>
              <w:t xml:space="preserve">$533M</w:t>
            </w:r>
          </w:p>
        </w:tc>
        <w:tc>
          <w:p>
            <w:r>
              <w:rPr>
                <w:sz w:val="20"/>
              </w:rPr>
              <w:t xml:space="preserve">~$300M</w:t>
            </w:r>
          </w:p>
        </w:tc>
        <w:tc>
          <w:p>
            <w:r>
              <w:rPr>
                <w:sz w:val="20"/>
              </w:rPr>
              <w:t xml:space="preserve">Full-stack training+inference</w:t>
            </w:r>
          </w:p>
        </w:tc>
        <w:tc>
          <w:p>
            <w:r>
              <w:rPr>
                <w:sz w:val="20"/>
              </w:rPr>
              <w:t xml:space="preserve">Thin governance</w:t>
            </w:r>
          </w:p>
        </w:tc>
        <w:tc>
          <w:p>
            <w:r>
              <w:rPr>
                <w:sz w:val="20"/>
              </w:rPr>
              <w:t xml:space="preserve">HIGH</w:t>
            </w:r>
          </w:p>
        </w:tc>
      </w:tr>
      <w:tr>
        <w:tc>
          <w:p>
            <w:r>
              <w:rPr>
                <w:sz w:val="20"/>
              </w:rPr>
              <w:t xml:space="preserve">Fireworks AI</w:t>
            </w:r>
          </w:p>
        </w:tc>
        <w:tc>
          <w:p>
            <w:r>
              <w:rPr>
                <w:sz w:val="20"/>
              </w:rPr>
              <w:t xml:space="preserve">$327M</w:t>
            </w:r>
          </w:p>
        </w:tc>
        <w:tc>
          <w:p>
            <w:r>
              <w:rPr>
                <w:sz w:val="20"/>
              </w:rPr>
              <w:t xml:space="preserve">~$130M</w:t>
            </w:r>
          </w:p>
        </w:tc>
        <w:tc>
          <w:p>
            <w:r>
              <w:rPr>
                <w:sz w:val="20"/>
              </w:rPr>
              <w:t xml:space="preserve">Fastest inference (FireAttention)</w:t>
            </w:r>
          </w:p>
        </w:tc>
        <w:tc>
          <w:p>
            <w:r>
              <w:rPr>
                <w:sz w:val="20"/>
              </w:rPr>
              <w:t xml:space="preserve">Minimal cost intel</w:t>
            </w:r>
          </w:p>
        </w:tc>
        <w:tc>
          <w:p>
            <w:r>
              <w:rPr>
                <w:sz w:val="20"/>
              </w:rPr>
              <w:t xml:space="preserve">VERY HIGH</w:t>
            </w:r>
          </w:p>
        </w:tc>
      </w:tr>
      <w:tr>
        <w:tc>
          <w:p>
            <w:r>
              <w:rPr>
                <w:sz w:val="20"/>
              </w:rPr>
              <w:t xml:space="preserve">Groq</w:t>
            </w:r>
          </w:p>
        </w:tc>
        <w:tc>
          <w:p>
            <w:r>
              <w:rPr>
                <w:sz w:val="20"/>
              </w:rPr>
              <w:t xml:space="preserve">Nvidia-backed</w:t>
            </w:r>
          </w:p>
        </w:tc>
        <w:tc>
          <w:p>
            <w:r>
              <w:rPr>
                <w:sz w:val="20"/>
              </w:rPr>
              <w:t xml:space="preserve">N/A</w:t>
            </w:r>
          </w:p>
        </w:tc>
        <w:tc>
          <w:p>
            <w:r>
              <w:rPr>
                <w:sz w:val="20"/>
              </w:rPr>
              <w:t xml:space="preserve">18x faster (custom LPU)</w:t>
            </w:r>
          </w:p>
        </w:tc>
        <w:tc>
          <w:p>
            <w:r>
              <w:rPr>
                <w:sz w:val="20"/>
              </w:rPr>
              <w:t xml:space="preserve">Limited models/platform</w:t>
            </w:r>
          </w:p>
        </w:tc>
        <w:tc>
          <w:p>
            <w:r>
              <w:rPr>
                <w:sz w:val="20"/>
              </w:rPr>
              <w:t xml:space="preserve">MEDIUM</w:t>
            </w:r>
          </w:p>
        </w:tc>
      </w:tr>
      <w:tr>
        <w:tc>
          <w:p>
            <w:r>
              <w:rPr>
                <w:sz w:val="20"/>
              </w:rPr>
              <w:t xml:space="preserve">OpenRouter</w:t>
            </w:r>
          </w:p>
        </w:tc>
        <w:tc>
          <w:p>
            <w:r>
              <w:rPr>
                <w:sz w:val="20"/>
              </w:rPr>
              <w:t xml:space="preserve">a16z/Menlo</w:t>
            </w:r>
          </w:p>
        </w:tc>
        <w:tc>
          <w:p>
            <w:r>
              <w:rPr>
                <w:sz w:val="20"/>
              </w:rPr>
              <w:t xml:space="preserve">~$5M</w:t>
            </w:r>
          </w:p>
        </w:tc>
        <w:tc>
          <w:p>
            <w:r>
              <w:rPr>
                <w:sz w:val="20"/>
              </w:rPr>
              <w:t xml:space="preserve">300+ models, 5M users</w:t>
            </w:r>
          </w:p>
        </w:tc>
        <w:tc>
          <w:p>
            <w:r>
              <w:rPr>
                <w:sz w:val="20"/>
              </w:rPr>
              <w:t xml:space="preserve">No fine-tuning/compliance</w:t>
            </w:r>
          </w:p>
        </w:tc>
        <w:tc>
          <w:p>
            <w:r>
              <w:rPr>
                <w:sz w:val="20"/>
              </w:rPr>
              <w:t xml:space="preserve">MEDIUM</w:t>
            </w:r>
          </w:p>
        </w:tc>
      </w:tr>
      <w:tr>
        <w:tc>
          <w:p>
            <w:r>
              <w:rPr>
                <w:sz w:val="20"/>
              </w:rPr>
              <w:t xml:space="preserve">Replicate</w:t>
            </w:r>
          </w:p>
        </w:tc>
        <w:tc>
          <w:p>
            <w:r>
              <w:rPr>
                <w:sz w:val="20"/>
              </w:rPr>
              <w:t xml:space="preserve">$100M+</w:t>
            </w:r>
          </w:p>
        </w:tc>
        <w:tc>
          <w:p>
            <w:r>
              <w:rPr>
                <w:sz w:val="20"/>
              </w:rPr>
              <w:t xml:space="preserve">~$50M</w:t>
            </w:r>
          </w:p>
        </w:tc>
        <w:tc>
          <w:p>
            <w:r>
              <w:rPr>
                <w:sz w:val="20"/>
              </w:rPr>
              <w:t xml:space="preserve">Image/video focus</w:t>
            </w:r>
          </w:p>
        </w:tc>
        <w:tc>
          <w:p>
            <w:r>
              <w:rPr>
                <w:sz w:val="20"/>
              </w:rPr>
              <w:t xml:space="preserve">Different segment</w:t>
            </w:r>
          </w:p>
        </w:tc>
        <w:tc>
          <w:p>
            <w:r>
              <w:rPr>
                <w:sz w:val="20"/>
              </w:rPr>
              <w:t xml:space="preserve">LOW</w:t>
            </w:r>
          </w:p>
        </w:tc>
      </w:tr>
    </w:tbl>
    <w:p>
      <w:r>
        <w:rPr>
          <w:sz w:val="22"/>
        </w:rPr>
        <w:t xml:space="preserve">Indirect competitors: OpenAI ($20B ARR), Anthropic ($14B ARR), cloud platforms (Bedrock, Vertex, Azure OpenAI). Adjacent: API gateways (Portkey, LiteLLM), observability (Helicone, Langfuse), frameworks (LangChain, LlamaIndex). Token Factory positioning: platform-first. Inference is table stakes; the platform layer is the moat. Brand essence: 'The Stripe of Open-Source AI Inference.'</w:t>
      </w:r>
    </w:p>
    <w:p>
      <w:pPr>
        <w:pStyle w:val="Heading2"/>
      </w:pPr>
      <w:r>
        <w:rPr>
          <w:b/>
          <w:sz w:val="26"/>
        </w:rPr>
        <w:t xml:space="preserve">0.4 Industry Structure &amp; Profitability</w:t>
      </w:r>
    </w:p>
    <w:p>
      <w:r>
        <w:rPr>
          <w:i/>
          <w:sz w:val="22"/>
        </w:rPr>
        <w:t xml:space="preserve">Reference: market_research/03_industry_structure_and_profitability.md</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p>
            <w:r>
              <w:rPr>
                <w:b/>
                <w:sz w:val="20"/>
              </w:rPr>
              <w:t xml:space="preserve">Force</w:t>
            </w:r>
          </w:p>
        </w:tc>
        <w:tc>
          <w:p>
            <w:r>
              <w:rPr>
                <w:b/>
                <w:sz w:val="20"/>
              </w:rPr>
              <w:t xml:space="preserve">Intensity</w:t>
            </w:r>
          </w:p>
        </w:tc>
        <w:tc>
          <w:p>
            <w:r>
              <w:rPr>
                <w:b/>
                <w:sz w:val="20"/>
              </w:rPr>
              <w:t xml:space="preserve">Key Driver</w:t>
            </w:r>
          </w:p>
        </w:tc>
        <w:tc>
          <w:p>
            <w:r>
              <w:rPr>
                <w:b/>
                <w:sz w:val="20"/>
              </w:rPr>
              <w:t xml:space="preserve">TF Response</w:t>
            </w:r>
          </w:p>
        </w:tc>
      </w:tr>
      <w:tr>
        <w:tc>
          <w:p>
            <w:r>
              <w:rPr>
                <w:sz w:val="20"/>
              </w:rPr>
              <w:t xml:space="preserve">Buyer Power</w:t>
            </w:r>
          </w:p>
        </w:tc>
        <w:tc>
          <w:p>
            <w:r>
              <w:rPr>
                <w:sz w:val="20"/>
              </w:rPr>
              <w:t xml:space="preserve">MOD-HIGH</w:t>
            </w:r>
          </w:p>
        </w:tc>
        <w:tc>
          <w:p>
            <w:r>
              <w:rPr>
                <w:sz w:val="20"/>
              </w:rPr>
              <w:t xml:space="preserve">Near-zero switching (OpenAI-compatible API)</w:t>
            </w:r>
          </w:p>
        </w:tc>
        <w:tc>
          <w:p>
            <w:r>
              <w:rPr>
                <w:sz w:val="20"/>
              </w:rPr>
              <w:t xml:space="preserve">Switching costs via fine-tuning, compliance</w:t>
            </w:r>
          </w:p>
        </w:tc>
      </w:tr>
      <w:tr>
        <w:tc>
          <w:p>
            <w:r>
              <w:rPr>
                <w:sz w:val="20"/>
              </w:rPr>
              <w:t xml:space="preserve">Supplier Power</w:t>
            </w:r>
          </w:p>
        </w:tc>
        <w:tc>
          <w:p>
            <w:r>
              <w:rPr>
                <w:sz w:val="20"/>
              </w:rPr>
              <w:t xml:space="preserve">HIGH</w:t>
            </w:r>
          </w:p>
        </w:tc>
        <w:tc>
          <w:p>
            <w:r>
              <w:rPr>
                <w:sz w:val="20"/>
              </w:rPr>
              <w:t xml:space="preserve">Nvidia GPU monopoly (60-70% COGS)</w:t>
            </w:r>
          </w:p>
        </w:tc>
        <w:tc>
          <w:p>
            <w:r>
              <w:rPr>
                <w:sz w:val="20"/>
              </w:rPr>
              <w:t xml:space="preserve">Tenstorrent, multi-cloud, AMD</w:t>
            </w:r>
          </w:p>
        </w:tc>
      </w:tr>
      <w:tr>
        <w:tc>
          <w:p>
            <w:r>
              <w:rPr>
                <w:sz w:val="20"/>
              </w:rPr>
              <w:t xml:space="preserve">Substitution</w:t>
            </w:r>
          </w:p>
        </w:tc>
        <w:tc>
          <w:p>
            <w:r>
              <w:rPr>
                <w:sz w:val="20"/>
              </w:rPr>
              <w:t xml:space="preserve">MODERATE</w:t>
            </w:r>
          </w:p>
        </w:tc>
        <w:tc>
          <w:p>
            <w:r>
              <w:rPr>
                <w:sz w:val="20"/>
              </w:rPr>
              <w:t xml:space="preserve">Self-hosting, proprietary APIs, edge</w:t>
            </w:r>
          </w:p>
        </w:tc>
        <w:tc>
          <w:p>
            <w:r>
              <w:rPr>
                <w:sz w:val="20"/>
              </w:rPr>
              <w:t xml:space="preserve">Platform value beyond inference</w:t>
            </w:r>
          </w:p>
        </w:tc>
      </w:tr>
      <w:tr>
        <w:tc>
          <w:p>
            <w:r>
              <w:rPr>
                <w:sz w:val="20"/>
              </w:rPr>
              <w:t xml:space="preserve">New Entrants</w:t>
            </w:r>
          </w:p>
        </w:tc>
        <w:tc>
          <w:p>
            <w:r>
              <w:rPr>
                <w:sz w:val="20"/>
              </w:rPr>
              <w:t xml:space="preserve">HIGH</w:t>
            </w:r>
          </w:p>
        </w:tc>
        <w:tc>
          <w:p>
            <w:r>
              <w:rPr>
                <w:sz w:val="20"/>
              </w:rPr>
              <w:t xml:space="preserve">Low barriers (vLLM + cloud)</w:t>
            </w:r>
          </w:p>
        </w:tc>
        <w:tc>
          <w:p>
            <w:r>
              <w:rPr>
                <w:sz w:val="20"/>
              </w:rPr>
              <w:t xml:space="preserve">IHC capital, brand, SOC 2</w:t>
            </w:r>
          </w:p>
        </w:tc>
      </w:tr>
      <w:tr>
        <w:tc>
          <w:p>
            <w:r>
              <w:rPr>
                <w:sz w:val="20"/>
              </w:rPr>
              <w:t xml:space="preserve">Rivalry</w:t>
            </w:r>
          </w:p>
        </w:tc>
        <w:tc>
          <w:p>
            <w:r>
              <w:rPr>
                <w:sz w:val="20"/>
              </w:rPr>
              <w:t xml:space="preserve">VERY HIGH</w:t>
            </w:r>
          </w:p>
        </w:tc>
        <w:tc>
          <w:p>
            <w:r>
              <w:rPr>
                <w:sz w:val="20"/>
              </w:rPr>
              <w:t xml:space="preserve">80% price decline, commodity market</w:t>
            </w:r>
          </w:p>
        </w:tc>
        <w:tc>
          <w:p>
            <w:r>
              <w:rPr>
                <w:sz w:val="20"/>
              </w:rPr>
              <w:t xml:space="preserve">Inference=acquisition, platform=monetization</w:t>
            </w:r>
          </w:p>
        </w:tc>
      </w:tr>
    </w:tbl>
    <w:p>
      <w:r>
        <w:rPr>
          <w:sz w:val="22"/>
        </w:rPr>
        <w:t xml:space="preserve">HHI ~1,200-1,500 (moderately concentrated). Market in Late Growth / Early Shakeout. Time-sensitive window to build position before consolidation to 3-5 platforms (2027-2028). Pure inference margins: 5-15%. Token Factory must monetize platform features, not just tokens.</w:t>
      </w:r>
    </w:p>
    <w:p>
      <w:pPr>
        <w:pStyle w:val="Heading2"/>
      </w:pPr>
      <w:r>
        <w:rPr>
          <w:b/>
          <w:sz w:val="26"/>
        </w:rPr>
        <w:t xml:space="preserve">0.5 Strategic Strengths &amp; Vulnerabilities</w:t>
      </w:r>
    </w:p>
    <w:p>
      <w:r>
        <w:rPr>
          <w:i/>
          <w:sz w:val="22"/>
        </w:rPr>
        <w:t xml:space="preserve">Reference: market_research/05_strategic_strengths_and_vulnerabilities.md</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r>
              <w:rPr>
                <w:b/>
                <w:sz w:val="20"/>
              </w:rPr>
              <w:t xml:space="preserve">Type</w:t>
            </w:r>
          </w:p>
        </w:tc>
        <w:tc>
          <w:p>
            <w:r>
              <w:rPr>
                <w:b/>
                <w:sz w:val="20"/>
              </w:rPr>
              <w:t xml:space="preserve">Factor</w:t>
            </w:r>
          </w:p>
        </w:tc>
        <w:tc>
          <w:p>
            <w:r>
              <w:rPr>
                <w:b/>
                <w:sz w:val="20"/>
              </w:rPr>
              <w:t xml:space="preserve">Assessment</w:t>
            </w:r>
          </w:p>
        </w:tc>
      </w:tr>
      <w:tr>
        <w:tc>
          <w:p>
            <w:r>
              <w:rPr>
                <w:sz w:val="20"/>
              </w:rPr>
              <w:t xml:space="preserve">Strength</w:t>
            </w:r>
          </w:p>
        </w:tc>
        <w:tc>
          <w:p>
            <w:r>
              <w:rPr>
                <w:sz w:val="20"/>
              </w:rPr>
              <w:t xml:space="preserve">13-section platform vision</w:t>
            </w:r>
          </w:p>
        </w:tc>
        <w:tc>
          <w:p>
            <w:r>
              <w:rPr>
                <w:sz w:val="20"/>
              </w:rPr>
              <w:t xml:space="preserve">Deepest cost intelligence, fine-tuning, compliance in market</w:t>
            </w:r>
          </w:p>
        </w:tc>
      </w:tr>
      <w:tr>
        <w:tc>
          <w:p>
            <w:r>
              <w:rPr>
                <w:sz w:val="20"/>
              </w:rPr>
              <w:t xml:space="preserve">Strength</w:t>
            </w:r>
          </w:p>
        </w:tc>
        <w:tc>
          <w:p>
            <w:r>
              <w:rPr>
                <w:sz w:val="20"/>
              </w:rPr>
              <w:t xml:space="preserve">IHC Group ($238B, 422 subs)</w:t>
            </w:r>
          </w:p>
        </w:tc>
        <w:tc>
          <w:p>
            <w:r>
              <w:rPr>
                <w:sz w:val="20"/>
              </w:rPr>
              <w:t xml:space="preserve">Capital + customers + credibility vs all competitors</w:t>
            </w:r>
          </w:p>
        </w:tc>
      </w:tr>
      <w:tr>
        <w:tc>
          <w:p>
            <w:r>
              <w:rPr>
                <w:sz w:val="20"/>
              </w:rPr>
              <w:t xml:space="preserve">Strength</w:t>
            </w:r>
          </w:p>
        </w:tc>
        <w:tc>
          <w:p>
            <w:r>
              <w:rPr>
                <w:sz w:val="20"/>
              </w:rPr>
              <w:t xml:space="preserve">OpenAI-compatible API</w:t>
            </w:r>
          </w:p>
        </w:tc>
        <w:tc>
          <w:p>
            <w:r>
              <w:rPr>
                <w:sz w:val="20"/>
              </w:rPr>
              <w:t xml:space="preserve">One-line migration from any competitor</w:t>
            </w:r>
          </w:p>
        </w:tc>
      </w:tr>
      <w:tr>
        <w:tc>
          <w:p>
            <w:r>
              <w:rPr>
                <w:sz w:val="20"/>
              </w:rPr>
              <w:t xml:space="preserve">Strength</w:t>
            </w:r>
          </w:p>
        </w:tc>
        <w:tc>
          <w:p>
            <w:r>
              <w:rPr>
                <w:sz w:val="20"/>
              </w:rPr>
              <w:t xml:space="preserve">Compliance-first architecture</w:t>
            </w:r>
          </w:p>
        </w:tc>
        <w:tc>
          <w:p>
            <w:r>
              <w:rPr>
                <w:sz w:val="20"/>
              </w:rPr>
              <w:t xml:space="preserve">ZDR, PII redaction, audit trails designed in</w:t>
            </w:r>
          </w:p>
        </w:tc>
      </w:tr>
      <w:tr>
        <w:tc>
          <w:p>
            <w:r>
              <w:rPr>
                <w:sz w:val="20"/>
              </w:rPr>
              <w:t xml:space="preserve">Strength</w:t>
            </w:r>
          </w:p>
        </w:tc>
        <w:tc>
          <w:p>
            <w:r>
              <w:rPr>
                <w:sz w:val="20"/>
              </w:rPr>
              <w:t xml:space="preserve">Fine-tuning with A/B testing</w:t>
            </w:r>
          </w:p>
        </w:tc>
        <w:tc>
          <w:p>
            <w:r>
              <w:rPr>
                <w:sz w:val="20"/>
              </w:rPr>
              <w:t xml:space="preserve">Strongest switching cost mechanism</w:t>
            </w:r>
          </w:p>
        </w:tc>
      </w:tr>
      <w:tr>
        <w:tc>
          <w:p>
            <w:r>
              <w:rPr>
                <w:sz w:val="20"/>
              </w:rPr>
              <w:t xml:space="preserve">Strength</w:t>
            </w:r>
          </w:p>
        </w:tc>
        <w:tc>
          <w:p>
            <w:r>
              <w:rPr>
                <w:sz w:val="20"/>
              </w:rPr>
              <w:t xml:space="preserve">Tenstorrent partnership</w:t>
            </w:r>
          </w:p>
        </w:tc>
        <w:tc>
          <w:p>
            <w:r>
              <w:rPr>
                <w:sz w:val="20"/>
              </w:rPr>
              <w:t xml:space="preserve">Only platform with chip-level hardware partner</w:t>
            </w:r>
          </w:p>
        </w:tc>
      </w:tr>
      <w:tr>
        <w:tc>
          <w:p>
            <w:r>
              <w:rPr>
                <w:sz w:val="20"/>
              </w:rPr>
              <w:t xml:space="preserve">Weakness</w:t>
            </w:r>
          </w:p>
        </w:tc>
        <w:tc>
          <w:p>
            <w:r>
              <w:rPr>
                <w:sz w:val="20"/>
              </w:rPr>
              <w:t xml:space="preserve">Late entry (2-3yr behind)</w:t>
            </w:r>
          </w:p>
        </w:tc>
        <w:tc>
          <w:p>
            <w:r>
              <w:rPr>
                <w:sz w:val="20"/>
              </w:rPr>
              <w:t xml:space="preserve">Must take customers from established providers</w:t>
            </w:r>
          </w:p>
        </w:tc>
      </w:tr>
      <w:tr>
        <w:tc>
          <w:p>
            <w:r>
              <w:rPr>
                <w:sz w:val="20"/>
              </w:rPr>
              <w:t xml:space="preserve">Weakness</w:t>
            </w:r>
          </w:p>
        </w:tc>
        <w:tc>
          <w:p>
            <w:r>
              <w:rPr>
                <w:sz w:val="20"/>
              </w:rPr>
              <w:t xml:space="preserve">Zero developer brand</w:t>
            </w:r>
          </w:p>
        </w:tc>
        <w:tc>
          <w:p>
            <w:r>
              <w:rPr>
                <w:sz w:val="20"/>
              </w:rPr>
              <w:t xml:space="preserve">Mitigated by IHC brand in ME enterprise</w:t>
            </w:r>
          </w:p>
        </w:tc>
      </w:tr>
      <w:tr>
        <w:tc>
          <w:p>
            <w:r>
              <w:rPr>
                <w:sz w:val="20"/>
              </w:rPr>
              <w:t xml:space="preserve">Weakness</w:t>
            </w:r>
          </w:p>
        </w:tc>
        <w:tc>
          <w:p>
            <w:r>
              <w:rPr>
                <w:sz w:val="20"/>
              </w:rPr>
              <w:t xml:space="preserve">Thin margins (5-15%)</w:t>
            </w:r>
          </w:p>
        </w:tc>
        <w:tc>
          <w:p>
            <w:r>
              <w:rPr>
                <w:sz w:val="20"/>
              </w:rPr>
              <w:t xml:space="preserve">Must monetize platform, not just tokens</w:t>
            </w:r>
          </w:p>
        </w:tc>
      </w:tr>
      <w:tr>
        <w:tc>
          <w:p>
            <w:r>
              <w:rPr>
                <w:sz w:val="20"/>
              </w:rPr>
              <w:t xml:space="preserve">Opportunity</w:t>
            </w:r>
          </w:p>
        </w:tc>
        <w:tc>
          <w:p>
            <w:r>
              <w:rPr>
                <w:sz w:val="20"/>
              </w:rPr>
              <w:t xml:space="preserve">Enterprise governance gap</w:t>
            </w:r>
          </w:p>
        </w:tc>
        <w:tc>
          <w:p>
            <w:r>
              <w:rPr>
                <w:sz w:val="20"/>
              </w:rPr>
              <w:t xml:space="preserve">AI governance market $2.5B by 2027</w:t>
            </w:r>
          </w:p>
        </w:tc>
      </w:tr>
      <w:tr>
        <w:tc>
          <w:p>
            <w:r>
              <w:rPr>
                <w:sz w:val="20"/>
              </w:rPr>
              <w:t xml:space="preserve">Opportunity</w:t>
            </w:r>
          </w:p>
        </w:tc>
        <w:tc>
          <w:p>
            <w:r>
              <w:rPr>
                <w:sz w:val="20"/>
              </w:rPr>
              <w:t xml:space="preserve">EU AI Act (Aug 2026)</w:t>
            </w:r>
          </w:p>
        </w:tc>
        <w:tc>
          <w:p>
            <w:r>
              <w:rPr>
                <w:sz w:val="20"/>
              </w:rPr>
              <w:t xml:space="preserve">Compliance-first = switching catalyst</w:t>
            </w:r>
          </w:p>
        </w:tc>
      </w:tr>
      <w:tr>
        <w:tc>
          <w:p>
            <w:r>
              <w:rPr>
                <w:sz w:val="20"/>
              </w:rPr>
              <w:t xml:space="preserve">Opportunity</w:t>
            </w:r>
          </w:p>
        </w:tc>
        <w:tc>
          <w:p>
            <w:r>
              <w:rPr>
                <w:sz w:val="20"/>
              </w:rPr>
              <w:t xml:space="preserve">ME sovereign AI ($10B+)</w:t>
            </w:r>
          </w:p>
        </w:tc>
        <w:tc>
          <w:p>
            <w:r>
              <w:rPr>
                <w:sz w:val="20"/>
              </w:rPr>
              <w:t xml:space="preserve">Uniquely positioned via Infinia/IHC</w:t>
            </w:r>
          </w:p>
        </w:tc>
      </w:tr>
      <w:tr>
        <w:tc>
          <w:p>
            <w:r>
              <w:rPr>
                <w:sz w:val="20"/>
              </w:rPr>
              <w:t xml:space="preserve">Threat</w:t>
            </w:r>
          </w:p>
        </w:tc>
        <w:tc>
          <w:p>
            <w:r>
              <w:rPr>
                <w:sz w:val="20"/>
              </w:rPr>
              <w:t xml:space="preserve">Incumbents adding features</w:t>
            </w:r>
          </w:p>
        </w:tc>
        <w:tc>
          <w:p>
            <w:r>
              <w:rPr>
                <w:sz w:val="20"/>
              </w:rPr>
              <w:t xml:space="preserve">Different DNA (infra vs platform) buffers</w:t>
            </w:r>
          </w:p>
        </w:tc>
      </w:tr>
      <w:tr>
        <w:tc>
          <w:p>
            <w:r>
              <w:rPr>
                <w:sz w:val="20"/>
              </w:rPr>
              <w:t xml:space="preserve">Threat</w:t>
            </w:r>
          </w:p>
        </w:tc>
        <w:tc>
          <w:p>
            <w:r>
              <w:rPr>
                <w:sz w:val="20"/>
              </w:rPr>
              <w:t xml:space="preserve">Continued price war</w:t>
            </w:r>
          </w:p>
        </w:tc>
        <w:tc>
          <w:p>
            <w:r>
              <w:rPr>
                <w:sz w:val="20"/>
              </w:rPr>
              <w:t xml:space="preserve">Platform revenue must decouple from tokens</w:t>
            </w:r>
          </w:p>
        </w:tc>
      </w:tr>
    </w:tbl>
    <w:p>
      <w:pPr>
        <w:pStyle w:val="Heading2"/>
      </w:pPr>
      <w:r>
        <w:rPr>
          <w:b/>
          <w:sz w:val="26"/>
        </w:rPr>
        <w:t xml:space="preserve">0.6 Customer Segments &amp; Targeting</w:t>
      </w:r>
    </w:p>
    <w:p>
      <w:r>
        <w:rPr>
          <w:i/>
          <w:sz w:val="22"/>
        </w:rPr>
        <w:t xml:space="preserve">References: market_research/06 and 07</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p>
            <w:r>
              <w:rPr>
                <w:b/>
                <w:sz w:val="20"/>
              </w:rPr>
              <w:t xml:space="preserve">Segment</w:t>
            </w:r>
          </w:p>
        </w:tc>
        <w:tc>
          <w:p>
            <w:r>
              <w:rPr>
                <w:b/>
                <w:sz w:val="20"/>
              </w:rPr>
              <w:t xml:space="preserve">Size</w:t>
            </w:r>
          </w:p>
        </w:tc>
        <w:tc>
          <w:p>
            <w:r>
              <w:rPr>
                <w:b/>
                <w:sz w:val="20"/>
              </w:rPr>
              <w:t xml:space="preserve">Monthly Spend</w:t>
            </w:r>
          </w:p>
        </w:tc>
        <w:tc>
          <w:p>
            <w:r>
              <w:rPr>
                <w:b/>
                <w:sz w:val="20"/>
              </w:rPr>
              <w:t xml:space="preserve">Priority</w:t>
            </w:r>
          </w:p>
        </w:tc>
        <w:tc>
          <w:p>
            <w:r>
              <w:rPr>
                <w:b/>
                <w:sz w:val="20"/>
              </w:rPr>
              <w:t xml:space="preserve">Rationale</w:t>
            </w:r>
          </w:p>
        </w:tc>
      </w:tr>
      <w:tr>
        <w:tc>
          <w:p>
            <w:r>
              <w:rPr>
                <w:sz w:val="20"/>
              </w:rPr>
              <w:t xml:space="preserve">IHC Group Internal</w:t>
            </w:r>
          </w:p>
        </w:tc>
        <w:tc>
          <w:p>
            <w:r>
              <w:rPr>
                <w:sz w:val="20"/>
              </w:rPr>
              <w:t xml:space="preserve">50-100 subs</w:t>
            </w:r>
          </w:p>
        </w:tc>
        <w:tc>
          <w:p>
            <w:r>
              <w:rPr>
                <w:sz w:val="20"/>
              </w:rPr>
              <w:t xml:space="preserve">$5K-500K</w:t>
            </w:r>
          </w:p>
        </w:tc>
        <w:tc>
          <w:p>
            <w:r>
              <w:rPr>
                <w:sz w:val="20"/>
              </w:rPr>
              <w:t xml:space="preserve">P0 Immediate</w:t>
            </w:r>
          </w:p>
        </w:tc>
        <w:tc>
          <w:p>
            <w:r>
              <w:rPr>
                <w:sz w:val="20"/>
              </w:rPr>
              <w:t xml:space="preserve">Zero CAC, 2-4wk procurement</w:t>
            </w:r>
          </w:p>
        </w:tc>
      </w:tr>
      <w:tr>
        <w:tc>
          <w:p>
            <w:r>
              <w:rPr>
                <w:sz w:val="20"/>
              </w:rPr>
              <w:t xml:space="preserve">Startup Builders</w:t>
            </w:r>
          </w:p>
        </w:tc>
        <w:tc>
          <w:p>
            <w:r>
              <w:rPr>
                <w:sz w:val="20"/>
              </w:rPr>
              <w:t xml:space="preserve">~500K teams</w:t>
            </w:r>
          </w:p>
        </w:tc>
        <w:tc>
          <w:p>
            <w:r>
              <w:rPr>
                <w:sz w:val="20"/>
              </w:rPr>
              <w:t xml:space="preserve">$50-2K</w:t>
            </w:r>
          </w:p>
        </w:tc>
        <w:tc>
          <w:p>
            <w:r>
              <w:rPr>
                <w:sz w:val="20"/>
              </w:rPr>
              <w:t xml:space="preserve">P1 Primary</w:t>
            </w:r>
          </w:p>
        </w:tc>
        <w:tc>
          <w:p>
            <w:r>
              <w:rPr>
                <w:sz w:val="20"/>
              </w:rPr>
              <w:t xml:space="preserve">Fastest adoption, vocal advocates</w:t>
            </w:r>
          </w:p>
        </w:tc>
      </w:tr>
      <w:tr>
        <w:tc>
          <w:p>
            <w:r>
              <w:rPr>
                <w:sz w:val="20"/>
              </w:rPr>
              <w:t xml:space="preserve">AI-Native</w:t>
            </w:r>
          </w:p>
        </w:tc>
        <w:tc>
          <w:p>
            <w:r>
              <w:rPr>
                <w:sz w:val="20"/>
              </w:rPr>
              <w:t xml:space="preserve">~5K orgs</w:t>
            </w:r>
          </w:p>
        </w:tc>
        <w:tc>
          <w:p>
            <w:r>
              <w:rPr>
                <w:sz w:val="20"/>
              </w:rPr>
              <w:t xml:space="preserve">$10K-1M+</w:t>
            </w:r>
          </w:p>
        </w:tc>
        <w:tc>
          <w:p>
            <w:r>
              <w:rPr>
                <w:sz w:val="20"/>
              </w:rPr>
              <w:t xml:space="preserve">P1 Primary</w:t>
            </w:r>
          </w:p>
        </w:tc>
        <w:tc>
          <w:p>
            <w:r>
              <w:rPr>
                <w:sz w:val="20"/>
              </w:rPr>
              <w:t xml:space="preserve">Highest sophistication</w:t>
            </w:r>
          </w:p>
        </w:tc>
      </w:tr>
      <w:tr>
        <w:tc>
          <w:p>
            <w:r>
              <w:rPr>
                <w:sz w:val="20"/>
              </w:rPr>
              <w:t xml:space="preserve">Mid-Market</w:t>
            </w:r>
          </w:p>
        </w:tc>
        <w:tc>
          <w:p>
            <w:r>
              <w:rPr>
                <w:sz w:val="20"/>
              </w:rPr>
              <w:t xml:space="preserve">~80K orgs</w:t>
            </w:r>
          </w:p>
        </w:tc>
        <w:tc>
          <w:p>
            <w:r>
              <w:rPr>
                <w:sz w:val="20"/>
              </w:rPr>
              <w:t xml:space="preserve">$2K-25K</w:t>
            </w:r>
          </w:p>
        </w:tc>
        <w:tc>
          <w:p>
            <w:r>
              <w:rPr>
                <w:sz w:val="20"/>
              </w:rPr>
              <w:t xml:space="preserve">P2 Secondary</w:t>
            </w:r>
          </w:p>
        </w:tc>
        <w:tc>
          <w:p>
            <w:r>
              <w:rPr>
                <w:sz w:val="20"/>
              </w:rPr>
              <w:t xml:space="preserve">Need cost allocation, RBAC</w:t>
            </w:r>
          </w:p>
        </w:tc>
      </w:tr>
      <w:tr>
        <w:tc>
          <w:p>
            <w:r>
              <w:rPr>
                <w:sz w:val="20"/>
              </w:rPr>
              <w:t xml:space="preserve">Enterprise</w:t>
            </w:r>
          </w:p>
        </w:tc>
        <w:tc>
          <w:p>
            <w:r>
              <w:rPr>
                <w:sz w:val="20"/>
              </w:rPr>
              <w:t xml:space="preserve">~15K orgs</w:t>
            </w:r>
          </w:p>
        </w:tc>
        <w:tc>
          <w:p>
            <w:r>
              <w:rPr>
                <w:sz w:val="20"/>
              </w:rPr>
              <w:t xml:space="preserve">$25K-500K</w:t>
            </w:r>
          </w:p>
        </w:tc>
        <w:tc>
          <w:p>
            <w:r>
              <w:rPr>
                <w:sz w:val="20"/>
              </w:rPr>
              <w:t xml:space="preserve">P3 Tertiary</w:t>
            </w:r>
          </w:p>
        </w:tc>
        <w:tc>
          <w:p>
            <w:r>
              <w:rPr>
                <w:sz w:val="20"/>
              </w:rPr>
              <w:t xml:space="preserve">Highest LTV, longest cycle</w:t>
            </w:r>
          </w:p>
        </w:tc>
      </w:tr>
      <w:tr>
        <w:tc>
          <w:p>
            <w:r>
              <w:rPr>
                <w:sz w:val="20"/>
              </w:rPr>
              <w:t xml:space="preserve">Regulated</w:t>
            </w:r>
          </w:p>
        </w:tc>
        <w:tc>
          <w:p>
            <w:r>
              <w:rPr>
                <w:sz w:val="20"/>
              </w:rPr>
              <w:t xml:space="preserve">~10K orgs</w:t>
            </w:r>
          </w:p>
        </w:tc>
        <w:tc>
          <w:p>
            <w:r>
              <w:rPr>
                <w:sz w:val="20"/>
              </w:rPr>
              <w:t xml:space="preserve">$50K-2M+</w:t>
            </w:r>
          </w:p>
        </w:tc>
        <w:tc>
          <w:p>
            <w:r>
              <w:rPr>
                <w:sz w:val="20"/>
              </w:rPr>
              <w:t xml:space="preserve">P3 Tertiary</w:t>
            </w:r>
          </w:p>
        </w:tc>
        <w:tc>
          <w:p>
            <w:r>
              <w:rPr>
                <w:sz w:val="20"/>
              </w:rPr>
              <w:t xml:space="preserve">Compliance-first required</w:t>
            </w:r>
          </w:p>
        </w:tc>
      </w:tr>
      <w:tr>
        <w:tc>
          <w:p>
            <w:r>
              <w:rPr>
                <w:sz w:val="20"/>
              </w:rPr>
              <w:t xml:space="preserve">Indie Hackers</w:t>
            </w:r>
          </w:p>
        </w:tc>
        <w:tc>
          <w:p>
            <w:r>
              <w:rPr>
                <w:sz w:val="20"/>
              </w:rPr>
              <w:t xml:space="preserve">~8M devs</w:t>
            </w:r>
          </w:p>
        </w:tc>
        <w:tc>
          <w:p>
            <w:r>
              <w:rPr>
                <w:sz w:val="20"/>
              </w:rPr>
              <w:t xml:space="preserve">$0-50</w:t>
            </w:r>
          </w:p>
        </w:tc>
        <w:tc>
          <w:p>
            <w:r>
              <w:rPr>
                <w:sz w:val="20"/>
              </w:rPr>
              <w:t xml:space="preserve">Funnel Top</w:t>
            </w:r>
          </w:p>
        </w:tc>
        <w:tc>
          <w:p>
            <w:r>
              <w:rPr>
                <w:sz w:val="20"/>
              </w:rPr>
              <w:t xml:space="preserve">Brand building, community</w:t>
            </w:r>
          </w:p>
        </w:tc>
      </w:tr>
    </w:tbl>
    <w:p>
      <w:pPr>
        <w:pStyle w:val="Heading3"/>
      </w:pPr>
      <w:r>
        <w:rPr>
          <w:b/>
          <w:sz w:val="24"/>
        </w:rPr>
        <w:t xml:space="preserve">Revenue Projections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p>
            <w:r>
              <w:rPr>
                <w:b/>
                <w:sz w:val="20"/>
              </w:rPr>
              <w:t xml:space="preserve">Metric</w:t>
            </w:r>
          </w:p>
        </w:tc>
        <w:tc>
          <w:p>
            <w:r>
              <w:rPr>
                <w:b/>
                <w:sz w:val="20"/>
              </w:rPr>
              <w:t xml:space="preserve">Year 1</w:t>
            </w:r>
          </w:p>
        </w:tc>
        <w:tc>
          <w:p>
            <w:r>
              <w:rPr>
                <w:b/>
                <w:sz w:val="20"/>
              </w:rPr>
              <w:t xml:space="preserve">Year 2</w:t>
            </w:r>
          </w:p>
        </w:tc>
        <w:tc>
          <w:p>
            <w:r>
              <w:rPr>
                <w:b/>
                <w:sz w:val="20"/>
              </w:rPr>
              <w:t xml:space="preserve">Year 3</w:t>
            </w:r>
          </w:p>
        </w:tc>
      </w:tr>
      <w:tr>
        <w:tc>
          <w:p>
            <w:r>
              <w:rPr>
                <w:sz w:val="20"/>
              </w:rPr>
              <w:t xml:space="preserve">IHC subsidiary accounts</w:t>
            </w:r>
          </w:p>
        </w:tc>
        <w:tc>
          <w:p>
            <w:r>
              <w:rPr>
                <w:sz w:val="20"/>
              </w:rPr>
              <w:t xml:space="preserve">20</w:t>
            </w:r>
          </w:p>
        </w:tc>
        <w:tc>
          <w:p>
            <w:r>
              <w:rPr>
                <w:sz w:val="20"/>
              </w:rPr>
              <w:t xml:space="preserve">60</w:t>
            </w:r>
          </w:p>
        </w:tc>
        <w:tc>
          <w:p>
            <w:r>
              <w:rPr>
                <w:sz w:val="20"/>
              </w:rPr>
              <w:t xml:space="preserve">150</w:t>
            </w:r>
          </w:p>
        </w:tc>
      </w:tr>
      <w:tr>
        <w:tc>
          <w:p>
            <w:r>
              <w:rPr>
                <w:sz w:val="20"/>
              </w:rPr>
              <w:t xml:space="preserve">External registered developers</w:t>
            </w:r>
          </w:p>
        </w:tc>
        <w:tc>
          <w:p>
            <w:r>
              <w:rPr>
                <w:sz w:val="20"/>
              </w:rPr>
              <w:t xml:space="preserve">50,000</w:t>
            </w:r>
          </w:p>
        </w:tc>
        <w:tc>
          <w:p>
            <w:r>
              <w:rPr>
                <w:sz w:val="20"/>
              </w:rPr>
              <w:t xml:space="preserve">200,000</w:t>
            </w:r>
          </w:p>
        </w:tc>
        <w:tc>
          <w:p>
            <w:r>
              <w:rPr>
                <w:sz w:val="20"/>
              </w:rPr>
              <w:t xml:space="preserve">500,000</w:t>
            </w:r>
          </w:p>
        </w:tc>
      </w:tr>
      <w:tr>
        <w:tc>
          <w:p>
            <w:r>
              <w:rPr>
                <w:sz w:val="20"/>
              </w:rPr>
              <w:t xml:space="preserve">External paying accounts</w:t>
            </w:r>
          </w:p>
        </w:tc>
        <w:tc>
          <w:p>
            <w:r>
              <w:rPr>
                <w:sz w:val="20"/>
              </w:rPr>
              <w:t xml:space="preserve">5,000</w:t>
            </w:r>
          </w:p>
        </w:tc>
        <w:tc>
          <w:p>
            <w:r>
              <w:rPr>
                <w:sz w:val="20"/>
              </w:rPr>
              <w:t xml:space="preserve">15,000</w:t>
            </w:r>
          </w:p>
        </w:tc>
        <w:tc>
          <w:p>
            <w:r>
              <w:rPr>
                <w:sz w:val="20"/>
              </w:rPr>
              <w:t xml:space="preserve">40,000</w:t>
            </w:r>
          </w:p>
        </w:tc>
      </w:tr>
      <w:tr>
        <w:tc>
          <w:p>
            <w:r>
              <w:rPr>
                <w:sz w:val="20"/>
              </w:rPr>
              <w:t xml:space="preserve">IHC Group revenue</w:t>
            </w:r>
          </w:p>
        </w:tc>
        <w:tc>
          <w:p>
            <w:r>
              <w:rPr>
                <w:sz w:val="20"/>
              </w:rPr>
              <w:t xml:space="preserve">$2.4M</w:t>
            </w:r>
          </w:p>
        </w:tc>
        <w:tc>
          <w:p>
            <w:r>
              <w:rPr>
                <w:sz w:val="20"/>
              </w:rPr>
              <w:t xml:space="preserve">$10.8M</w:t>
            </w:r>
          </w:p>
        </w:tc>
        <w:tc>
          <w:p>
            <w:r>
              <w:rPr>
                <w:sz w:val="20"/>
              </w:rPr>
              <w:t xml:space="preserve">$27M</w:t>
            </w:r>
          </w:p>
        </w:tc>
      </w:tr>
      <w:tr>
        <w:tc>
          <w:p>
            <w:r>
              <w:rPr>
                <w:sz w:val="20"/>
              </w:rPr>
              <w:t xml:space="preserve">External revenue</w:t>
            </w:r>
          </w:p>
        </w:tc>
        <w:tc>
          <w:p>
            <w:r>
              <w:rPr>
                <w:sz w:val="20"/>
              </w:rPr>
              <w:t xml:space="preserve">$16.5M</w:t>
            </w:r>
          </w:p>
        </w:tc>
        <w:tc>
          <w:p>
            <w:r>
              <w:rPr>
                <w:sz w:val="20"/>
              </w:rPr>
              <w:t xml:space="preserve">$110M</w:t>
            </w:r>
          </w:p>
        </w:tc>
        <w:tc>
          <w:p>
            <w:r>
              <w:rPr>
                <w:sz w:val="20"/>
              </w:rPr>
              <w:t xml:space="preserve">$350M</w:t>
            </w:r>
          </w:p>
        </w:tc>
      </w:tr>
      <w:tr>
        <w:tc>
          <w:p>
            <w:r>
              <w:rPr>
                <w:sz w:val="20"/>
              </w:rPr>
              <w:t xml:space="preserve">Total ARR</w:t>
            </w:r>
          </w:p>
        </w:tc>
        <w:tc>
          <w:p>
            <w:r>
              <w:rPr>
                <w:sz w:val="20"/>
              </w:rPr>
              <w:t xml:space="preserve">$18.9M</w:t>
            </w:r>
          </w:p>
        </w:tc>
        <w:tc>
          <w:p>
            <w:r>
              <w:rPr>
                <w:sz w:val="20"/>
              </w:rPr>
              <w:t xml:space="preserve">$120.8M</w:t>
            </w:r>
          </w:p>
        </w:tc>
        <w:tc>
          <w:p>
            <w:r>
              <w:rPr>
                <w:sz w:val="20"/>
              </w:rPr>
              <w:t xml:space="preserve">$377M</w:t>
            </w:r>
          </w:p>
        </w:tc>
      </w:tr>
    </w:tbl>
    <w:p>
      <w:pPr>
        <w:pStyle w:val="Heading2"/>
      </w:pPr>
      <w:r>
        <w:rPr>
          <w:b/>
          <w:sz w:val="26"/>
        </w:rPr>
        <w:t xml:space="preserve">0.7 Brand Positioning &amp; Differentiation</w:t>
      </w:r>
    </w:p>
    <w:p>
      <w:r>
        <w:rPr>
          <w:i/>
          <w:sz w:val="22"/>
        </w:rPr>
        <w:t xml:space="preserve">Reference: market_research/08_brand_positioning_and_differentiation.md</w:t>
      </w:r>
    </w:p>
    <w:p>
      <w:r>
        <w:rPr>
          <w:sz w:val="22"/>
        </w:rPr>
        <w:t xml:space="preserve">Positioning: FOR developers and AI-first enterprises needing production-grade open-source LLM access with cost predictability, governance, and compliance — TOKEN FACTORY IS the inference platform by Infinia Technologies (IHC Group) providing LLaMA, Mistral, DeepSeek, and 200+ models with enterprise cost intelligence, managed fine-tuning, and built-in compliance. UNLIKE Together AI (thin governance), OpenRouter (no fine-tuning/compliance), or Groq (limited models) — TOKEN FACTORY combines competitive speed with a full platform, FinOps controls, lifecycle fine-tuning, and audit-ready compliance backed by a $238B conglomerate.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r>
              <w:rPr>
                <w:b/>
                <w:sz w:val="20"/>
              </w:rPr>
              <w:t xml:space="preserve">Point of Difference</w:t>
            </w:r>
          </w:p>
        </w:tc>
        <w:tc>
          <w:p>
            <w:r>
              <w:rPr>
                <w:b/>
                <w:sz w:val="20"/>
              </w:rPr>
              <w:t xml:space="preserve">Description</w:t>
            </w:r>
          </w:p>
        </w:tc>
        <w:tc>
          <w:p>
            <w:r>
              <w:rPr>
                <w:b/>
                <w:sz w:val="20"/>
              </w:rPr>
              <w:t xml:space="preserve">Gap</w:t>
            </w:r>
          </w:p>
        </w:tc>
      </w:tr>
      <w:tr>
        <w:tc>
          <w:p>
            <w:r>
              <w:rPr>
                <w:sz w:val="20"/>
              </w:rPr>
              <w:t xml:space="preserve">1. Cost Intelligence</w:t>
            </w:r>
          </w:p>
        </w:tc>
        <w:tc>
          <w:p>
            <w:r>
              <w:rPr>
                <w:sz w:val="20"/>
              </w:rPr>
              <w:t xml:space="preserve">Per-key allocation, projections, anomaly detection</w:t>
            </w:r>
          </w:p>
        </w:tc>
        <w:tc>
          <w:p>
            <w:r>
              <w:rPr>
                <w:sz w:val="20"/>
              </w:rPr>
              <w:t xml:space="preserve">No competitor offers this</w:t>
            </w:r>
          </w:p>
        </w:tc>
      </w:tr>
      <w:tr>
        <w:tc>
          <w:p>
            <w:r>
              <w:rPr>
                <w:sz w:val="20"/>
              </w:rPr>
              <w:t xml:space="preserve">2. Key Management</w:t>
            </w:r>
          </w:p>
        </w:tc>
        <w:tc>
          <w:p>
            <w:r>
              <w:rPr>
                <w:sz w:val="20"/>
              </w:rPr>
              <w:t xml:space="preserve">Model restrictions, spend caps, IP allowlisting, rotation</w:t>
            </w:r>
          </w:p>
        </w:tc>
        <w:tc>
          <w:p>
            <w:r>
              <w:rPr>
                <w:sz w:val="20"/>
              </w:rPr>
              <w:t xml:space="preserve">Unmatched granularity</w:t>
            </w:r>
          </w:p>
        </w:tc>
      </w:tr>
      <w:tr>
        <w:tc>
          <w:p>
            <w:r>
              <w:rPr>
                <w:sz w:val="20"/>
              </w:rPr>
              <w:t xml:space="preserve">3. Fine-Tuning Lifecycle</w:t>
            </w:r>
          </w:p>
        </w:tc>
        <w:tc>
          <w:p>
            <w:r>
              <w:rPr>
                <w:sz w:val="20"/>
              </w:rPr>
              <w:t xml:space="preserve">Versioning, A/B testing, one-click rollback</w:t>
            </w:r>
          </w:p>
        </w:tc>
        <w:tc>
          <w:p>
            <w:r>
              <w:rPr>
                <w:sz w:val="20"/>
              </w:rPr>
              <w:t xml:space="preserve">Competitors: basic train-only</w:t>
            </w:r>
          </w:p>
        </w:tc>
      </w:tr>
      <w:tr>
        <w:tc>
          <w:p>
            <w:r>
              <w:rPr>
                <w:sz w:val="20"/>
              </w:rPr>
              <w:t xml:space="preserve">4. Developer Experience</w:t>
            </w:r>
          </w:p>
        </w:tc>
        <w:tc>
          <w:p>
            <w:r>
              <w:rPr>
                <w:sz w:val="20"/>
              </w:rPr>
              <w:t xml:space="preserve">Blind comparison, code export, forking, replay</w:t>
            </w:r>
          </w:p>
        </w:tc>
        <w:tc>
          <w:p>
            <w:r>
              <w:rPr>
                <w:sz w:val="20"/>
              </w:rPr>
              <w:t xml:space="preserve">Unique features</w:t>
            </w:r>
          </w:p>
        </w:tc>
      </w:tr>
      <w:tr>
        <w:tc>
          <w:p>
            <w:r>
              <w:rPr>
                <w:sz w:val="20"/>
              </w:rPr>
              <w:t xml:space="preserve">5. Compliance</w:t>
            </w:r>
          </w:p>
        </w:tc>
        <w:tc>
          <w:p>
            <w:r>
              <w:rPr>
                <w:sz w:val="20"/>
              </w:rPr>
              <w:t xml:space="preserve">ZDR, PII redaction, 7yr audit trails, data residency</w:t>
            </w:r>
          </w:p>
        </w:tc>
        <w:tc>
          <w:p>
            <w:r>
              <w:rPr>
                <w:sz w:val="20"/>
              </w:rPr>
              <w:t xml:space="preserve">Most lack depth</w:t>
            </w:r>
          </w:p>
        </w:tc>
      </w:tr>
      <w:tr>
        <w:tc>
          <w:p>
            <w:r>
              <w:rPr>
                <w:sz w:val="20"/>
              </w:rPr>
              <w:t xml:space="preserve">6. IHC Ecosystem</w:t>
            </w:r>
          </w:p>
        </w:tc>
        <w:tc>
          <w:p>
            <w:r>
              <w:rPr>
                <w:sz w:val="20"/>
              </w:rPr>
              <w:t xml:space="preserve">SAIF, Gulf regulatory, Arabic-English, inter-co billing</w:t>
            </w:r>
          </w:p>
        </w:tc>
        <w:tc>
          <w:p>
            <w:r>
              <w:rPr>
                <w:sz w:val="20"/>
              </w:rPr>
              <w:t xml:space="preserve">Exclusive</w:t>
            </w:r>
          </w:p>
        </w:tc>
      </w:tr>
    </w:tbl>
    <w:p>
      <w:pPr>
        <w:pStyle w:val="Heading2"/>
      </w:pPr>
      <w:r>
        <w:rPr>
          <w:b/>
          <w:sz w:val="26"/>
        </w:rPr>
        <w:t xml:space="preserve">0.8 Pricing Architecture</w:t>
      </w:r>
    </w:p>
    <w:p>
      <w:r>
        <w:rPr>
          <w:i/>
          <w:sz w:val="22"/>
        </w:rPr>
        <w:t xml:space="preserve">Reference: market_research/10_pricing_architecture_and_monetization.md</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p>
            <w:r>
              <w:rPr>
                <w:b/>
                <w:sz w:val="20"/>
              </w:rPr>
              <w:t xml:space="preserve">Tier</w:t>
            </w:r>
          </w:p>
        </w:tc>
        <w:tc>
          <w:p>
            <w:r>
              <w:rPr>
                <w:b/>
                <w:sz w:val="20"/>
              </w:rPr>
              <w:t xml:space="preserve">Fee</w:t>
            </w:r>
          </w:p>
        </w:tc>
        <w:tc>
          <w:p>
            <w:r>
              <w:rPr>
                <w:b/>
                <w:sz w:val="20"/>
              </w:rPr>
              <w:t xml:space="preserve">Token Pricing</w:t>
            </w:r>
          </w:p>
        </w:tc>
        <w:tc>
          <w:p>
            <w:r>
              <w:rPr>
                <w:b/>
                <w:sz w:val="20"/>
              </w:rPr>
              <w:t xml:space="preserve">Key Features</w:t>
            </w:r>
          </w:p>
        </w:tc>
        <w:tc>
          <w:p>
            <w:r>
              <w:rPr>
                <w:b/>
                <w:sz w:val="20"/>
              </w:rPr>
              <w:t xml:space="preserve">Target</w:t>
            </w:r>
          </w:p>
        </w:tc>
      </w:tr>
      <w:tr>
        <w:tc>
          <w:p>
            <w:r>
              <w:rPr>
                <w:sz w:val="20"/>
              </w:rPr>
              <w:t xml:space="preserve">Free</w:t>
            </w:r>
          </w:p>
        </w:tc>
        <w:tc>
          <w:p>
            <w:r>
              <w:rPr>
                <w:sz w:val="20"/>
              </w:rPr>
              <w:t xml:space="preserve">$0</w:t>
            </w:r>
          </w:p>
        </w:tc>
        <w:tc>
          <w:p>
            <w:r>
              <w:rPr>
                <w:sz w:val="20"/>
              </w:rPr>
              <w:t xml:space="preserve">Standard</w:t>
            </w:r>
          </w:p>
        </w:tc>
        <w:tc>
          <w:p>
            <w:r>
              <w:rPr>
                <w:sz w:val="20"/>
              </w:rPr>
              <w:t xml:space="preserve">$5 credits, playground, 1 key</w:t>
            </w:r>
          </w:p>
        </w:tc>
        <w:tc>
          <w:p>
            <w:r>
              <w:rPr>
                <w:sz w:val="20"/>
              </w:rPr>
              <w:t xml:space="preserve">Indie devs</w:t>
            </w:r>
          </w:p>
        </w:tc>
      </w:tr>
      <w:tr>
        <w:tc>
          <w:p>
            <w:r>
              <w:rPr>
                <w:sz w:val="20"/>
              </w:rPr>
              <w:t xml:space="preserve">Pay-as-you-go</w:t>
            </w:r>
          </w:p>
        </w:tc>
        <w:tc>
          <w:p>
            <w:r>
              <w:rPr>
                <w:sz w:val="20"/>
              </w:rPr>
              <w:t xml:space="preserve">$0</w:t>
            </w:r>
          </w:p>
        </w:tc>
        <w:tc>
          <w:p>
            <w:r>
              <w:rPr>
                <w:sz w:val="20"/>
              </w:rPr>
              <w:t xml:space="preserve">Standard</w:t>
            </w:r>
          </w:p>
        </w:tc>
        <w:tc>
          <w:p>
            <w:r>
              <w:rPr>
                <w:sz w:val="20"/>
              </w:rPr>
              <w:t xml:space="preserve">Unlimited keys, 100 RPM</w:t>
            </w:r>
          </w:p>
        </w:tc>
        <w:tc>
          <w:p>
            <w:r>
              <w:rPr>
                <w:sz w:val="20"/>
              </w:rPr>
              <w:t xml:space="preserve">Light usage</w:t>
            </w:r>
          </w:p>
        </w:tc>
      </w:tr>
      <w:tr>
        <w:tc>
          <w:p>
            <w:r>
              <w:rPr>
                <w:sz w:val="20"/>
              </w:rPr>
              <w:t xml:space="preserve">Pro</w:t>
            </w:r>
          </w:p>
        </w:tc>
        <w:tc>
          <w:p>
            <w:r>
              <w:rPr>
                <w:sz w:val="20"/>
              </w:rPr>
              <w:t xml:space="preserve">$99/mo</w:t>
            </w:r>
          </w:p>
        </w:tc>
        <w:tc>
          <w:p>
            <w:r>
              <w:rPr>
                <w:sz w:val="20"/>
              </w:rPr>
              <w:t xml:space="preserve">5-10% off</w:t>
            </w:r>
          </w:p>
        </w:tc>
        <w:tc>
          <w:p>
            <w:r>
              <w:rPr>
                <w:sz w:val="20"/>
              </w:rPr>
              <w:t xml:space="preserve">RBAC, cost allocation, fine-tuning</w:t>
            </w:r>
          </w:p>
        </w:tc>
        <w:tc>
          <w:p>
            <w:r>
              <w:rPr>
                <w:sz w:val="20"/>
              </w:rPr>
              <w:t xml:space="preserve">Startups</w:t>
            </w:r>
          </w:p>
        </w:tc>
      </w:tr>
      <w:tr>
        <w:tc>
          <w:p>
            <w:r>
              <w:rPr>
                <w:sz w:val="20"/>
              </w:rPr>
              <w:t xml:space="preserve">Team</w:t>
            </w:r>
          </w:p>
        </w:tc>
        <w:tc>
          <w:p>
            <w:r>
              <w:rPr>
                <w:sz w:val="20"/>
              </w:rPr>
              <w:t xml:space="preserve">$299/mo</w:t>
            </w:r>
          </w:p>
        </w:tc>
        <w:tc>
          <w:p>
            <w:r>
              <w:rPr>
                <w:sz w:val="20"/>
              </w:rPr>
              <w:t xml:space="preserve">8-12% off</w:t>
            </w:r>
          </w:p>
        </w:tc>
        <w:tc>
          <w:p>
            <w:r>
              <w:rPr>
                <w:sz w:val="20"/>
              </w:rPr>
              <w:t xml:space="preserve">+SSO, workspaces, analytics</w:t>
            </w:r>
          </w:p>
        </w:tc>
        <w:tc>
          <w:p>
            <w:r>
              <w:rPr>
                <w:sz w:val="20"/>
              </w:rPr>
              <w:t xml:space="preserve">Mid-market</w:t>
            </w:r>
          </w:p>
        </w:tc>
      </w:tr>
      <w:tr>
        <w:tc>
          <w:p>
            <w:r>
              <w:rPr>
                <w:sz w:val="20"/>
              </w:rPr>
              <w:t xml:space="preserve">Enterprise</w:t>
            </w:r>
          </w:p>
        </w:tc>
        <w:tc>
          <w:p>
            <w:r>
              <w:rPr>
                <w:sz w:val="20"/>
              </w:rPr>
              <w:t xml:space="preserve">$2K-25K/mo</w:t>
            </w:r>
          </w:p>
        </w:tc>
        <w:tc>
          <w:p>
            <w:r>
              <w:rPr>
                <w:sz w:val="20"/>
              </w:rPr>
              <w:t xml:space="preserve">15-30% off</w:t>
            </w:r>
          </w:p>
        </w:tc>
        <w:tc>
          <w:p>
            <w:r>
              <w:rPr>
                <w:sz w:val="20"/>
              </w:rPr>
              <w:t xml:space="preserve">+VPC, SLA, CSM, ZDR</w:t>
            </w:r>
          </w:p>
        </w:tc>
        <w:tc>
          <w:p>
            <w:r>
              <w:rPr>
                <w:sz w:val="20"/>
              </w:rPr>
              <w:t xml:space="preserve">Enterprise</w:t>
            </w:r>
          </w:p>
        </w:tc>
      </w:tr>
      <w:tr>
        <w:tc>
          <w:p>
            <w:r>
              <w:rPr>
                <w:sz w:val="20"/>
              </w:rPr>
              <w:t xml:space="preserve">IHC Group</w:t>
            </w:r>
          </w:p>
        </w:tc>
        <w:tc>
          <w:p>
            <w:r>
              <w:rPr>
                <w:sz w:val="20"/>
              </w:rPr>
              <w:t xml:space="preserve">Inter-co</w:t>
            </w:r>
          </w:p>
        </w:tc>
        <w:tc>
          <w:p>
            <w:r>
              <w:rPr>
                <w:sz w:val="20"/>
              </w:rPr>
              <w:t xml:space="preserve">Group rates</w:t>
            </w:r>
          </w:p>
        </w:tc>
        <w:tc>
          <w:p>
            <w:r>
              <w:rPr>
                <w:sz w:val="20"/>
              </w:rPr>
              <w:t xml:space="preserve">+Group admin, SAIF</w:t>
            </w:r>
          </w:p>
        </w:tc>
        <w:tc>
          <w:p>
            <w:r>
              <w:rPr>
                <w:sz w:val="20"/>
              </w:rPr>
              <w:t xml:space="preserve">IHC subs</w:t>
            </w:r>
          </w:p>
        </w:tc>
      </w:tr>
    </w:tbl>
    <w:p>
      <w:r>
        <w:rPr>
          <w:sz w:val="22"/>
        </w:rPr>
        <w:t xml:space="preserve">Two-part model: platform subscription captures governance value; per-token pricing aligns with consumption. Insulates revenue from inference price war.</w:t>
      </w:r>
    </w:p>
    <w:p>
      <w:pPr>
        <w:pStyle w:val="Heading2"/>
      </w:pPr>
      <w:r>
        <w:rPr>
          <w:b/>
          <w:sz w:val="26"/>
        </w:rPr>
        <w:t xml:space="preserve">0.9 Distribution &amp; Go-to-Market</w:t>
      </w:r>
    </w:p>
    <w:p>
      <w:r>
        <w:rPr>
          <w:i/>
          <w:sz w:val="22"/>
        </w:rPr>
        <w:t xml:space="preserve">Reference: market_research/11_distribution_channels_and_go_to_market.md</w:t>
      </w:r>
    </w:p>
    <w:p>
      <w:r>
        <w:rPr>
          <w:sz w:val="22"/>
        </w:rPr>
        <w:t xml:space="preserve">Phase 1 (Mo 1-6): Maximize Reach — D2C self-serve, cloud marketplaces (AWS/GCP/Azure), integration partners (LangChain, Vercel), IHC internal channel. Phase 2 (Mo 6-12): Build Switching Costs — fine-tuning adoption, team expansion, cost analytics as exec reporting, compliance integration. Phase 3 (Mo 12-24): Enterprise Expansion — SOC 2 complete, sales team, 1-3yr contracts, VPC peering.</w:t>
      </w:r>
    </w:p>
    <w:p>
      <w:pPr>
        <w:pStyle w:val="Heading2"/>
      </w:pPr>
      <w:r>
        <w:rPr>
          <w:b/>
          <w:sz w:val="26"/>
        </w:rPr>
        <w:t xml:space="preserve">0.10 Quick Wins &amp; Strategic Advantages</w:t>
      </w:r>
    </w:p>
    <w:p>
      <w:r>
        <w:rPr>
          <w:i/>
          <w:sz w:val="22"/>
        </w:rPr>
        <w:t xml:space="preserve">Reference: market_research/13_quick_wins_and_strategic_advantages.md</w:t>
      </w:r>
    </w:p>
    <w:p>
      <w:r>
        <w:rPr>
          <w:b/>
          <w:sz w:val="22"/>
        </w:rPr>
        <w:t xml:space="preserve">Right to Win: (1) IHC Group's 422-subsidiary customer base, (2) Sovereign AI positioning in Gulf, (3) Capital without VC pressure ($20.4B), (4) Platform-first DNA, (5) Tenstorrent hardware partnership.</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p>
            <w:r>
              <w:rPr>
                <w:b/>
                <w:sz w:val="20"/>
              </w:rPr>
              <w:t xml:space="preserve">Week</w:t>
            </w:r>
          </w:p>
        </w:tc>
        <w:tc>
          <w:p>
            <w:r>
              <w:rPr>
                <w:b/>
                <w:sz w:val="20"/>
              </w:rPr>
              <w:t xml:space="preserve">Action</w:t>
            </w:r>
          </w:p>
        </w:tc>
        <w:tc>
          <w:p>
            <w:r>
              <w:rPr>
                <w:b/>
                <w:sz w:val="20"/>
              </w:rPr>
              <w:t xml:space="preserve">Revenue</w:t>
            </w:r>
          </w:p>
        </w:tc>
        <w:tc>
          <w:p>
            <w:r>
              <w:rPr>
                <w:b/>
                <w:sz w:val="20"/>
              </w:rPr>
              <w:t xml:space="preserve">Brand</w:t>
            </w:r>
          </w:p>
        </w:tc>
      </w:tr>
      <w:tr>
        <w:tc>
          <w:p>
            <w:r>
              <w:rPr>
                <w:sz w:val="20"/>
              </w:rPr>
              <w:t xml:space="preserve">1-2</w:t>
            </w:r>
          </w:p>
        </w:tc>
        <w:tc>
          <w:p>
            <w:r>
              <w:rPr>
                <w:sz w:val="20"/>
              </w:rPr>
              <w:t xml:space="preserve">Price comparison + IHC outreach</w:t>
            </w:r>
          </w:p>
        </w:tc>
        <w:tc>
          <w:p>
            <w:r>
              <w:rPr>
                <w:sz w:val="20"/>
              </w:rPr>
              <w:t xml:space="preserve">—</w:t>
            </w:r>
          </w:p>
        </w:tc>
        <w:tc>
          <w:p>
            <w:r>
              <w:rPr>
                <w:sz w:val="20"/>
              </w:rPr>
              <w:t xml:space="preserve">Medium</w:t>
            </w:r>
          </w:p>
        </w:tc>
      </w:tr>
      <w:tr>
        <w:tc>
          <w:p>
            <w:r>
              <w:rPr>
                <w:sz w:val="20"/>
              </w:rPr>
              <w:t xml:space="preserve">2-4</w:t>
            </w:r>
          </w:p>
        </w:tc>
        <w:tc>
          <w:p>
            <w:r>
              <w:rPr>
                <w:sz w:val="20"/>
              </w:rPr>
              <w:t xml:space="preserve">Migration guides + IHC pilot</w:t>
            </w:r>
          </w:p>
        </w:tc>
        <w:tc>
          <w:p>
            <w:r>
              <w:rPr>
                <w:sz w:val="20"/>
              </w:rPr>
              <w:t xml:space="preserve">$10-50K MRR</w:t>
            </w:r>
          </w:p>
        </w:tc>
        <w:tc>
          <w:p>
            <w:r>
              <w:rPr>
                <w:sz w:val="20"/>
              </w:rPr>
              <w:t xml:space="preserve">Low</w:t>
            </w:r>
          </w:p>
        </w:tc>
      </w:tr>
      <w:tr>
        <w:tc>
          <w:p>
            <w:r>
              <w:rPr>
                <w:sz w:val="20"/>
              </w:rPr>
              <w:t xml:space="preserve">2-6</w:t>
            </w:r>
          </w:p>
        </w:tc>
        <w:tc>
          <w:p>
            <w:r>
              <w:rPr>
                <w:sz w:val="20"/>
              </w:rPr>
              <w:t xml:space="preserve">Playground public launch</w:t>
            </w:r>
          </w:p>
        </w:tc>
        <w:tc>
          <w:p>
            <w:r>
              <w:rPr>
                <w:sz w:val="20"/>
              </w:rPr>
              <w:t xml:space="preserve">—</w:t>
            </w:r>
          </w:p>
        </w:tc>
        <w:tc>
          <w:p>
            <w:r>
              <w:rPr>
                <w:sz w:val="20"/>
              </w:rPr>
              <w:t xml:space="preserve">HIGH</w:t>
            </w:r>
          </w:p>
        </w:tc>
      </w:tr>
      <w:tr>
        <w:tc>
          <w:p>
            <w:r>
              <w:rPr>
                <w:sz w:val="20"/>
              </w:rPr>
              <w:t xml:space="preserve">1-8</w:t>
            </w:r>
          </w:p>
        </w:tc>
        <w:tc>
          <w:p>
            <w:r>
              <w:rPr>
                <w:sz w:val="20"/>
              </w:rPr>
              <w:t xml:space="preserve">Content blitz (16-24 posts)</w:t>
            </w:r>
          </w:p>
        </w:tc>
        <w:tc>
          <w:p>
            <w:r>
              <w:rPr>
                <w:sz w:val="20"/>
              </w:rPr>
              <w:t xml:space="preserve">—</w:t>
            </w:r>
          </w:p>
        </w:tc>
        <w:tc>
          <w:p>
            <w:r>
              <w:rPr>
                <w:sz w:val="20"/>
              </w:rPr>
              <w:t xml:space="preserve">Compounds</w:t>
            </w:r>
          </w:p>
        </w:tc>
      </w:tr>
      <w:tr>
        <w:tc>
          <w:p>
            <w:r>
              <w:rPr>
                <w:sz w:val="20"/>
              </w:rPr>
              <w:t xml:space="preserve">4-8</w:t>
            </w:r>
          </w:p>
        </w:tc>
        <w:tc>
          <w:p>
            <w:r>
              <w:rPr>
                <w:sz w:val="20"/>
              </w:rPr>
              <w:t xml:space="preserve">Startup program ($10K credits)</w:t>
            </w:r>
          </w:p>
        </w:tc>
        <w:tc>
          <w:p>
            <w:r>
              <w:rPr>
                <w:sz w:val="20"/>
              </w:rPr>
              <w:t xml:space="preserve">—</w:t>
            </w:r>
          </w:p>
        </w:tc>
        <w:tc>
          <w:p>
            <w:r>
              <w:rPr>
                <w:sz w:val="20"/>
              </w:rPr>
              <w:t xml:space="preserve">Medium</w:t>
            </w:r>
          </w:p>
        </w:tc>
      </w:tr>
      <w:tr>
        <w:tc>
          <w:p>
            <w:r>
              <w:rPr>
                <w:sz w:val="20"/>
              </w:rPr>
              <w:t xml:space="preserve">6-10</w:t>
            </w:r>
          </w:p>
        </w:tc>
        <w:tc>
          <w:p>
            <w:r>
              <w:rPr>
                <w:sz w:val="20"/>
              </w:rPr>
              <w:t xml:space="preserve">Hacker News launch</w:t>
            </w:r>
          </w:p>
        </w:tc>
        <w:tc>
          <w:p>
            <w:r>
              <w:rPr>
                <w:sz w:val="20"/>
              </w:rPr>
              <w:t xml:space="preserve">$5-20K MRR</w:t>
            </w:r>
          </w:p>
        </w:tc>
        <w:tc>
          <w:p>
            <w:r>
              <w:rPr>
                <w:sz w:val="20"/>
              </w:rPr>
              <w:t xml:space="preserve">HIGH</w:t>
            </w:r>
          </w:p>
        </w:tc>
      </w:tr>
      <w:tr>
        <w:tc>
          <w:p>
            <w:r>
              <w:rPr>
                <w:sz w:val="20"/>
              </w:rPr>
              <w:t xml:space="preserve">4-12</w:t>
            </w:r>
          </w:p>
        </w:tc>
        <w:tc>
          <w:p>
            <w:r>
              <w:rPr>
                <w:sz w:val="20"/>
              </w:rPr>
              <w:t xml:space="preserve">IHC rollout (3-5 subs)</w:t>
            </w:r>
          </w:p>
        </w:tc>
        <w:tc>
          <w:p>
            <w:r>
              <w:rPr>
                <w:sz w:val="20"/>
              </w:rPr>
              <w:t xml:space="preserve">$100-500K MRR</w:t>
            </w:r>
          </w:p>
        </w:tc>
        <w:tc>
          <w:p>
            <w:r>
              <w:rPr>
                <w:sz w:val="20"/>
              </w:rPr>
              <w:t xml:space="preserve">HIGH</w:t>
            </w:r>
          </w:p>
        </w:tc>
      </w:tr>
      <w:tr>
        <w:tc>
          <w:p>
            <w:r>
              <w:rPr>
                <w:sz w:val="20"/>
              </w:rPr>
              <w:t xml:space="preserve">Aligned</w:t>
            </w:r>
          </w:p>
        </w:tc>
        <w:tc>
          <w:p>
            <w:r>
              <w:rPr>
                <w:sz w:val="20"/>
              </w:rPr>
              <w:t xml:space="preserve">GITEX presence</w:t>
            </w:r>
          </w:p>
        </w:tc>
        <w:tc>
          <w:p>
            <w:r>
              <w:rPr>
                <w:sz w:val="20"/>
              </w:rPr>
              <w:t xml:space="preserve">Leads</w:t>
            </w:r>
          </w:p>
        </w:tc>
        <w:tc>
          <w:p>
            <w:r>
              <w:rPr>
                <w:sz w:val="20"/>
              </w:rPr>
              <w:t xml:space="preserve">Medium</w:t>
            </w:r>
          </w:p>
        </w:tc>
      </w:tr>
    </w:tbl>
    <w:p>
      <w:pPr>
        <w:pStyle w:val="Heading2"/>
      </w:pPr>
      <w:r>
        <w:rPr>
          <w:b/>
          <w:sz w:val="26"/>
        </w:rPr>
        <w:t xml:space="preserve">0.11 Supporting Research Files</w:t>
      </w:r>
    </w:p>
    <w:p>
      <w:r>
        <w:rPr>
          <w:sz w:val="22"/>
        </w:rPr>
        <w:t xml:space="preserve">Deep-dive analysis (65,000+ words) in /market_research/:</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r>
              <w:rPr>
                <w:b/>
                <w:sz w:val="20"/>
              </w:rPr>
              <w:t xml:space="preserve">File</w:t>
            </w:r>
          </w:p>
        </w:tc>
        <w:tc>
          <w:p>
            <w:r>
              <w:rPr>
                <w:b/>
                <w:sz w:val="20"/>
              </w:rPr>
              <w:t xml:space="preserve">Topic</w:t>
            </w:r>
          </w:p>
        </w:tc>
        <w:tc>
          <w:p>
            <w:r>
              <w:rPr>
                <w:b/>
                <w:sz w:val="20"/>
              </w:rPr>
              <w:t xml:space="preserve">Words</w:t>
            </w:r>
          </w:p>
        </w:tc>
      </w:tr>
      <w:tr>
        <w:tc>
          <w:p>
            <w:r>
              <w:rPr>
                <w:sz w:val="20"/>
              </w:rPr>
              <w:t xml:space="preserve">01_market_opportunity_and_customer_value.md</w:t>
            </w:r>
          </w:p>
        </w:tc>
        <w:tc>
          <w:p>
            <w:r>
              <w:rPr>
                <w:sz w:val="20"/>
              </w:rPr>
              <w:t xml:space="preserve">Problem, value, demand, loyalty</w:t>
            </w:r>
          </w:p>
        </w:tc>
        <w:tc>
          <w:p>
            <w:r>
              <w:rPr>
                <w:sz w:val="20"/>
              </w:rPr>
              <w:t xml:space="preserve">~5,000</w:t>
            </w:r>
          </w:p>
        </w:tc>
      </w:tr>
      <w:tr>
        <w:tc>
          <w:p>
            <w:r>
              <w:rPr>
                <w:sz w:val="20"/>
              </w:rPr>
              <w:t xml:space="preserve">02_competitive_landscape_and_ecosystem.md</w:t>
            </w:r>
          </w:p>
        </w:tc>
        <w:tc>
          <w:p>
            <w:r>
              <w:rPr>
                <w:sz w:val="20"/>
              </w:rPr>
              <w:t xml:space="preserve">Company, customers, competitors, partners</w:t>
            </w:r>
          </w:p>
        </w:tc>
        <w:tc>
          <w:p>
            <w:r>
              <w:rPr>
                <w:sz w:val="20"/>
              </w:rPr>
              <w:t xml:space="preserve">~5,200</w:t>
            </w:r>
          </w:p>
        </w:tc>
      </w:tr>
      <w:tr>
        <w:tc>
          <w:p>
            <w:r>
              <w:rPr>
                <w:sz w:val="20"/>
              </w:rPr>
              <w:t xml:space="preserve">03_industry_structure_and_profitability.md</w:t>
            </w:r>
          </w:p>
        </w:tc>
        <w:tc>
          <w:p>
            <w:r>
              <w:rPr>
                <w:sz w:val="20"/>
              </w:rPr>
              <w:t xml:space="preserve">5 competitive forces analysis</w:t>
            </w:r>
          </w:p>
        </w:tc>
        <w:tc>
          <w:p>
            <w:r>
              <w:rPr>
                <w:sz w:val="20"/>
              </w:rPr>
              <w:t xml:space="preserve">~4,800</w:t>
            </w:r>
          </w:p>
        </w:tc>
      </w:tr>
      <w:tr>
        <w:tc>
          <w:p>
            <w:r>
              <w:rPr>
                <w:sz w:val="20"/>
              </w:rPr>
              <w:t xml:space="preserve">04_macro_environment_and_regulatory_landscape.md</w:t>
            </w:r>
          </w:p>
        </w:tc>
        <w:tc>
          <w:p>
            <w:r>
              <w:rPr>
                <w:sz w:val="20"/>
              </w:rPr>
              <w:t xml:space="preserve">6 external forces analysis</w:t>
            </w:r>
          </w:p>
        </w:tc>
        <w:tc>
          <w:p>
            <w:r>
              <w:rPr>
                <w:sz w:val="20"/>
              </w:rPr>
              <w:t xml:space="preserve">~5,300</w:t>
            </w:r>
          </w:p>
        </w:tc>
      </w:tr>
      <w:tr>
        <w:tc>
          <w:p>
            <w:r>
              <w:rPr>
                <w:sz w:val="20"/>
              </w:rPr>
              <w:t xml:space="preserve">05_strategic_strengths_and_vulnerabilities.md</w:t>
            </w:r>
          </w:p>
        </w:tc>
        <w:tc>
          <w:p>
            <w:r>
              <w:rPr>
                <w:sz w:val="20"/>
              </w:rPr>
              <w:t xml:space="preserve">Internal/external assessment</w:t>
            </w:r>
          </w:p>
        </w:tc>
        <w:tc>
          <w:p>
            <w:r>
              <w:rPr>
                <w:sz w:val="20"/>
              </w:rPr>
              <w:t xml:space="preserve">~6,300</w:t>
            </w:r>
          </w:p>
        </w:tc>
      </w:tr>
      <w:tr>
        <w:tc>
          <w:p>
            <w:r>
              <w:rPr>
                <w:sz w:val="20"/>
              </w:rPr>
              <w:t xml:space="preserve">06_customer_segments_and_buyer_profiles.md</w:t>
            </w:r>
          </w:p>
        </w:tc>
        <w:tc>
          <w:p>
            <w:r>
              <w:rPr>
                <w:sz w:val="20"/>
              </w:rPr>
              <w:t xml:space="preserve">7 clusters, psychographics, behavior</w:t>
            </w:r>
          </w:p>
        </w:tc>
        <w:tc>
          <w:p>
            <w:r>
              <w:rPr>
                <w:sz w:val="20"/>
              </w:rPr>
              <w:t xml:space="preserve">~5,500</w:t>
            </w:r>
          </w:p>
        </w:tc>
      </w:tr>
      <w:tr>
        <w:tc>
          <w:p>
            <w:r>
              <w:rPr>
                <w:sz w:val="20"/>
              </w:rPr>
              <w:t xml:space="preserve">07_target_markets_and_prioritization.md</w:t>
            </w:r>
          </w:p>
        </w:tc>
        <w:tc>
          <w:p>
            <w:r>
              <w:rPr>
                <w:sz w:val="20"/>
              </w:rPr>
              <w:t xml:space="preserve">TAM/SAM/SOM, priorities, projections</w:t>
            </w:r>
          </w:p>
        </w:tc>
        <w:tc>
          <w:p>
            <w:r>
              <w:rPr>
                <w:sz w:val="20"/>
              </w:rPr>
              <w:t xml:space="preserve">~4,000</w:t>
            </w:r>
          </w:p>
        </w:tc>
      </w:tr>
      <w:tr>
        <w:tc>
          <w:p>
            <w:r>
              <w:rPr>
                <w:sz w:val="20"/>
              </w:rPr>
              <w:t xml:space="preserve">08_brand_positioning_and_differentiation.md</w:t>
            </w:r>
          </w:p>
        </w:tc>
        <w:tc>
          <w:p>
            <w:r>
              <w:rPr>
                <w:sz w:val="20"/>
              </w:rPr>
              <w:t xml:space="preserve">PoP/PoD, credibility, positioning</w:t>
            </w:r>
          </w:p>
        </w:tc>
        <w:tc>
          <w:p>
            <w:r>
              <w:rPr>
                <w:sz w:val="20"/>
              </w:rPr>
              <w:t xml:space="preserve">~5,600</w:t>
            </w:r>
          </w:p>
        </w:tc>
      </w:tr>
      <w:tr>
        <w:tc>
          <w:p>
            <w:r>
              <w:rPr>
                <w:sz w:val="20"/>
              </w:rPr>
              <w:t xml:space="preserve">09_product_strategy_and_roadmap.md</w:t>
            </w:r>
          </w:p>
        </w:tc>
        <w:tc>
          <w:p>
            <w:r>
              <w:rPr>
                <w:sz w:val="20"/>
              </w:rPr>
              <w:t xml:space="preserve">Product levels, lifecycle, portfolio</w:t>
            </w:r>
          </w:p>
        </w:tc>
        <w:tc>
          <w:p>
            <w:r>
              <w:rPr>
                <w:sz w:val="20"/>
              </w:rPr>
              <w:t xml:space="preserve">~6,200</w:t>
            </w:r>
          </w:p>
        </w:tc>
      </w:tr>
      <w:tr>
        <w:tc>
          <w:p>
            <w:r>
              <w:rPr>
                <w:sz w:val="20"/>
              </w:rPr>
              <w:t xml:space="preserve">10_pricing_architecture_and_monetization.md</w:t>
            </w:r>
          </w:p>
        </w:tc>
        <w:tc>
          <w:p>
            <w:r>
              <w:rPr>
                <w:sz w:val="20"/>
              </w:rPr>
              <w:t xml:space="preserve">6-tier pricing, 7 strategies</w:t>
            </w:r>
          </w:p>
        </w:tc>
        <w:tc>
          <w:p>
            <w:r>
              <w:rPr>
                <w:sz w:val="20"/>
              </w:rPr>
              <w:t xml:space="preserve">~4,500</w:t>
            </w:r>
          </w:p>
        </w:tc>
      </w:tr>
      <w:tr>
        <w:tc>
          <w:p>
            <w:r>
              <w:rPr>
                <w:sz w:val="20"/>
              </w:rPr>
              <w:t xml:space="preserve">11_distribution_channels_and_go_to_market.md</w:t>
            </w:r>
          </w:p>
        </w:tc>
        <w:tc>
          <w:p>
            <w:r>
              <w:rPr>
                <w:sz w:val="20"/>
              </w:rPr>
              <w:t xml:space="preserve">3-phase GTM, channels</w:t>
            </w:r>
          </w:p>
        </w:tc>
        <w:tc>
          <w:p>
            <w:r>
              <w:rPr>
                <w:sz w:val="20"/>
              </w:rPr>
              <w:t xml:space="preserve">~3,900</w:t>
            </w:r>
          </w:p>
        </w:tc>
      </w:tr>
      <w:tr>
        <w:tc>
          <w:p>
            <w:r>
              <w:rPr>
                <w:sz w:val="20"/>
              </w:rPr>
              <w:t xml:space="preserve">12_communications_and_developer_marketing.md</w:t>
            </w:r>
          </w:p>
        </w:tc>
        <w:tc>
          <w:p>
            <w:r>
              <w:rPr>
                <w:sz w:val="20"/>
              </w:rPr>
              <w:t xml:space="preserve">Advertising, media, DevRel</w:t>
            </w:r>
          </w:p>
        </w:tc>
        <w:tc>
          <w:p>
            <w:r>
              <w:rPr>
                <w:sz w:val="20"/>
              </w:rPr>
              <w:t xml:space="preserve">~4,000</w:t>
            </w:r>
          </w:p>
        </w:tc>
      </w:tr>
      <w:tr>
        <w:tc>
          <w:p>
            <w:r>
              <w:rPr>
                <w:sz w:val="20"/>
              </w:rPr>
              <w:t xml:space="preserve">13_quick_wins_and_strategic_advantages.md</w:t>
            </w:r>
          </w:p>
        </w:tc>
        <w:tc>
          <w:p>
            <w:r>
              <w:rPr>
                <w:sz w:val="20"/>
              </w:rPr>
              <w:t xml:space="preserve">Right to Win, Easy Wins, 90-day plan</w:t>
            </w:r>
          </w:p>
        </w:tc>
        <w:tc>
          <w:p>
            <w:r>
              <w:rPr>
                <w:sz w:val="20"/>
              </w:rPr>
              <w:t xml:space="preserve">~4,900</w:t>
            </w:r>
          </w:p>
        </w:tc>
      </w:tr>
    </w:tbl>
    <w:p>
      <w:r>
        <w:br w:type="page"/>
      </w:r>
    </w:p>
    <w:p>
      <w:pPr>
        <w:spacing w:after="800"/>
      </w:pPr>
    </w:p>
    <w:p>
      <w:pPr>
        <w:spacing w:after="100"/>
        <w:jc w:val="center"/>
      </w:pPr>
      <w:r>
        <w:rPr>
          <w:rFonts w:ascii="Arial" w:cs="Arial" w:eastAsia="Arial" w:hAnsi="Arial"/>
          <w:b/>
          <w:bCs/>
          <w:color w:val="1B2A4A"/>
          <w:sz w:val="56"/>
          <w:szCs w:val="56"/>
        </w:rPr>
        <w:t xml:space="preserve">LLM API PLATFORM</w:t>
      </w:r>
    </w:p>
    <w:p>
      <w:pPr>
        <w:spacing w:after="200"/>
        <w:jc w:val="center"/>
      </w:pPr>
      <w:r>
        <w:rPr>
          <w:rFonts w:ascii="Arial" w:cs="Arial" w:eastAsia="Arial" w:hAnsi="Arial"/>
          <w:color w:val="2E75B6"/>
          <w:sz w:val="32"/>
          <w:szCs w:val="32"/>
        </w:rPr>
        <w:t xml:space="preserve">User-Facing Platform &amp; Developer Experience</w:t>
      </w:r>
    </w:p>
    <w:p>
      <w:pPr>
        <w:pBdr>
          <w:bottom w:val="single" w:color="2E75B6" w:sz="6" w:space="8"/>
        </w:pBdr>
        <w:spacing w:after="100"/>
        <w:jc w:val="center"/>
      </w:pPr>
    </w:p>
    <w:p>
      <w:pPr>
        <w:spacing w:after="200"/>
      </w:pPr>
    </w:p>
    <w:p>
      <w:pPr>
        <w:spacing w:after="80"/>
        <w:jc w:val="center"/>
      </w:pPr>
      <w:r>
        <w:rPr>
          <w:rFonts w:ascii="Arial" w:cs="Arial" w:eastAsia="Arial" w:hAnsi="Arial"/>
          <w:color w:val="5A6577"/>
          <w:sz w:val="26"/>
          <w:szCs w:val="26"/>
        </w:rPr>
        <w:t xml:space="preserve">Comprehensive Blueprint</w:t>
      </w:r>
    </w:p>
    <w:p>
      <w:pPr>
        <w:spacing w:after="80"/>
        <w:jc w:val="center"/>
      </w:pPr>
      <w:r>
        <w:rPr>
          <w:rFonts w:ascii="Arial" w:cs="Arial" w:eastAsia="Arial" w:hAnsi="Arial"/>
          <w:i/>
          <w:iCs/>
          <w:color w:val="5A6577"/>
          <w:sz w:val="22"/>
          <w:szCs w:val="22"/>
        </w:rPr>
        <w:t xml:space="preserve">Everything You Need to Build, from Auth to Billing to Observability</w:t>
      </w:r>
    </w:p>
    <w:p>
      <w:pPr>
        <w:spacing w:after="400"/>
        <w:jc w:val="center"/>
      </w:pPr>
      <w:r>
        <w:rPr>
          <w:rFonts w:ascii="Arial" w:cs="Arial" w:eastAsia="Arial" w:hAnsi="Arial"/>
          <w:color w:val="5A6577"/>
          <w:sz w:val="22"/>
          <w:szCs w:val="22"/>
        </w:rPr>
        <w:t xml:space="preserve">March 2026</w:t>
      </w:r>
    </w:p>
    <w:p>
      <w:r>
        <w:br w:type="page"/>
      </w:r>
    </w:p>
    <w:p>
      <w:pPr>
        <w:pStyle w:val="Heading1"/>
        <w:spacing w:after="200" w:before="480"/>
      </w:pPr>
      <w:r>
        <w:rPr>
          <w:rFonts w:ascii="Arial" w:cs="Arial" w:eastAsia="Arial" w:hAnsi="Arial"/>
          <w:b/>
          <w:bCs/>
          <w:color w:val="1B2A4A"/>
          <w:sz w:val="36"/>
          <w:szCs w:val="36"/>
        </w:rPr>
        <w:t xml:space="preserve">1. Authentication &amp; Identity System</w:t>
      </w:r>
    </w:p>
    <w:p>
      <w:pPr>
        <w:spacing w:after="160" w:line="300"/>
      </w:pPr>
      <w:r>
        <w:rPr>
          <w:rFonts w:ascii="Arial" w:cs="Arial" w:eastAsia="Arial" w:hAnsi="Arial"/>
          <w:color w:val="333333"/>
          <w:sz w:val="21"/>
          <w:szCs w:val="21"/>
        </w:rPr>
        <w:t xml:space="preserve">Your identity layer is the front door of the entire platform. Every API call, every dashboard view, every billing event flows through it. Getting this wrong means security vulnerabilities, poor UX, and enterprise deal-blockers. This section covers every component in depth.</w:t>
      </w:r>
    </w:p>
    <w:p>
      <w:pPr>
        <w:pStyle w:val="Heading2"/>
        <w:spacing w:after="160" w:before="360"/>
      </w:pPr>
      <w:r>
        <w:rPr>
          <w:rFonts w:ascii="Arial" w:cs="Arial" w:eastAsia="Arial" w:hAnsi="Arial"/>
          <w:b/>
          <w:bCs/>
          <w:color w:val="2E75B6"/>
          <w:sz w:val="28"/>
          <w:szCs w:val="28"/>
        </w:rPr>
        <w:t xml:space="preserve">1.1 User Registration &amp; Onboarding</w:t>
      </w:r>
    </w:p>
    <w:p>
      <w:pPr>
        <w:spacing w:after="160" w:line="300"/>
      </w:pPr>
      <w:r>
        <w:rPr>
          <w:rFonts w:ascii="Arial" w:cs="Arial" w:eastAsia="Arial" w:hAnsi="Arial"/>
          <w:color w:val="333333"/>
          <w:sz w:val="21"/>
          <w:szCs w:val="21"/>
        </w:rPr>
        <w:t xml:space="preserve">The registration flow must be frictionless for individual developers while supporting the complexity enterprises demand. Your goal is time-to-first-API-call under 2 minutes.</w:t>
      </w:r>
    </w:p>
    <w:p>
      <w:pPr>
        <w:spacing w:after="120" w:before="240"/>
      </w:pPr>
      <w:r>
        <w:rPr>
          <w:rFonts w:ascii="Arial" w:cs="Arial" w:eastAsia="Arial" w:hAnsi="Arial"/>
          <w:b/>
          <w:bCs/>
          <w:color w:val="1B2A4A"/>
          <w:sz w:val="24"/>
          <w:szCs w:val="24"/>
        </w:rPr>
        <w:t xml:space="preserve">Registration Methods</w:t>
      </w:r>
    </w:p>
    <w:p>
      <w:pPr>
        <w:pStyle w:val="ListParagraph"/>
        <w:numPr>
          <w:ilvl w:val="0"/>
          <w:numId w:val="2"/>
        </w:numPr>
        <w:spacing w:after="80" w:line="280"/>
      </w:pPr>
      <w:r>
        <w:rPr>
          <w:rFonts w:ascii="Arial" w:cs="Arial" w:eastAsia="Arial" w:hAnsi="Arial"/>
          <w:b/>
          <w:bCs/>
          <w:color w:val="1B2A4A"/>
          <w:sz w:val="21"/>
          <w:szCs w:val="21"/>
        </w:rPr>
        <w:t xml:space="preserve">Email + Password: </w:t>
      </w:r>
      <w:r>
        <w:rPr>
          <w:rFonts w:ascii="Arial" w:cs="Arial" w:eastAsia="Arial" w:hAnsi="Arial"/>
          <w:color w:val="333333"/>
          <w:sz w:val="21"/>
          <w:szCs w:val="21"/>
        </w:rPr>
        <w:t xml:space="preserve">Standard flow with email verification. Enforce minimum 12-character passwords, check against breached password databases (HaveIBeenPwned API), and require email verification before API key creation.</w:t>
      </w:r>
    </w:p>
    <w:p>
      <w:pPr>
        <w:pStyle w:val="ListParagraph"/>
        <w:numPr>
          <w:ilvl w:val="0"/>
          <w:numId w:val="2"/>
        </w:numPr>
        <w:spacing w:after="80" w:line="280"/>
      </w:pPr>
      <w:r>
        <w:rPr>
          <w:rFonts w:ascii="Arial" w:cs="Arial" w:eastAsia="Arial" w:hAnsi="Arial"/>
          <w:b/>
          <w:bCs/>
          <w:color w:val="1B2A4A"/>
          <w:sz w:val="21"/>
          <w:szCs w:val="21"/>
        </w:rPr>
        <w:t xml:space="preserve">OAuth 2.0 Social Login: </w:t>
      </w:r>
      <w:r>
        <w:rPr>
          <w:rFonts w:ascii="Arial" w:cs="Arial" w:eastAsia="Arial" w:hAnsi="Arial"/>
          <w:color w:val="333333"/>
          <w:sz w:val="21"/>
          <w:szCs w:val="21"/>
        </w:rPr>
        <w:t xml:space="preserve">GitHub OAuth is essential (developers expect it). Google OAuth covers the enterprise audience. Apple Sign-In is required if you ever ship an iOS app. Each provider returns different scopes — normalize the profile data into your internal user model.</w:t>
      </w:r>
    </w:p>
    <w:p>
      <w:pPr>
        <w:pStyle w:val="ListParagraph"/>
        <w:numPr>
          <w:ilvl w:val="0"/>
          <w:numId w:val="2"/>
        </w:numPr>
        <w:spacing w:after="80" w:line="280"/>
      </w:pPr>
      <w:r>
        <w:rPr>
          <w:rFonts w:ascii="Arial" w:cs="Arial" w:eastAsia="Arial" w:hAnsi="Arial"/>
          <w:b/>
          <w:bCs/>
          <w:color w:val="1B2A4A"/>
          <w:sz w:val="21"/>
          <w:szCs w:val="21"/>
        </w:rPr>
        <w:t xml:space="preserve">SSO/SAML 2.0/OIDC: </w:t>
      </w:r>
      <w:r>
        <w:rPr>
          <w:rFonts w:ascii="Arial" w:cs="Arial" w:eastAsia="Arial" w:hAnsi="Arial"/>
          <w:color w:val="333333"/>
          <w:sz w:val="21"/>
          <w:szCs w:val="21"/>
        </w:rPr>
        <w:t xml:space="preserve">Enterprise requirement. Support Okta, Azure AD, Google Workspace, OneLogin, and generic SAML/OIDC providers. Implement Just-in-Time (JIT) provisioning so new employees get accounts automatically when they first log in via SSO. Support SCIM 2.0 for automated user provisioning and deprovisioning.</w:t>
      </w:r>
    </w:p>
    <w:p>
      <w:pPr>
        <w:pStyle w:val="ListParagraph"/>
        <w:numPr>
          <w:ilvl w:val="0"/>
          <w:numId w:val="2"/>
        </w:numPr>
        <w:spacing w:after="80" w:line="280"/>
      </w:pPr>
      <w:r>
        <w:rPr>
          <w:rFonts w:ascii="Arial" w:cs="Arial" w:eastAsia="Arial" w:hAnsi="Arial"/>
          <w:b/>
          <w:bCs/>
          <w:color w:val="1B2A4A"/>
          <w:sz w:val="21"/>
          <w:szCs w:val="21"/>
        </w:rPr>
        <w:t xml:space="preserve">Magic Links: </w:t>
      </w:r>
      <w:r>
        <w:rPr>
          <w:rFonts w:ascii="Arial" w:cs="Arial" w:eastAsia="Arial" w:hAnsi="Arial"/>
          <w:color w:val="333333"/>
          <w:sz w:val="21"/>
          <w:szCs w:val="21"/>
        </w:rPr>
        <w:t xml:space="preserve">Passwordless email-based login as an alternative. Reduces friction and eliminates password-related support tickets.</w:t>
      </w:r>
    </w:p>
    <w:p>
      <w:pPr>
        <w:spacing w:after="120" w:before="240"/>
      </w:pPr>
      <w:r>
        <w:rPr>
          <w:rFonts w:ascii="Arial" w:cs="Arial" w:eastAsia="Arial" w:hAnsi="Arial"/>
          <w:b/>
          <w:bCs/>
          <w:color w:val="1B2A4A"/>
          <w:sz w:val="24"/>
          <w:szCs w:val="24"/>
        </w:rPr>
        <w:t xml:space="preserve">Multi-Factor Authentication (MFA)</w:t>
      </w:r>
    </w:p>
    <w:p>
      <w:pPr>
        <w:pStyle w:val="ListParagraph"/>
        <w:numPr>
          <w:ilvl w:val="0"/>
          <w:numId w:val="2"/>
        </w:numPr>
        <w:spacing w:after="80" w:line="280"/>
      </w:pPr>
      <w:r>
        <w:rPr>
          <w:rFonts w:ascii="Arial" w:cs="Arial" w:eastAsia="Arial" w:hAnsi="Arial"/>
          <w:b/>
          <w:bCs/>
          <w:color w:val="1B2A4A"/>
          <w:sz w:val="21"/>
          <w:szCs w:val="21"/>
        </w:rPr>
        <w:t xml:space="preserve">TOTP (Time-based One-Time Password): </w:t>
      </w:r>
      <w:r>
        <w:rPr>
          <w:rFonts w:ascii="Arial" w:cs="Arial" w:eastAsia="Arial" w:hAnsi="Arial"/>
          <w:color w:val="333333"/>
          <w:sz w:val="21"/>
          <w:szCs w:val="21"/>
        </w:rPr>
        <w:t xml:space="preserve">Support Google Authenticator, Authy, 1Password. Generate QR codes for setup, provide recovery codes (8-10 single-use backup codes stored as bcrypt hashes).</w:t>
      </w:r>
    </w:p>
    <w:p>
      <w:pPr>
        <w:pStyle w:val="ListParagraph"/>
        <w:numPr>
          <w:ilvl w:val="0"/>
          <w:numId w:val="2"/>
        </w:numPr>
        <w:spacing w:after="80" w:line="280"/>
      </w:pPr>
      <w:r>
        <w:rPr>
          <w:rFonts w:ascii="Arial" w:cs="Arial" w:eastAsia="Arial" w:hAnsi="Arial"/>
          <w:b/>
          <w:bCs/>
          <w:color w:val="1B2A4A"/>
          <w:sz w:val="21"/>
          <w:szCs w:val="21"/>
        </w:rPr>
        <w:t xml:space="preserve">WebAuthn/Passkeys: </w:t>
      </w:r>
      <w:r>
        <w:rPr>
          <w:rFonts w:ascii="Arial" w:cs="Arial" w:eastAsia="Arial" w:hAnsi="Arial"/>
          <w:color w:val="333333"/>
          <w:sz w:val="21"/>
          <w:szCs w:val="21"/>
        </w:rPr>
        <w:t xml:space="preserve">Hardware security keys (YubiKey) and platform authenticators (Face ID, Windows Hello). This is the strongest option and increasingly preferred by security-conscious enterprises.</w:t>
      </w:r>
    </w:p>
    <w:p>
      <w:pPr>
        <w:pStyle w:val="ListParagraph"/>
        <w:numPr>
          <w:ilvl w:val="0"/>
          <w:numId w:val="2"/>
        </w:numPr>
        <w:spacing w:after="80" w:line="280"/>
      </w:pPr>
      <w:r>
        <w:rPr>
          <w:rFonts w:ascii="Arial" w:cs="Arial" w:eastAsia="Arial" w:hAnsi="Arial"/>
          <w:b/>
          <w:bCs/>
          <w:color w:val="1B2A4A"/>
          <w:sz w:val="21"/>
          <w:szCs w:val="21"/>
        </w:rPr>
        <w:t xml:space="preserve">SMS (discouraged): </w:t>
      </w:r>
      <w:r>
        <w:rPr>
          <w:rFonts w:ascii="Arial" w:cs="Arial" w:eastAsia="Arial" w:hAnsi="Arial"/>
          <w:color w:val="333333"/>
          <w:sz w:val="21"/>
          <w:szCs w:val="21"/>
        </w:rPr>
        <w:t xml:space="preserve">Offer as a fallback only. SMS is vulnerable to SIM-swapping attacks. If you support it, warn users and encourage TOTP/WebAuthn instead.</w:t>
      </w:r>
    </w:p>
    <w:p>
      <w:pPr>
        <w:pStyle w:val="ListParagraph"/>
        <w:numPr>
          <w:ilvl w:val="0"/>
          <w:numId w:val="2"/>
        </w:numPr>
        <w:spacing w:after="80" w:line="280"/>
      </w:pPr>
      <w:r>
        <w:rPr>
          <w:rFonts w:ascii="Arial" w:cs="Arial" w:eastAsia="Arial" w:hAnsi="Arial"/>
          <w:b/>
          <w:bCs/>
          <w:color w:val="1B2A4A"/>
          <w:sz w:val="21"/>
          <w:szCs w:val="21"/>
        </w:rPr>
        <w:t xml:space="preserve">Enforcement Policies: </w:t>
      </w:r>
      <w:r>
        <w:rPr>
          <w:rFonts w:ascii="Arial" w:cs="Arial" w:eastAsia="Arial" w:hAnsi="Arial"/>
          <w:color w:val="333333"/>
          <w:sz w:val="21"/>
          <w:szCs w:val="21"/>
        </w:rPr>
        <w:t xml:space="preserve">Allow org admins to mandate MFA for all members. Require MFA for sensitive actions (billing changes, API key creation) even if not globally enabled. Grace period of 7 days for new members to set up MFA.</w:t>
      </w:r>
    </w:p>
    <w:p>
      <w:pPr>
        <w:spacing w:after="120" w:before="240"/>
      </w:pPr>
      <w:r>
        <w:rPr>
          <w:rFonts w:ascii="Arial" w:cs="Arial" w:eastAsia="Arial" w:hAnsi="Arial"/>
          <w:b/>
          <w:bCs/>
          <w:color w:val="1B2A4A"/>
          <w:sz w:val="24"/>
          <w:szCs w:val="24"/>
        </w:rPr>
        <w:t xml:space="preserve">Onboarding Wizard</w:t>
      </w:r>
    </w:p>
    <w:p>
      <w:pPr>
        <w:spacing w:after="160" w:line="300"/>
      </w:pPr>
      <w:r>
        <w:rPr>
          <w:rFonts w:ascii="Arial" w:cs="Arial" w:eastAsia="Arial" w:hAnsi="Arial"/>
          <w:color w:val="333333"/>
          <w:sz w:val="21"/>
          <w:szCs w:val="21"/>
        </w:rPr>
        <w:t xml:space="preserve">After registration, guide users through a 4-step wizard:</w:t>
      </w:r>
    </w:p>
    <w:p>
      <w:pPr>
        <w:pStyle w:val="ListParagraph"/>
        <w:numPr>
          <w:ilvl w:val="0"/>
          <w:numId w:val="2"/>
        </w:numPr>
        <w:spacing w:after="80" w:line="280"/>
      </w:pPr>
      <w:r>
        <w:rPr>
          <w:rFonts w:ascii="Arial" w:cs="Arial" w:eastAsia="Arial" w:hAnsi="Arial"/>
          <w:b/>
          <w:bCs/>
          <w:color w:val="1B2A4A"/>
          <w:sz w:val="21"/>
          <w:szCs w:val="21"/>
        </w:rPr>
        <w:t xml:space="preserve">Step 1 — Profile: </w:t>
      </w:r>
      <w:r>
        <w:rPr>
          <w:rFonts w:ascii="Arial" w:cs="Arial" w:eastAsia="Arial" w:hAnsi="Arial"/>
          <w:color w:val="333333"/>
          <w:sz w:val="21"/>
          <w:szCs w:val="21"/>
        </w:rPr>
        <w:t xml:space="preserve">Name, company (optional), use case selection (chatbot, code generation, content, embeddings, agents, other). This data feeds your analytics and helps you personalize the dashboard.</w:t>
      </w:r>
    </w:p>
    <w:p>
      <w:pPr>
        <w:pStyle w:val="ListParagraph"/>
        <w:numPr>
          <w:ilvl w:val="0"/>
          <w:numId w:val="2"/>
        </w:numPr>
        <w:spacing w:after="80" w:line="280"/>
      </w:pPr>
      <w:r>
        <w:rPr>
          <w:rFonts w:ascii="Arial" w:cs="Arial" w:eastAsia="Arial" w:hAnsi="Arial"/>
          <w:b/>
          <w:bCs/>
          <w:color w:val="1B2A4A"/>
          <w:sz w:val="21"/>
          <w:szCs w:val="21"/>
        </w:rPr>
        <w:t xml:space="preserve">Step 2 — Create Organization: </w:t>
      </w:r>
      <w:r>
        <w:rPr>
          <w:rFonts w:ascii="Arial" w:cs="Arial" w:eastAsia="Arial" w:hAnsi="Arial"/>
          <w:color w:val="333333"/>
          <w:sz w:val="21"/>
          <w:szCs w:val="21"/>
        </w:rPr>
        <w:t xml:space="preserve">Auto-create a personal org, or let them name a team org. If invited via email, skip this and join the existing org.</w:t>
      </w:r>
    </w:p>
    <w:p>
      <w:pPr>
        <w:pStyle w:val="ListParagraph"/>
        <w:numPr>
          <w:ilvl w:val="0"/>
          <w:numId w:val="2"/>
        </w:numPr>
        <w:spacing w:after="80" w:line="280"/>
      </w:pPr>
      <w:r>
        <w:rPr>
          <w:rFonts w:ascii="Arial" w:cs="Arial" w:eastAsia="Arial" w:hAnsi="Arial"/>
          <w:b/>
          <w:bCs/>
          <w:color w:val="1B2A4A"/>
          <w:sz w:val="21"/>
          <w:szCs w:val="21"/>
        </w:rPr>
        <w:t xml:space="preserve">Step 3 — Generate First API Key: </w:t>
      </w:r>
      <w:r>
        <w:rPr>
          <w:rFonts w:ascii="Arial" w:cs="Arial" w:eastAsia="Arial" w:hAnsi="Arial"/>
          <w:color w:val="333333"/>
          <w:sz w:val="21"/>
          <w:szCs w:val="21"/>
        </w:rPr>
        <w:t xml:space="preserve">Auto-generate a key, show it once with a copy button, and provide a curl command they can paste into terminal immediately. Show the exact response they should expect.</w:t>
      </w:r>
    </w:p>
    <w:p>
      <w:pPr>
        <w:pStyle w:val="ListParagraph"/>
        <w:numPr>
          <w:ilvl w:val="0"/>
          <w:numId w:val="2"/>
        </w:numPr>
        <w:spacing w:after="80" w:line="280"/>
      </w:pPr>
      <w:r>
        <w:rPr>
          <w:rFonts w:ascii="Arial" w:cs="Arial" w:eastAsia="Arial" w:hAnsi="Arial"/>
          <w:b/>
          <w:bCs/>
          <w:color w:val="1B2A4A"/>
          <w:sz w:val="21"/>
          <w:szCs w:val="21"/>
        </w:rPr>
        <w:t xml:space="preserve">Step 4 — First API Call: </w:t>
      </w:r>
      <w:r>
        <w:rPr>
          <w:rFonts w:ascii="Arial" w:cs="Arial" w:eastAsia="Arial" w:hAnsi="Arial"/>
          <w:color w:val="333333"/>
          <w:sz w:val="21"/>
          <w:szCs w:val="21"/>
        </w:rPr>
        <w:t xml:space="preserve">Embed an interactive terminal or playground right in the wizard. Let them send a real request and see the response. This is the magic moment — optimize ruthlessly for it.</w:t>
      </w:r>
    </w:p>
    <w:p>
      <w:pPr>
        <w:pBdr>
          <w:bottom w:val="single" w:color="D5E8F0" w:sz="4" w:space="8"/>
        </w:pBdr>
        <w:spacing w:after="200" w:before="200"/>
      </w:pPr>
    </w:p>
    <w:p>
      <w:pPr>
        <w:pStyle w:val="Heading2"/>
        <w:spacing w:after="160" w:before="360"/>
      </w:pPr>
      <w:r>
        <w:rPr>
          <w:rFonts w:ascii="Arial" w:cs="Arial" w:eastAsia="Arial" w:hAnsi="Arial"/>
          <w:b/>
          <w:bCs/>
          <w:color w:val="2E75B6"/>
          <w:sz w:val="28"/>
          <w:szCs w:val="28"/>
        </w:rPr>
        <w:t xml:space="preserve">1.2 Organization &amp; Workspace Model</w:t>
      </w:r>
    </w:p>
    <w:p>
      <w:pPr>
        <w:spacing w:after="160" w:line="300"/>
      </w:pPr>
      <w:r>
        <w:rPr>
          <w:rFonts w:ascii="Arial" w:cs="Arial" w:eastAsia="Arial" w:hAnsi="Arial"/>
          <w:color w:val="333333"/>
          <w:sz w:val="21"/>
          <w:szCs w:val="21"/>
        </w:rPr>
        <w:t xml:space="preserve">The multi-tenancy model determines how users, billing, keys, and data are isolated. Get the hierarchy wrong and you will be rewriting it painfully in 12 months.</w:t>
      </w:r>
    </w:p>
    <w:p>
      <w:pPr>
        <w:spacing w:after="120" w:before="240"/>
      </w:pPr>
      <w:r>
        <w:rPr>
          <w:rFonts w:ascii="Arial" w:cs="Arial" w:eastAsia="Arial" w:hAnsi="Arial"/>
          <w:b/>
          <w:bCs/>
          <w:color w:val="1B2A4A"/>
          <w:sz w:val="24"/>
          <w:szCs w:val="24"/>
        </w:rPr>
        <w:t xml:space="preserve">Recommended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Contains</w:t>
            </w:r>
          </w:p>
        </w:tc>
        <w:tc>
          <w:tcPr>
            <w:tcW w:type="dxa" w:w="48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User Account</w:t>
            </w:r>
          </w:p>
        </w:tc>
        <w:tc>
          <w:tcPr>
            <w:tcW w:type="dxa" w:w="2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Profile, auth credentials, MFA settings</w:t>
            </w:r>
          </w:p>
        </w:tc>
        <w:tc>
          <w:tcPr>
            <w:tcW w:type="dxa" w:w="4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Individual identity. Can belong to multiple orgs.</w:t>
            </w:r>
          </w:p>
        </w:tc>
      </w:tr>
      <w:tr>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Organization</w:t>
            </w:r>
          </w:p>
        </w:tc>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Workspaces, members, billing, SSO config</w:t>
            </w:r>
          </w:p>
        </w:tc>
        <w:tc>
          <w:tcPr>
            <w:tcW w:type="dxa" w:w="48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Top-level tenant. Maps to a company or team. Owns the billing relationship.</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Workspace / Project</w:t>
            </w:r>
          </w:p>
        </w:tc>
        <w:tc>
          <w:tcPr>
            <w:tcW w:type="dxa" w:w="2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API keys, usage quotas, logs, fine-tuned models</w:t>
            </w:r>
          </w:p>
        </w:tc>
        <w:tc>
          <w:tcPr>
            <w:tcW w:type="dxa" w:w="4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Logical isolation within an org. E.g., "Production", "Staging", "Research". Enables per-project cost tracking.</w:t>
            </w:r>
          </w:p>
        </w:tc>
      </w:tr>
      <w:tr>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API Key</w:t>
            </w:r>
          </w:p>
        </w:tc>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Scoped permissions, rate limits, spend caps</w:t>
            </w:r>
          </w:p>
        </w:tc>
        <w:tc>
          <w:tcPr>
            <w:tcW w:type="dxa" w:w="48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Bound to a workspace. Each key has independent limits and audit trail.</w:t>
            </w:r>
          </w:p>
        </w:tc>
      </w:tr>
    </w:tbl>
    <w:p>
      <w:pPr>
        <w:spacing w:after="100"/>
      </w:pPr>
    </w:p>
    <w:p>
      <w:pPr>
        <w:spacing w:after="120" w:before="240"/>
      </w:pPr>
      <w:r>
        <w:rPr>
          <w:rFonts w:ascii="Arial" w:cs="Arial" w:eastAsia="Arial" w:hAnsi="Arial"/>
          <w:b/>
          <w:bCs/>
          <w:color w:val="1B2A4A"/>
          <w:sz w:val="24"/>
          <w:szCs w:val="24"/>
        </w:rPr>
        <w:t xml:space="preserve">Role-Based Access Control (RBAC)</w:t>
      </w:r>
    </w:p>
    <w:p>
      <w:pPr>
        <w:spacing w:after="160" w:line="300"/>
      </w:pPr>
      <w:r>
        <w:rPr>
          <w:rFonts w:ascii="Arial" w:cs="Arial" w:eastAsia="Arial" w:hAnsi="Arial"/>
          <w:color w:val="333333"/>
          <w:sz w:val="21"/>
          <w:szCs w:val="21"/>
        </w:rPr>
        <w:t xml:space="preserve">Define roles at the organization level with workspace-level overrides. The minimum viable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1680"/>
        <w:gridCol w:w="1680"/>
      </w:tblGrid>
      <w:tr>
        <w:tc>
          <w:tcPr>
            <w:tcW w:type="dxa" w:w="1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Mgmt</w:t>
            </w:r>
          </w:p>
        </w:tc>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Billing</w:t>
            </w:r>
          </w:p>
        </w:tc>
        <w:tc>
          <w:tcPr>
            <w:tcW w:type="dxa" w:w="1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Members</w:t>
            </w:r>
          </w:p>
        </w:tc>
        <w:tc>
          <w:tcPr>
            <w:tcW w:type="dxa" w:w="1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Settings</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Owner</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Full CRUD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Full access, payment methods</w:t>
            </w:r>
          </w:p>
        </w:tc>
        <w:tc>
          <w:tcPr>
            <w:tcW w:type="dxa" w:w="1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Invite/remove all</w:t>
            </w:r>
          </w:p>
        </w:tc>
        <w:tc>
          <w:tcPr>
            <w:tcW w:type="dxa" w:w="1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All settings</w:t>
            </w:r>
          </w:p>
        </w:tc>
      </w:tr>
      <w:tr>
        <w:tc>
          <w:tcPr>
            <w:tcW w:type="dxa" w:w="1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33333"/>
                <w:sz w:val="20"/>
                <w:szCs w:val="20"/>
              </w:rPr>
              <w:t xml:space="preserve">Admin</w:t>
            </w:r>
          </w:p>
        </w:tc>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Full CRUD</w:t>
            </w:r>
          </w:p>
        </w:tc>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View usage, no payment changes</w:t>
            </w:r>
          </w:p>
        </w:tc>
        <w:tc>
          <w:tcPr>
            <w:tcW w:type="dxa" w:w="16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Invite/remove (not owners)</w:t>
            </w:r>
          </w:p>
        </w:tc>
        <w:tc>
          <w:tcPr>
            <w:tcW w:type="dxa" w:w="16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Most settings</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Developer</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Create, rotate own keys</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View own usage</w:t>
            </w:r>
          </w:p>
        </w:tc>
        <w:tc>
          <w:tcPr>
            <w:tcW w:type="dxa" w:w="1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View only</w:t>
            </w:r>
          </w:p>
        </w:tc>
        <w:tc>
          <w:tcPr>
            <w:tcW w:type="dxa" w:w="1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None</w:t>
            </w:r>
          </w:p>
        </w:tc>
      </w:tr>
      <w:tr>
        <w:tc>
          <w:tcPr>
            <w:tcW w:type="dxa" w:w="1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33333"/>
                <w:sz w:val="20"/>
                <w:szCs w:val="20"/>
              </w:rPr>
              <w:t xml:space="preserve">Viewer</w:t>
            </w:r>
          </w:p>
        </w:tc>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View only</w:t>
            </w:r>
          </w:p>
        </w:tc>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View only</w:t>
            </w:r>
          </w:p>
        </w:tc>
        <w:tc>
          <w:tcPr>
            <w:tcW w:type="dxa" w:w="16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View only</w:t>
            </w:r>
          </w:p>
        </w:tc>
        <w:tc>
          <w:tcPr>
            <w:tcW w:type="dxa" w:w="16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None</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Finance</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Full access</w:t>
            </w:r>
          </w:p>
        </w:tc>
        <w:tc>
          <w:tcPr>
            <w:tcW w:type="dxa" w:w="1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1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Billing only</w:t>
            </w:r>
          </w:p>
        </w:tc>
      </w:tr>
    </w:tbl>
    <w:p>
      <w:pPr>
        <w:spacing w:after="100"/>
      </w:pPr>
    </w:p>
    <w:p>
      <w:pPr>
        <w:spacing w:after="160" w:line="300"/>
      </w:pPr>
      <w:r>
        <w:rPr>
          <w:rFonts w:ascii="Arial" w:cs="Arial" w:eastAsia="Arial" w:hAnsi="Arial"/>
          <w:color w:val="333333"/>
          <w:sz w:val="21"/>
          <w:szCs w:val="21"/>
        </w:rPr>
        <w:t xml:space="preserve">Enterprise customers will eventually need custom roles. Build the system as a permission matrix from the start (a role is just a named set of permissions), so adding custom roles later is a configuration change, not a code rewrite.</w:t>
      </w:r>
    </w:p>
    <w:p>
      <w:pPr>
        <w:spacing w:after="160" w:line="300"/>
      </w:pPr>
      <w:r>
        <w:rPr>
          <w:rFonts w:ascii="Arial" w:cs="Arial" w:eastAsia="Arial" w:hAnsi="Arial"/>
          <w:color w:val="333333"/>
          <w:sz w:val="21"/>
          <w:szCs w:val="21"/>
        </w:rPr>
        <w:t xml:space="preserve">Key permissions to model: api_keys.create, api_keys.read, api_keys.delete, api_keys.rotate, billing.read, billing.manage, members.invite, members.remove, members.change_role, settings.read, settings.manage, logs.read, logs.export, models.fine_tune, models.deploy, usage.read, usage.export.</w:t>
      </w:r>
    </w:p>
    <w:p>
      <w:pPr>
        <w:spacing w:after="120" w:before="240"/>
      </w:pPr>
      <w:r>
        <w:rPr>
          <w:rFonts w:ascii="Arial" w:cs="Arial" w:eastAsia="Arial" w:hAnsi="Arial"/>
          <w:b/>
          <w:bCs/>
          <w:color w:val="1B2A4A"/>
          <w:sz w:val="24"/>
          <w:szCs w:val="24"/>
        </w:rPr>
        <w:t xml:space="preserve">Invitation &amp; Member Management</w:t>
      </w:r>
    </w:p>
    <w:p>
      <w:pPr>
        <w:pStyle w:val="ListParagraph"/>
        <w:numPr>
          <w:ilvl w:val="0"/>
          <w:numId w:val="2"/>
        </w:numPr>
        <w:spacing w:after="80" w:line="280"/>
      </w:pPr>
      <w:r>
        <w:rPr>
          <w:rFonts w:ascii="Arial" w:cs="Arial" w:eastAsia="Arial" w:hAnsi="Arial"/>
          <w:b/>
          <w:bCs/>
          <w:color w:val="1B2A4A"/>
          <w:sz w:val="21"/>
          <w:szCs w:val="21"/>
        </w:rPr>
        <w:t xml:space="preserve">Email Invitations: </w:t>
      </w:r>
      <w:r>
        <w:rPr>
          <w:rFonts w:ascii="Arial" w:cs="Arial" w:eastAsia="Arial" w:hAnsi="Arial"/>
          <w:color w:val="333333"/>
          <w:sz w:val="21"/>
          <w:szCs w:val="21"/>
        </w:rPr>
        <w:t xml:space="preserve">Invite by email with role pre-assigned. Invitations expire after 7 days. Pending invites visible in the member list with resend/revoke options.</w:t>
      </w:r>
    </w:p>
    <w:p>
      <w:pPr>
        <w:pStyle w:val="ListParagraph"/>
        <w:numPr>
          <w:ilvl w:val="0"/>
          <w:numId w:val="2"/>
        </w:numPr>
        <w:spacing w:after="80" w:line="280"/>
      </w:pPr>
      <w:r>
        <w:rPr>
          <w:rFonts w:ascii="Arial" w:cs="Arial" w:eastAsia="Arial" w:hAnsi="Arial"/>
          <w:b/>
          <w:bCs/>
          <w:color w:val="1B2A4A"/>
          <w:sz w:val="21"/>
          <w:szCs w:val="21"/>
        </w:rPr>
        <w:t xml:space="preserve">Domain Verification: </w:t>
      </w:r>
      <w:r>
        <w:rPr>
          <w:rFonts w:ascii="Arial" w:cs="Arial" w:eastAsia="Arial" w:hAnsi="Arial"/>
          <w:color w:val="333333"/>
          <w:sz w:val="21"/>
          <w:szCs w:val="21"/>
        </w:rPr>
        <w:t xml:space="preserve">Enterprise feature. Verify a domain (e.g., acme.com) and auto-approve anyone with that email domain. Combined with SSO/JIT, this means zero manual provisioning.</w:t>
      </w:r>
    </w:p>
    <w:p>
      <w:pPr>
        <w:pStyle w:val="ListParagraph"/>
        <w:numPr>
          <w:ilvl w:val="0"/>
          <w:numId w:val="2"/>
        </w:numPr>
        <w:spacing w:after="80" w:line="280"/>
      </w:pPr>
      <w:r>
        <w:rPr>
          <w:rFonts w:ascii="Arial" w:cs="Arial" w:eastAsia="Arial" w:hAnsi="Arial"/>
          <w:b/>
          <w:bCs/>
          <w:color w:val="1B2A4A"/>
          <w:sz w:val="21"/>
          <w:szCs w:val="21"/>
        </w:rPr>
        <w:t xml:space="preserve">Member Directory: </w:t>
      </w:r>
      <w:r>
        <w:rPr>
          <w:rFonts w:ascii="Arial" w:cs="Arial" w:eastAsia="Arial" w:hAnsi="Arial"/>
          <w:color w:val="333333"/>
          <w:sz w:val="21"/>
          <w:szCs w:val="21"/>
        </w:rPr>
        <w:t xml:space="preserve">Show name, email, role, workspaces, last active date, MFA status. Admins can filter by role, sort by last active, and bulk-deactivate stale accounts.</w:t>
      </w:r>
    </w:p>
    <w:p>
      <w:pPr>
        <w:pStyle w:val="ListParagraph"/>
        <w:numPr>
          <w:ilvl w:val="0"/>
          <w:numId w:val="2"/>
        </w:numPr>
        <w:spacing w:after="80" w:line="280"/>
      </w:pPr>
      <w:r>
        <w:rPr>
          <w:rFonts w:ascii="Arial" w:cs="Arial" w:eastAsia="Arial" w:hAnsi="Arial"/>
          <w:b/>
          <w:bCs/>
          <w:color w:val="1B2A4A"/>
          <w:sz w:val="21"/>
          <w:szCs w:val="21"/>
        </w:rPr>
        <w:t xml:space="preserve">Offboarding: </w:t>
      </w:r>
      <w:r>
        <w:rPr>
          <w:rFonts w:ascii="Arial" w:cs="Arial" w:eastAsia="Arial" w:hAnsi="Arial"/>
          <w:color w:val="333333"/>
          <w:sz w:val="21"/>
          <w:szCs w:val="21"/>
        </w:rPr>
        <w:t xml:space="preserve">When a member is removed, immediately revoke all API keys they created (with a confirmation dialog showing which keys will be affected). Log the removal in the audit trail.</w:t>
      </w:r>
    </w:p>
    <w:p>
      <w:r>
        <w:br w:type="page"/>
      </w:r>
    </w:p>
    <w:p>
      <w:pPr>
        <w:pStyle w:val="Heading1"/>
        <w:spacing w:after="200" w:before="480"/>
      </w:pPr>
      <w:r>
        <w:rPr>
          <w:rFonts w:ascii="Arial" w:cs="Arial" w:eastAsia="Arial" w:hAnsi="Arial"/>
          <w:b/>
          <w:bCs/>
          <w:color w:val="1B2A4A"/>
          <w:sz w:val="36"/>
          <w:szCs w:val="36"/>
        </w:rPr>
        <w:t xml:space="preserve">2. API Key Management</w:t>
      </w:r>
    </w:p>
    <w:p>
      <w:pPr>
        <w:spacing w:after="160" w:line="300"/>
      </w:pPr>
      <w:r>
        <w:rPr>
          <w:rFonts w:ascii="Arial" w:cs="Arial" w:eastAsia="Arial" w:hAnsi="Arial"/>
          <w:color w:val="333333"/>
          <w:sz w:val="21"/>
          <w:szCs w:val="21"/>
        </w:rPr>
        <w:t xml:space="preserve">API keys are the single most-touched feature on your platform. Developers create them, rotate them, scope them, and debug with them daily. The UX here directly correlates with developer satisfaction and retention.</w:t>
      </w:r>
    </w:p>
    <w:p>
      <w:pPr>
        <w:pStyle w:val="Heading2"/>
        <w:spacing w:after="160" w:before="360"/>
      </w:pPr>
      <w:r>
        <w:rPr>
          <w:rFonts w:ascii="Arial" w:cs="Arial" w:eastAsia="Arial" w:hAnsi="Arial"/>
          <w:b/>
          <w:bCs/>
          <w:color w:val="2E75B6"/>
          <w:sz w:val="28"/>
          <w:szCs w:val="28"/>
        </w:rPr>
        <w:t xml:space="preserve">2.1 Key Lifecycle</w:t>
      </w:r>
    </w:p>
    <w:p>
      <w:pPr>
        <w:spacing w:after="120" w:before="240"/>
      </w:pPr>
      <w:r>
        <w:rPr>
          <w:rFonts w:ascii="Arial" w:cs="Arial" w:eastAsia="Arial" w:hAnsi="Arial"/>
          <w:b/>
          <w:bCs/>
          <w:color w:val="1B2A4A"/>
          <w:sz w:val="24"/>
          <w:szCs w:val="24"/>
        </w:rPr>
        <w:t xml:space="preserve">Creation</w:t>
      </w:r>
    </w:p>
    <w:p>
      <w:pPr>
        <w:pStyle w:val="ListParagraph"/>
        <w:numPr>
          <w:ilvl w:val="0"/>
          <w:numId w:val="2"/>
        </w:numPr>
        <w:spacing w:after="80" w:line="280"/>
      </w:pPr>
      <w:r>
        <w:rPr>
          <w:rFonts w:ascii="Arial" w:cs="Arial" w:eastAsia="Arial" w:hAnsi="Arial"/>
          <w:b/>
          <w:bCs/>
          <w:color w:val="1B2A4A"/>
          <w:sz w:val="21"/>
          <w:szCs w:val="21"/>
        </w:rPr>
        <w:t xml:space="preserve">Naming: </w:t>
      </w:r>
      <w:r>
        <w:rPr>
          <w:rFonts w:ascii="Arial" w:cs="Arial" w:eastAsia="Arial" w:hAnsi="Arial"/>
          <w:color w:val="333333"/>
          <w:sz w:val="21"/>
          <w:szCs w:val="21"/>
        </w:rPr>
        <w:t xml:space="preserve">Require a human-readable label at creation (“production-backend”, “staging-chatbot”, “johns-local-dev”). This is critical for debugging — when a key is rate-limited or spending too much, the name tells you which service it is.</w:t>
      </w:r>
    </w:p>
    <w:p>
      <w:pPr>
        <w:pStyle w:val="ListParagraph"/>
        <w:numPr>
          <w:ilvl w:val="0"/>
          <w:numId w:val="2"/>
        </w:numPr>
        <w:spacing w:after="80" w:line="280"/>
      </w:pPr>
      <w:r>
        <w:rPr>
          <w:rFonts w:ascii="Arial" w:cs="Arial" w:eastAsia="Arial" w:hAnsi="Arial"/>
          <w:b/>
          <w:bCs/>
          <w:color w:val="1B2A4A"/>
          <w:sz w:val="21"/>
          <w:szCs w:val="21"/>
        </w:rPr>
        <w:t xml:space="preserve">Prefix System: </w:t>
      </w:r>
      <w:r>
        <w:rPr>
          <w:rFonts w:ascii="Arial" w:cs="Arial" w:eastAsia="Arial" w:hAnsi="Arial"/>
          <w:color w:val="333333"/>
          <w:sz w:val="21"/>
          <w:szCs w:val="21"/>
        </w:rPr>
        <w:t xml:space="preserve">Generate keys with a recognizable prefix: sk-live-xxxxxxxx for production keys, sk-test-xxxxxxxx for sandbox/test keys. The prefix lets developers immediately identify the key type in their code and config files.</w:t>
      </w:r>
    </w:p>
    <w:p>
      <w:pPr>
        <w:pStyle w:val="ListParagraph"/>
        <w:numPr>
          <w:ilvl w:val="0"/>
          <w:numId w:val="2"/>
        </w:numPr>
        <w:spacing w:after="80" w:line="280"/>
      </w:pPr>
      <w:r>
        <w:rPr>
          <w:rFonts w:ascii="Arial" w:cs="Arial" w:eastAsia="Arial" w:hAnsi="Arial"/>
          <w:b/>
          <w:bCs/>
          <w:color w:val="1B2A4A"/>
          <w:sz w:val="21"/>
          <w:szCs w:val="21"/>
        </w:rPr>
        <w:t xml:space="preserve">Display Once: </w:t>
      </w:r>
      <w:r>
        <w:rPr>
          <w:rFonts w:ascii="Arial" w:cs="Arial" w:eastAsia="Arial" w:hAnsi="Arial"/>
          <w:color w:val="333333"/>
          <w:sz w:val="21"/>
          <w:szCs w:val="21"/>
        </w:rPr>
        <w:t xml:space="preserve">Show the full key exactly once at creation, with a prominent copy-to-clipboard button and a warning: “This key will not be shown again.” Store only the bcrypt hash. After creation, the dashboard shows the prefix and last 4 characters only (e.g., sk-live-...a7f3).</w:t>
      </w:r>
    </w:p>
    <w:p>
      <w:pPr>
        <w:pStyle w:val="ListParagraph"/>
        <w:numPr>
          <w:ilvl w:val="0"/>
          <w:numId w:val="2"/>
        </w:numPr>
        <w:spacing w:after="80" w:line="280"/>
      </w:pPr>
      <w:r>
        <w:rPr>
          <w:rFonts w:ascii="Arial" w:cs="Arial" w:eastAsia="Arial" w:hAnsi="Arial"/>
          <w:b/>
          <w:bCs/>
          <w:color w:val="1B2A4A"/>
          <w:sz w:val="21"/>
          <w:szCs w:val="21"/>
        </w:rPr>
        <w:t xml:space="preserve">Workspace Binding: </w:t>
      </w:r>
      <w:r>
        <w:rPr>
          <w:rFonts w:ascii="Arial" w:cs="Arial" w:eastAsia="Arial" w:hAnsi="Arial"/>
          <w:color w:val="333333"/>
          <w:sz w:val="21"/>
          <w:szCs w:val="21"/>
        </w:rPr>
        <w:t xml:space="preserve">Every key is created within a specific workspace. Usage and billing are attributed to that workspace. Keys cannot be moved between workspaces (create a new one instead).</w:t>
      </w:r>
    </w:p>
    <w:p>
      <w:pPr>
        <w:spacing w:after="120" w:before="240"/>
      </w:pPr>
      <w:r>
        <w:rPr>
          <w:rFonts w:ascii="Arial" w:cs="Arial" w:eastAsia="Arial" w:hAnsi="Arial"/>
          <w:b/>
          <w:bCs/>
          <w:color w:val="1B2A4A"/>
          <w:sz w:val="24"/>
          <w:szCs w:val="24"/>
        </w:rPr>
        <w:t xml:space="preserve">Rotation</w:t>
      </w:r>
    </w:p>
    <w:p>
      <w:pPr>
        <w:spacing w:after="160" w:line="300"/>
      </w:pPr>
      <w:r>
        <w:rPr>
          <w:rFonts w:ascii="Arial" w:cs="Arial" w:eastAsia="Arial" w:hAnsi="Arial"/>
          <w:color w:val="333333"/>
          <w:sz w:val="21"/>
          <w:szCs w:val="21"/>
        </w:rPr>
        <w:t xml:space="preserve">Key rotation is a security best practice that most platforms handle poorly. Build a graceful rotation flow:</w:t>
      </w:r>
    </w:p>
    <w:p>
      <w:pPr>
        <w:pStyle w:val="ListParagraph"/>
        <w:numPr>
          <w:ilvl w:val="0"/>
          <w:numId w:val="2"/>
        </w:numPr>
        <w:spacing w:after="80" w:line="280"/>
      </w:pPr>
      <w:r>
        <w:rPr>
          <w:rFonts w:ascii="Arial" w:cs="Arial" w:eastAsia="Arial" w:hAnsi="Arial"/>
          <w:b/>
          <w:bCs/>
          <w:color w:val="1B2A4A"/>
          <w:sz w:val="21"/>
          <w:szCs w:val="21"/>
        </w:rPr>
        <w:t xml:space="preserve">Step 1: </w:t>
      </w:r>
      <w:r>
        <w:rPr>
          <w:rFonts w:ascii="Arial" w:cs="Arial" w:eastAsia="Arial" w:hAnsi="Arial"/>
          <w:color w:val="333333"/>
          <w:sz w:val="21"/>
          <w:szCs w:val="21"/>
        </w:rPr>
        <w:t xml:space="preserve">User clicks “Rotate” on an existing key. System generates a new key with the same name, scopes, and limits.</w:t>
      </w:r>
    </w:p>
    <w:p>
      <w:pPr>
        <w:pStyle w:val="ListParagraph"/>
        <w:numPr>
          <w:ilvl w:val="0"/>
          <w:numId w:val="2"/>
        </w:numPr>
        <w:spacing w:after="80" w:line="280"/>
      </w:pPr>
      <w:r>
        <w:rPr>
          <w:rFonts w:ascii="Arial" w:cs="Arial" w:eastAsia="Arial" w:hAnsi="Arial"/>
          <w:b/>
          <w:bCs/>
          <w:color w:val="1B2A4A"/>
          <w:sz w:val="21"/>
          <w:szCs w:val="21"/>
        </w:rPr>
        <w:t xml:space="preserve">Step 2: </w:t>
      </w:r>
      <w:r>
        <w:rPr>
          <w:rFonts w:ascii="Arial" w:cs="Arial" w:eastAsia="Arial" w:hAnsi="Arial"/>
          <w:color w:val="333333"/>
          <w:sz w:val="21"/>
          <w:szCs w:val="21"/>
        </w:rPr>
        <w:t xml:space="preserve">Both the old and new key work simultaneously during a configurable grace period (default 24 hours, configurable up to 7 days).</w:t>
      </w:r>
    </w:p>
    <w:p>
      <w:pPr>
        <w:pStyle w:val="ListParagraph"/>
        <w:numPr>
          <w:ilvl w:val="0"/>
          <w:numId w:val="2"/>
        </w:numPr>
        <w:spacing w:after="80" w:line="280"/>
      </w:pPr>
      <w:r>
        <w:rPr>
          <w:rFonts w:ascii="Arial" w:cs="Arial" w:eastAsia="Arial" w:hAnsi="Arial"/>
          <w:b/>
          <w:bCs/>
          <w:color w:val="1B2A4A"/>
          <w:sz w:val="21"/>
          <w:szCs w:val="21"/>
        </w:rPr>
        <w:t xml:space="preserve">Step 3: </w:t>
      </w:r>
      <w:r>
        <w:rPr>
          <w:rFonts w:ascii="Arial" w:cs="Arial" w:eastAsia="Arial" w:hAnsi="Arial"/>
          <w:color w:val="333333"/>
          <w:sz w:val="21"/>
          <w:szCs w:val="21"/>
        </w:rPr>
        <w:t xml:space="preserve">After the grace period, the old key is automatically revoked. Or the user can manually revoke it early once they have confirmed the new key is deployed.</w:t>
      </w:r>
    </w:p>
    <w:p>
      <w:pPr>
        <w:spacing w:after="160" w:line="300"/>
      </w:pPr>
      <w:r>
        <w:rPr>
          <w:rFonts w:ascii="Arial" w:cs="Arial" w:eastAsia="Arial" w:hAnsi="Arial"/>
          <w:color w:val="333333"/>
          <w:sz w:val="21"/>
          <w:szCs w:val="21"/>
        </w:rPr>
        <w:t xml:space="preserve">This dual-active-key approach prevents downtime during rotation — a critical feature for production workloads.</w:t>
      </w:r>
    </w:p>
    <w:p>
      <w:pPr>
        <w:spacing w:after="120" w:before="240"/>
      </w:pPr>
      <w:r>
        <w:rPr>
          <w:rFonts w:ascii="Arial" w:cs="Arial" w:eastAsia="Arial" w:hAnsi="Arial"/>
          <w:b/>
          <w:bCs/>
          <w:color w:val="1B2A4A"/>
          <w:sz w:val="24"/>
          <w:szCs w:val="24"/>
        </w:rPr>
        <w:t xml:space="preserve">Revocation &amp; Expiry</w:t>
      </w:r>
    </w:p>
    <w:p>
      <w:pPr>
        <w:pStyle w:val="ListParagraph"/>
        <w:numPr>
          <w:ilvl w:val="0"/>
          <w:numId w:val="2"/>
        </w:numPr>
        <w:spacing w:after="80" w:line="280"/>
      </w:pPr>
      <w:r>
        <w:rPr>
          <w:rFonts w:ascii="Arial" w:cs="Arial" w:eastAsia="Arial" w:hAnsi="Arial"/>
          <w:b/>
          <w:bCs/>
          <w:color w:val="1B2A4A"/>
          <w:sz w:val="21"/>
          <w:szCs w:val="21"/>
        </w:rPr>
        <w:t xml:space="preserve">Immediate Revocation: </w:t>
      </w:r>
      <w:r>
        <w:rPr>
          <w:rFonts w:ascii="Arial" w:cs="Arial" w:eastAsia="Arial" w:hAnsi="Arial"/>
          <w:color w:val="333333"/>
          <w:sz w:val="21"/>
          <w:szCs w:val="21"/>
        </w:rPr>
        <w:t xml:space="preserve">Revocation takes effect within 1 second (propagated via cache invalidation, not TTL). Show a confirmation dialog listing all services currently using the key (based on recent request logs).</w:t>
      </w:r>
    </w:p>
    <w:p>
      <w:pPr>
        <w:pStyle w:val="ListParagraph"/>
        <w:numPr>
          <w:ilvl w:val="0"/>
          <w:numId w:val="2"/>
        </w:numPr>
        <w:spacing w:after="80" w:line="280"/>
      </w:pPr>
      <w:r>
        <w:rPr>
          <w:rFonts w:ascii="Arial" w:cs="Arial" w:eastAsia="Arial" w:hAnsi="Arial"/>
          <w:b/>
          <w:bCs/>
          <w:color w:val="1B2A4A"/>
          <w:sz w:val="21"/>
          <w:szCs w:val="21"/>
        </w:rPr>
        <w:t xml:space="preserve">Auto-Expiry: </w:t>
      </w:r>
      <w:r>
        <w:rPr>
          <w:rFonts w:ascii="Arial" w:cs="Arial" w:eastAsia="Arial" w:hAnsi="Arial"/>
          <w:color w:val="333333"/>
          <w:sz w:val="21"/>
          <w:szCs w:val="21"/>
        </w:rPr>
        <w:t xml:space="preserve">Allow users to set an expiration date at creation. Send reminder emails at 7 days, 3 days, and 1 day before expiry. Expired keys return HTTP 401 with a clear error message mentioning expiry (not just “unauthorized”).</w:t>
      </w:r>
    </w:p>
    <w:p>
      <w:pPr>
        <w:pStyle w:val="ListParagraph"/>
        <w:numPr>
          <w:ilvl w:val="0"/>
          <w:numId w:val="2"/>
        </w:numPr>
        <w:spacing w:after="80" w:line="280"/>
      </w:pPr>
      <w:r>
        <w:rPr>
          <w:rFonts w:ascii="Arial" w:cs="Arial" w:eastAsia="Arial" w:hAnsi="Arial"/>
          <w:b/>
          <w:bCs/>
          <w:color w:val="1B2A4A"/>
          <w:sz w:val="21"/>
          <w:szCs w:val="21"/>
        </w:rPr>
        <w:t xml:space="preserve">Last-Used Tracking: </w:t>
      </w:r>
      <w:r>
        <w:rPr>
          <w:rFonts w:ascii="Arial" w:cs="Arial" w:eastAsia="Arial" w:hAnsi="Arial"/>
          <w:color w:val="333333"/>
          <w:sz w:val="21"/>
          <w:szCs w:val="21"/>
        </w:rPr>
        <w:t xml:space="preserve">Show when each key was last used, from which IP address, and which model was called. Stale keys (unused for 90+ days) should be flagged with a cleanup suggestion.</w:t>
      </w:r>
    </w:p>
    <w:p>
      <w:pPr>
        <w:pStyle w:val="Heading2"/>
        <w:spacing w:after="160" w:before="360"/>
      </w:pPr>
      <w:r>
        <w:rPr>
          <w:rFonts w:ascii="Arial" w:cs="Arial" w:eastAsia="Arial" w:hAnsi="Arial"/>
          <w:b/>
          <w:bCs/>
          <w:color w:val="2E75B6"/>
          <w:sz w:val="28"/>
          <w:szCs w:val="28"/>
        </w:rPr>
        <w:t xml:space="preserve">2.2 Key Scoping &amp; Permissions</w:t>
      </w:r>
    </w:p>
    <w:p>
      <w:pPr>
        <w:spacing w:after="160" w:line="300"/>
      </w:pPr>
      <w:r>
        <w:rPr>
          <w:rFonts w:ascii="Arial" w:cs="Arial" w:eastAsia="Arial" w:hAnsi="Arial"/>
          <w:color w:val="333333"/>
          <w:sz w:val="21"/>
          <w:szCs w:val="21"/>
        </w:rPr>
        <w:t xml:space="preserve">Granular key scoping is a massive differentiator and an enterprise requirement. Every key should support the following restrictions:</w:t>
      </w:r>
    </w:p>
    <w:p>
      <w:pPr>
        <w:spacing w:after="120" w:before="240"/>
      </w:pPr>
      <w:r>
        <w:rPr>
          <w:rFonts w:ascii="Arial" w:cs="Arial" w:eastAsia="Arial" w:hAnsi="Arial"/>
          <w:b/>
          <w:bCs/>
          <w:color w:val="1B2A4A"/>
          <w:sz w:val="24"/>
          <w:szCs w:val="24"/>
        </w:rPr>
        <w:t xml:space="preserve">Model Restrictions</w:t>
      </w:r>
    </w:p>
    <w:p>
      <w:pPr>
        <w:spacing w:after="160" w:line="300"/>
      </w:pPr>
      <w:r>
        <w:rPr>
          <w:rFonts w:ascii="Arial" w:cs="Arial" w:eastAsia="Arial" w:hAnsi="Arial"/>
          <w:color w:val="333333"/>
          <w:sz w:val="21"/>
          <w:szCs w:val="21"/>
        </w:rPr>
        <w:t xml:space="preserve">Allow-list specific models a key can access. For example, a customer support chatbot key might only be allowed to call llama-3.1-70b and mistral-large, while a code generation key might only access deepseek-coder. Requests to unauthorized models return HTTP 403 with a clear error.</w:t>
      </w:r>
    </w:p>
    <w:p>
      <w:pPr>
        <w:spacing w:after="120" w:before="240"/>
      </w:pPr>
      <w:r>
        <w:rPr>
          <w:rFonts w:ascii="Arial" w:cs="Arial" w:eastAsia="Arial" w:hAnsi="Arial"/>
          <w:b/>
          <w:bCs/>
          <w:color w:val="1B2A4A"/>
          <w:sz w:val="24"/>
          <w:szCs w:val="24"/>
        </w:rPr>
        <w:t xml:space="preserve">Endpoint Restrictions</w:t>
      </w:r>
    </w:p>
    <w:p>
      <w:pPr>
        <w:spacing w:after="160" w:line="300"/>
      </w:pPr>
      <w:r>
        <w:rPr>
          <w:rFonts w:ascii="Arial" w:cs="Arial" w:eastAsia="Arial" w:hAnsi="Arial"/>
          <w:color w:val="333333"/>
          <w:sz w:val="21"/>
          <w:szCs w:val="21"/>
        </w:rPr>
        <w:t xml:space="preserve">Restrict keys to specific endpoints: /v1/chat/completions only, /v1/embeddings only, no access to /v1/fine-tuning, etc. This prevents a leaked embedding key from being used to generate chat completions.</w:t>
      </w:r>
    </w:p>
    <w:p>
      <w:pPr>
        <w:spacing w:after="120" w:before="240"/>
      </w:pPr>
      <w:r>
        <w:rPr>
          <w:rFonts w:ascii="Arial" w:cs="Arial" w:eastAsia="Arial" w:hAnsi="Arial"/>
          <w:b/>
          <w:bCs/>
          <w:color w:val="1B2A4A"/>
          <w:sz w:val="24"/>
          <w:szCs w:val="24"/>
        </w:rPr>
        <w:t xml:space="preserve">Rate Limits (Per-Key)</w:t>
      </w:r>
    </w:p>
    <w:p>
      <w:pPr>
        <w:pStyle w:val="ListParagraph"/>
        <w:numPr>
          <w:ilvl w:val="0"/>
          <w:numId w:val="2"/>
        </w:numPr>
        <w:spacing w:after="80" w:line="280"/>
      </w:pPr>
      <w:r>
        <w:rPr>
          <w:rFonts w:ascii="Arial" w:cs="Arial" w:eastAsia="Arial" w:hAnsi="Arial"/>
          <w:b/>
          <w:bCs/>
          <w:color w:val="1B2A4A"/>
          <w:sz w:val="21"/>
          <w:szCs w:val="21"/>
        </w:rPr>
        <w:t xml:space="preserve">Requests per minute (RPM): </w:t>
      </w:r>
      <w:r>
        <w:rPr>
          <w:rFonts w:ascii="Arial" w:cs="Arial" w:eastAsia="Arial" w:hAnsi="Arial"/>
          <w:color w:val="333333"/>
          <w:sz w:val="21"/>
          <w:szCs w:val="21"/>
        </w:rPr>
        <w:t xml:space="preserve">Hard cap on total requests. E.g., 60 RPM for a development key vs. 6000 RPM for production.</w:t>
      </w:r>
    </w:p>
    <w:p>
      <w:pPr>
        <w:pStyle w:val="ListParagraph"/>
        <w:numPr>
          <w:ilvl w:val="0"/>
          <w:numId w:val="2"/>
        </w:numPr>
        <w:spacing w:after="80" w:line="280"/>
      </w:pPr>
      <w:r>
        <w:rPr>
          <w:rFonts w:ascii="Arial" w:cs="Arial" w:eastAsia="Arial" w:hAnsi="Arial"/>
          <w:b/>
          <w:bCs/>
          <w:color w:val="1B2A4A"/>
          <w:sz w:val="21"/>
          <w:szCs w:val="21"/>
        </w:rPr>
        <w:t xml:space="preserve">Tokens per minute (TPM): </w:t>
      </w:r>
      <w:r>
        <w:rPr>
          <w:rFonts w:ascii="Arial" w:cs="Arial" w:eastAsia="Arial" w:hAnsi="Arial"/>
          <w:color w:val="333333"/>
          <w:sz w:val="21"/>
          <w:szCs w:val="21"/>
        </w:rPr>
        <w:t xml:space="preserve">Cap on total input + output tokens per minute. This is the more meaningful limit for cost control.</w:t>
      </w:r>
    </w:p>
    <w:p>
      <w:pPr>
        <w:pStyle w:val="ListParagraph"/>
        <w:numPr>
          <w:ilvl w:val="0"/>
          <w:numId w:val="2"/>
        </w:numPr>
        <w:spacing w:after="80" w:line="280"/>
      </w:pPr>
      <w:r>
        <w:rPr>
          <w:rFonts w:ascii="Arial" w:cs="Arial" w:eastAsia="Arial" w:hAnsi="Arial"/>
          <w:b/>
          <w:bCs/>
          <w:color w:val="1B2A4A"/>
          <w:sz w:val="21"/>
          <w:szCs w:val="21"/>
        </w:rPr>
        <w:t xml:space="preserve">Concurrent requests: </w:t>
      </w:r>
      <w:r>
        <w:rPr>
          <w:rFonts w:ascii="Arial" w:cs="Arial" w:eastAsia="Arial" w:hAnsi="Arial"/>
          <w:color w:val="333333"/>
          <w:sz w:val="21"/>
          <w:szCs w:val="21"/>
        </w:rPr>
        <w:t xml:space="preserve">Maximum simultaneous in-flight requests. Prevents a single key from monopolizing inference capacity.</w:t>
      </w:r>
    </w:p>
    <w:p>
      <w:pPr>
        <w:spacing w:after="120" w:before="240"/>
      </w:pPr>
      <w:r>
        <w:rPr>
          <w:rFonts w:ascii="Arial" w:cs="Arial" w:eastAsia="Arial" w:hAnsi="Arial"/>
          <w:b/>
          <w:bCs/>
          <w:color w:val="1B2A4A"/>
          <w:sz w:val="24"/>
          <w:szCs w:val="24"/>
        </w:rPr>
        <w:t xml:space="preserve">Spend Caps</w:t>
      </w:r>
    </w:p>
    <w:p>
      <w:pPr>
        <w:pStyle w:val="ListParagraph"/>
        <w:numPr>
          <w:ilvl w:val="0"/>
          <w:numId w:val="2"/>
        </w:numPr>
        <w:spacing w:after="80" w:line="280"/>
      </w:pPr>
      <w:r>
        <w:rPr>
          <w:rFonts w:ascii="Arial" w:cs="Arial" w:eastAsia="Arial" w:hAnsi="Arial"/>
          <w:b/>
          <w:bCs/>
          <w:color w:val="1B2A4A"/>
          <w:sz w:val="21"/>
          <w:szCs w:val="21"/>
        </w:rPr>
        <w:t xml:space="preserve">Daily spend cap: </w:t>
      </w:r>
      <w:r>
        <w:rPr>
          <w:rFonts w:ascii="Arial" w:cs="Arial" w:eastAsia="Arial" w:hAnsi="Arial"/>
          <w:color w:val="333333"/>
          <w:sz w:val="21"/>
          <w:szCs w:val="21"/>
        </w:rPr>
        <w:t xml:space="preserve">Hard limit on dollars spent per day. When reached, the key returns HTTP 429 with a message indicating the spend cap was hit and when it resets.</w:t>
      </w:r>
    </w:p>
    <w:p>
      <w:pPr>
        <w:pStyle w:val="ListParagraph"/>
        <w:numPr>
          <w:ilvl w:val="0"/>
          <w:numId w:val="2"/>
        </w:numPr>
        <w:spacing w:after="80" w:line="280"/>
      </w:pPr>
      <w:r>
        <w:rPr>
          <w:rFonts w:ascii="Arial" w:cs="Arial" w:eastAsia="Arial" w:hAnsi="Arial"/>
          <w:b/>
          <w:bCs/>
          <w:color w:val="1B2A4A"/>
          <w:sz w:val="21"/>
          <w:szCs w:val="21"/>
        </w:rPr>
        <w:t xml:space="preserve">Monthly spend cap: </w:t>
      </w:r>
      <w:r>
        <w:rPr>
          <w:rFonts w:ascii="Arial" w:cs="Arial" w:eastAsia="Arial" w:hAnsi="Arial"/>
          <w:color w:val="333333"/>
          <w:sz w:val="21"/>
          <w:szCs w:val="21"/>
        </w:rPr>
        <w:t xml:space="preserve">Same as daily but monthly. Critical for preventing runaway costs from bugs or abuse.</w:t>
      </w:r>
    </w:p>
    <w:p>
      <w:pPr>
        <w:pStyle w:val="ListParagraph"/>
        <w:numPr>
          <w:ilvl w:val="0"/>
          <w:numId w:val="2"/>
        </w:numPr>
        <w:spacing w:after="80" w:line="280"/>
      </w:pPr>
      <w:r>
        <w:rPr>
          <w:rFonts w:ascii="Arial" w:cs="Arial" w:eastAsia="Arial" w:hAnsi="Arial"/>
          <w:b/>
          <w:bCs/>
          <w:color w:val="1B2A4A"/>
          <w:sz w:val="21"/>
          <w:szCs w:val="21"/>
        </w:rPr>
        <w:t xml:space="preserve">Alert thresholds: </w:t>
      </w:r>
      <w:r>
        <w:rPr>
          <w:rFonts w:ascii="Arial" w:cs="Arial" w:eastAsia="Arial" w:hAnsi="Arial"/>
          <w:color w:val="333333"/>
          <w:sz w:val="21"/>
          <w:szCs w:val="21"/>
        </w:rPr>
        <w:t xml:space="preserve">Configurable alerts at 50%, 80%, and 95% of spend cap. Sent via email, webhook, or Slack.</w:t>
      </w:r>
    </w:p>
    <w:p>
      <w:pPr>
        <w:spacing w:after="120" w:before="240"/>
      </w:pPr>
      <w:r>
        <w:rPr>
          <w:rFonts w:ascii="Arial" w:cs="Arial" w:eastAsia="Arial" w:hAnsi="Arial"/>
          <w:b/>
          <w:bCs/>
          <w:color w:val="1B2A4A"/>
          <w:sz w:val="24"/>
          <w:szCs w:val="24"/>
        </w:rPr>
        <w:t xml:space="preserve">IP Allowlisting</w:t>
      </w:r>
    </w:p>
    <w:p>
      <w:pPr>
        <w:spacing w:after="160" w:line="300"/>
      </w:pPr>
      <w:r>
        <w:rPr>
          <w:rFonts w:ascii="Arial" w:cs="Arial" w:eastAsia="Arial" w:hAnsi="Arial"/>
          <w:color w:val="333333"/>
          <w:sz w:val="21"/>
          <w:szCs w:val="21"/>
        </w:rPr>
        <w:t xml:space="preserve">Restrict key usage to specific IP addresses or CIDR ranges. Essential for enterprise environments where API calls should only originate from known servers. Support both IPv4 and IPv6.</w:t>
      </w:r>
    </w:p>
    <w:p>
      <w:pPr>
        <w:pStyle w:val="Heading2"/>
        <w:spacing w:after="160" w:before="360"/>
      </w:pPr>
      <w:r>
        <w:rPr>
          <w:rFonts w:ascii="Arial" w:cs="Arial" w:eastAsia="Arial" w:hAnsi="Arial"/>
          <w:b/>
          <w:bCs/>
          <w:color w:val="2E75B6"/>
          <w:sz w:val="28"/>
          <w:szCs w:val="28"/>
        </w:rPr>
        <w:t xml:space="preserve">2.3 Key Security Architecture</w:t>
      </w:r>
    </w:p>
    <w:p>
      <w:pPr>
        <w:spacing w:after="120" w:before="240"/>
      </w:pPr>
      <w:r>
        <w:rPr>
          <w:rFonts w:ascii="Arial" w:cs="Arial" w:eastAsia="Arial" w:hAnsi="Arial"/>
          <w:b/>
          <w:bCs/>
          <w:color w:val="1B2A4A"/>
          <w:sz w:val="24"/>
          <w:szCs w:val="24"/>
        </w:rPr>
        <w:t xml:space="preserve">Storage</w:t>
      </w:r>
    </w:p>
    <w:p>
      <w:pPr>
        <w:pStyle w:val="ListParagraph"/>
        <w:numPr>
          <w:ilvl w:val="0"/>
          <w:numId w:val="2"/>
        </w:numPr>
        <w:spacing w:after="80" w:line="280"/>
      </w:pPr>
      <w:r>
        <w:rPr>
          <w:rFonts w:ascii="Arial" w:cs="Arial" w:eastAsia="Arial" w:hAnsi="Arial"/>
          <w:b/>
          <w:bCs/>
          <w:color w:val="1B2A4A"/>
          <w:sz w:val="21"/>
          <w:szCs w:val="21"/>
        </w:rPr>
        <w:t xml:space="preserve">Hashing: </w:t>
      </w:r>
      <w:r>
        <w:rPr>
          <w:rFonts w:ascii="Arial" w:cs="Arial" w:eastAsia="Arial" w:hAnsi="Arial"/>
          <w:color w:val="333333"/>
          <w:sz w:val="21"/>
          <w:szCs w:val="21"/>
        </w:rPr>
        <w:t xml:space="preserve">Store keys as bcrypt hashes (cost factor 12+). Never store plaintext keys in your database, logs, or anywhere else.</w:t>
      </w:r>
    </w:p>
    <w:p>
      <w:pPr>
        <w:pStyle w:val="ListParagraph"/>
        <w:numPr>
          <w:ilvl w:val="0"/>
          <w:numId w:val="2"/>
        </w:numPr>
        <w:spacing w:after="80" w:line="280"/>
      </w:pPr>
      <w:r>
        <w:rPr>
          <w:rFonts w:ascii="Arial" w:cs="Arial" w:eastAsia="Arial" w:hAnsi="Arial"/>
          <w:b/>
          <w:bCs/>
          <w:color w:val="1B2A4A"/>
          <w:sz w:val="21"/>
          <w:szCs w:val="21"/>
        </w:rPr>
        <w:t xml:space="preserve">Lookup: </w:t>
      </w:r>
      <w:r>
        <w:rPr>
          <w:rFonts w:ascii="Arial" w:cs="Arial" w:eastAsia="Arial" w:hAnsi="Arial"/>
          <w:color w:val="333333"/>
          <w:sz w:val="21"/>
          <w:szCs w:val="21"/>
        </w:rPr>
        <w:t xml:space="preserve">Use a separate lookup table mapping key prefix + last 4 chars to the hash. On each API request, extract the prefix, look up the hash, and verify. This avoids scanning all hashes on every request.</w:t>
      </w:r>
    </w:p>
    <w:p>
      <w:pPr>
        <w:pStyle w:val="ListParagraph"/>
        <w:numPr>
          <w:ilvl w:val="0"/>
          <w:numId w:val="2"/>
        </w:numPr>
        <w:spacing w:after="80" w:line="280"/>
      </w:pPr>
      <w:r>
        <w:rPr>
          <w:rFonts w:ascii="Arial" w:cs="Arial" w:eastAsia="Arial" w:hAnsi="Arial"/>
          <w:b/>
          <w:bCs/>
          <w:color w:val="1B2A4A"/>
          <w:sz w:val="21"/>
          <w:szCs w:val="21"/>
        </w:rPr>
        <w:t xml:space="preserve">Encryption at Rest: </w:t>
      </w:r>
      <w:r>
        <w:rPr>
          <w:rFonts w:ascii="Arial" w:cs="Arial" w:eastAsia="Arial" w:hAnsi="Arial"/>
          <w:color w:val="333333"/>
          <w:sz w:val="21"/>
          <w:szCs w:val="21"/>
        </w:rPr>
        <w:t xml:space="preserve">The key hash table itself should be in an encrypted database (AES-256). Use AWS KMS, GCP KMS, or HashiCorp Vault for key management.</w:t>
      </w:r>
    </w:p>
    <w:p>
      <w:pPr>
        <w:spacing w:after="120" w:before="240"/>
      </w:pPr>
      <w:r>
        <w:rPr>
          <w:rFonts w:ascii="Arial" w:cs="Arial" w:eastAsia="Arial" w:hAnsi="Arial"/>
          <w:b/>
          <w:bCs/>
          <w:color w:val="1B2A4A"/>
          <w:sz w:val="24"/>
          <w:szCs w:val="24"/>
        </w:rPr>
        <w:t xml:space="preserve">Anomaly Detection</w:t>
      </w:r>
    </w:p>
    <w:p>
      <w:pPr>
        <w:pStyle w:val="ListParagraph"/>
        <w:numPr>
          <w:ilvl w:val="0"/>
          <w:numId w:val="2"/>
        </w:numPr>
        <w:spacing w:after="80" w:line="280"/>
      </w:pPr>
      <w:r>
        <w:rPr>
          <w:rFonts w:ascii="Arial" w:cs="Arial" w:eastAsia="Arial" w:hAnsi="Arial"/>
          <w:b/>
          <w:bCs/>
          <w:color w:val="1B2A4A"/>
          <w:sz w:val="21"/>
          <w:szCs w:val="21"/>
        </w:rPr>
        <w:t xml:space="preserve">Geographic Anomaly: </w:t>
      </w:r>
      <w:r>
        <w:rPr>
          <w:rFonts w:ascii="Arial" w:cs="Arial" w:eastAsia="Arial" w:hAnsi="Arial"/>
          <w:color w:val="333333"/>
          <w:sz w:val="21"/>
          <w:szCs w:val="21"/>
        </w:rPr>
        <w:t xml:space="preserve">If a key that has only been used from US IPs suddenly gets a request from a new country, flag it and optionally alert the owner.</w:t>
      </w:r>
    </w:p>
    <w:p>
      <w:pPr>
        <w:pStyle w:val="ListParagraph"/>
        <w:numPr>
          <w:ilvl w:val="0"/>
          <w:numId w:val="2"/>
        </w:numPr>
        <w:spacing w:after="80" w:line="280"/>
      </w:pPr>
      <w:r>
        <w:rPr>
          <w:rFonts w:ascii="Arial" w:cs="Arial" w:eastAsia="Arial" w:hAnsi="Arial"/>
          <w:b/>
          <w:bCs/>
          <w:color w:val="1B2A4A"/>
          <w:sz w:val="21"/>
          <w:szCs w:val="21"/>
        </w:rPr>
        <w:t xml:space="preserve">Volume Anomaly: </w:t>
      </w:r>
      <w:r>
        <w:rPr>
          <w:rFonts w:ascii="Arial" w:cs="Arial" w:eastAsia="Arial" w:hAnsi="Arial"/>
          <w:color w:val="333333"/>
          <w:sz w:val="21"/>
          <w:szCs w:val="21"/>
        </w:rPr>
        <w:t xml:space="preserve">If a key that averages 100 requests/day suddenly spikes to 10,000, trigger an alert.</w:t>
      </w:r>
    </w:p>
    <w:p>
      <w:pPr>
        <w:pStyle w:val="ListParagraph"/>
        <w:numPr>
          <w:ilvl w:val="0"/>
          <w:numId w:val="2"/>
        </w:numPr>
        <w:spacing w:after="80" w:line="280"/>
      </w:pPr>
      <w:r>
        <w:rPr>
          <w:rFonts w:ascii="Arial" w:cs="Arial" w:eastAsia="Arial" w:hAnsi="Arial"/>
          <w:b/>
          <w:bCs/>
          <w:color w:val="1B2A4A"/>
          <w:sz w:val="21"/>
          <w:szCs w:val="21"/>
        </w:rPr>
        <w:t xml:space="preserve">Pattern Anomaly: </w:t>
      </w:r>
      <w:r>
        <w:rPr>
          <w:rFonts w:ascii="Arial" w:cs="Arial" w:eastAsia="Arial" w:hAnsi="Arial"/>
          <w:color w:val="333333"/>
          <w:sz w:val="21"/>
          <w:szCs w:val="21"/>
        </w:rPr>
        <w:t xml:space="preserve">If a key that only calls embeddings suddenly starts calling chat completions, flag it.</w:t>
      </w:r>
    </w:p>
    <w:p>
      <w:r>
        <w:br w:type="page"/>
      </w:r>
    </w:p>
    <w:p>
      <w:pPr>
        <w:pStyle w:val="Heading1"/>
        <w:spacing w:after="200" w:before="480"/>
      </w:pPr>
      <w:r>
        <w:rPr>
          <w:rFonts w:ascii="Arial" w:cs="Arial" w:eastAsia="Arial" w:hAnsi="Arial"/>
          <w:b/>
          <w:bCs/>
          <w:color w:val="1B2A4A"/>
          <w:sz w:val="36"/>
          <w:szCs w:val="36"/>
        </w:rPr>
        <w:t xml:space="preserve">3. Dashboard &amp; Analytics</w:t>
      </w:r>
    </w:p>
    <w:p>
      <w:pPr>
        <w:spacing w:after="160" w:line="300"/>
      </w:pPr>
      <w:r>
        <w:rPr>
          <w:rFonts w:ascii="Arial" w:cs="Arial" w:eastAsia="Arial" w:hAnsi="Arial"/>
          <w:color w:val="333333"/>
          <w:sz w:val="21"/>
          <w:szCs w:val="21"/>
        </w:rPr>
        <w:t xml:space="preserve">The dashboard is where developers live. It is the single most important surface of your platform after the API itself. Every pixel matters.</w:t>
      </w:r>
    </w:p>
    <w:p>
      <w:pPr>
        <w:pStyle w:val="Heading2"/>
        <w:spacing w:after="160" w:before="360"/>
      </w:pPr>
      <w:r>
        <w:rPr>
          <w:rFonts w:ascii="Arial" w:cs="Arial" w:eastAsia="Arial" w:hAnsi="Arial"/>
          <w:b/>
          <w:bCs/>
          <w:color w:val="2E75B6"/>
          <w:sz w:val="28"/>
          <w:szCs w:val="28"/>
        </w:rPr>
        <w:t xml:space="preserve">3.1 Overview Dashboard (Home Page)</w:t>
      </w:r>
    </w:p>
    <w:p>
      <w:pPr>
        <w:spacing w:after="160" w:line="300"/>
      </w:pPr>
      <w:r>
        <w:rPr>
          <w:rFonts w:ascii="Arial" w:cs="Arial" w:eastAsia="Arial" w:hAnsi="Arial"/>
          <w:color w:val="333333"/>
          <w:sz w:val="21"/>
          <w:szCs w:val="21"/>
        </w:rPr>
        <w:t xml:space="preserve">The first thing users see after login. It must answer the five questions every developer asks daily:</w:t>
      </w:r>
    </w:p>
    <w:p>
      <w:pPr>
        <w:pStyle w:val="ListParagraph"/>
        <w:numPr>
          <w:ilvl w:val="0"/>
          <w:numId w:val="2"/>
        </w:numPr>
        <w:spacing w:after="80" w:line="280"/>
      </w:pPr>
      <w:r>
        <w:rPr>
          <w:rFonts w:ascii="Arial" w:cs="Arial" w:eastAsia="Arial" w:hAnsi="Arial"/>
          <w:b/>
          <w:bCs/>
          <w:color w:val="1B2A4A"/>
          <w:sz w:val="21"/>
          <w:szCs w:val="21"/>
        </w:rPr>
        <w:t xml:space="preserve">How much am I spending? </w:t>
      </w:r>
      <w:r>
        <w:rPr>
          <w:rFonts w:ascii="Arial" w:cs="Arial" w:eastAsia="Arial" w:hAnsi="Arial"/>
          <w:color w:val="333333"/>
          <w:sz w:val="21"/>
          <w:szCs w:val="21"/>
        </w:rPr>
        <w:t xml:space="preserve">Current billing period spend with a projected end-of-month estimate. Show a trend sparkline (up or down from last period).</w:t>
      </w:r>
    </w:p>
    <w:p>
      <w:pPr>
        <w:pStyle w:val="ListParagraph"/>
        <w:numPr>
          <w:ilvl w:val="0"/>
          <w:numId w:val="2"/>
        </w:numPr>
        <w:spacing w:after="80" w:line="280"/>
      </w:pPr>
      <w:r>
        <w:rPr>
          <w:rFonts w:ascii="Arial" w:cs="Arial" w:eastAsia="Arial" w:hAnsi="Arial"/>
          <w:b/>
          <w:bCs/>
          <w:color w:val="1B2A4A"/>
          <w:sz w:val="21"/>
          <w:szCs w:val="21"/>
        </w:rPr>
        <w:t xml:space="preserve">How much am I using? </w:t>
      </w:r>
      <w:r>
        <w:rPr>
          <w:rFonts w:ascii="Arial" w:cs="Arial" w:eastAsia="Arial" w:hAnsi="Arial"/>
          <w:color w:val="333333"/>
          <w:sz w:val="21"/>
          <w:szCs w:val="21"/>
        </w:rPr>
        <w:t xml:space="preserve">Total requests and tokens (input/output) for today, this week, this month. Toggle between views.</w:t>
      </w:r>
    </w:p>
    <w:p>
      <w:pPr>
        <w:pStyle w:val="ListParagraph"/>
        <w:numPr>
          <w:ilvl w:val="0"/>
          <w:numId w:val="2"/>
        </w:numPr>
        <w:spacing w:after="80" w:line="280"/>
      </w:pPr>
      <w:r>
        <w:rPr>
          <w:rFonts w:ascii="Arial" w:cs="Arial" w:eastAsia="Arial" w:hAnsi="Arial"/>
          <w:b/>
          <w:bCs/>
          <w:color w:val="1B2A4A"/>
          <w:sz w:val="21"/>
          <w:szCs w:val="21"/>
        </w:rPr>
        <w:t xml:space="preserve">Is anything broken? </w:t>
      </w:r>
      <w:r>
        <w:rPr>
          <w:rFonts w:ascii="Arial" w:cs="Arial" w:eastAsia="Arial" w:hAnsi="Arial"/>
          <w:color w:val="333333"/>
          <w:sz w:val="21"/>
          <w:szCs w:val="21"/>
        </w:rPr>
        <w:t xml:space="preserve">Error rate (percentage of 4xx and 5xx responses) with a color-coded indicator (green &lt; 1%, yellow 1-5%, red &gt; 5%).</w:t>
      </w:r>
    </w:p>
    <w:p>
      <w:pPr>
        <w:pStyle w:val="ListParagraph"/>
        <w:numPr>
          <w:ilvl w:val="0"/>
          <w:numId w:val="2"/>
        </w:numPr>
        <w:spacing w:after="80" w:line="280"/>
      </w:pPr>
      <w:r>
        <w:rPr>
          <w:rFonts w:ascii="Arial" w:cs="Arial" w:eastAsia="Arial" w:hAnsi="Arial"/>
          <w:b/>
          <w:bCs/>
          <w:color w:val="1B2A4A"/>
          <w:sz w:val="21"/>
          <w:szCs w:val="21"/>
        </w:rPr>
        <w:t xml:space="preserve">How fast is it? </w:t>
      </w:r>
      <w:r>
        <w:rPr>
          <w:rFonts w:ascii="Arial" w:cs="Arial" w:eastAsia="Arial" w:hAnsi="Arial"/>
          <w:color w:val="333333"/>
          <w:sz w:val="21"/>
          <w:szCs w:val="21"/>
        </w:rPr>
        <w:t xml:space="preserve">Median and p95 latency. Split into Time to First Token (TTFT) and total generation time. Show latency trend over the past 24 hours.</w:t>
      </w:r>
    </w:p>
    <w:p>
      <w:pPr>
        <w:pStyle w:val="ListParagraph"/>
        <w:numPr>
          <w:ilvl w:val="0"/>
          <w:numId w:val="2"/>
        </w:numPr>
        <w:spacing w:after="80" w:line="280"/>
      </w:pPr>
      <w:r>
        <w:rPr>
          <w:rFonts w:ascii="Arial" w:cs="Arial" w:eastAsia="Arial" w:hAnsi="Arial"/>
          <w:b/>
          <w:bCs/>
          <w:color w:val="1B2A4A"/>
          <w:sz w:val="21"/>
          <w:szCs w:val="21"/>
        </w:rPr>
        <w:t xml:space="preserve">Which models am I using? </w:t>
      </w:r>
      <w:r>
        <w:rPr>
          <w:rFonts w:ascii="Arial" w:cs="Arial" w:eastAsia="Arial" w:hAnsi="Arial"/>
          <w:color w:val="333333"/>
          <w:sz w:val="21"/>
          <w:szCs w:val="21"/>
        </w:rPr>
        <w:t xml:space="preserve">Top 3-5 models by request count and spend, with a “see all” link to detailed model breakdown.</w:t>
      </w:r>
    </w:p>
    <w:p>
      <w:pPr>
        <w:spacing w:after="120" w:before="240"/>
      </w:pPr>
      <w:r>
        <w:rPr>
          <w:rFonts w:ascii="Arial" w:cs="Arial" w:eastAsia="Arial" w:hAnsi="Arial"/>
          <w:b/>
          <w:bCs/>
          <w:color w:val="1B2A4A"/>
          <w:sz w:val="24"/>
          <w:szCs w:val="24"/>
        </w:rPr>
        <w:t xml:space="preserve">Dashboard Cards</w:t>
      </w:r>
    </w:p>
    <w:p>
      <w:pPr>
        <w:spacing w:after="160" w:line="300"/>
      </w:pPr>
      <w:r>
        <w:rPr>
          <w:rFonts w:ascii="Arial" w:cs="Arial" w:eastAsia="Arial" w:hAnsi="Arial"/>
          <w:color w:val="333333"/>
          <w:sz w:val="21"/>
          <w:szCs w:val="21"/>
        </w:rPr>
        <w:t xml:space="preserve">Organize the overview as a card-based layout with 6-8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Card</w:t>
            </w:r>
          </w:p>
        </w:tc>
        <w:tc>
          <w:tcPr>
            <w:tcW w:type="dxa" w:w="3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Metric</w:t>
            </w:r>
          </w:p>
        </w:tc>
        <w:tc>
          <w:tcPr>
            <w:tcW w:type="dxa" w:w="39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Supporting Detail</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Spend</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$1,247.83 this month</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Projected $2,890 by month end | +12% vs. last month</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33333"/>
                <w:sz w:val="20"/>
                <w:szCs w:val="20"/>
              </w:rPr>
              <w:t xml:space="preserve">Requests</w:t>
            </w:r>
          </w:p>
        </w:tc>
        <w:tc>
          <w:tcPr>
            <w:tcW w:type="dxa" w:w="3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847,293 today</w:t>
            </w:r>
          </w:p>
        </w:tc>
        <w:tc>
          <w:tcPr>
            <w:tcW w:type="dxa" w:w="39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24h sparkline | peak: 12,400 RPM at 2:15 PM</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Tokens</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124.7M tokens today</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Split: 89.2M input / 35.5M output</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33333"/>
                <w:sz w:val="20"/>
                <w:szCs w:val="20"/>
              </w:rPr>
              <w:t xml:space="preserve">Latency</w:t>
            </w:r>
          </w:p>
        </w:tc>
        <w:tc>
          <w:tcPr>
            <w:tcW w:type="dxa" w:w="3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p50: 320ms | p95: 1.2s</w:t>
            </w:r>
          </w:p>
        </w:tc>
        <w:tc>
          <w:tcPr>
            <w:tcW w:type="dxa" w:w="39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TTFT: 85ms | 24h trend line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Errors</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0.34% error rate</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14 errors in last hour | top: 429 Rate Limited (9)</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33333"/>
                <w:sz w:val="20"/>
                <w:szCs w:val="20"/>
              </w:rPr>
              <w:t xml:space="preserve">Top Models</w:t>
            </w:r>
          </w:p>
        </w:tc>
        <w:tc>
          <w:tcPr>
            <w:tcW w:type="dxa" w:w="3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LLaMA 3.1 70B: 62%</w:t>
            </w:r>
          </w:p>
        </w:tc>
        <w:tc>
          <w:tcPr>
            <w:tcW w:type="dxa" w:w="39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Mistral Large: 24% | DeepSeek V3: 14%</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Active Keys</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7 keys active</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2 keys unused &gt; 30 days (cleanup suggested)</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33333"/>
                <w:sz w:val="20"/>
                <w:szCs w:val="20"/>
              </w:rPr>
              <w:t xml:space="preserve">System Status</w:t>
            </w:r>
          </w:p>
        </w:tc>
        <w:tc>
          <w:tcPr>
            <w:tcW w:type="dxa" w:w="3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All Systems Operational</w:t>
            </w:r>
          </w:p>
        </w:tc>
        <w:tc>
          <w:tcPr>
            <w:tcW w:type="dxa" w:w="39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Last incident: 4 days ago (resolved)</w:t>
            </w:r>
          </w:p>
        </w:tc>
      </w:tr>
    </w:tbl>
    <w:p>
      <w:pPr>
        <w:spacing w:after="100"/>
      </w:pPr>
    </w:p>
    <w:p>
      <w:pPr>
        <w:pStyle w:val="Heading2"/>
        <w:spacing w:after="160" w:before="360"/>
      </w:pPr>
      <w:r>
        <w:rPr>
          <w:rFonts w:ascii="Arial" w:cs="Arial" w:eastAsia="Arial" w:hAnsi="Arial"/>
          <w:b/>
          <w:bCs/>
          <w:color w:val="2E75B6"/>
          <w:sz w:val="28"/>
          <w:szCs w:val="28"/>
        </w:rPr>
        <w:t xml:space="preserve">3.2 Detailed Analytics</w:t>
      </w:r>
    </w:p>
    <w:p>
      <w:pPr>
        <w:spacing w:after="120" w:before="240"/>
      </w:pPr>
      <w:r>
        <w:rPr>
          <w:rFonts w:ascii="Arial" w:cs="Arial" w:eastAsia="Arial" w:hAnsi="Arial"/>
          <w:b/>
          <w:bCs/>
          <w:color w:val="1B2A4A"/>
          <w:sz w:val="24"/>
          <w:szCs w:val="24"/>
        </w:rPr>
        <w:t xml:space="preserve">Time-Series Charts</w:t>
      </w:r>
    </w:p>
    <w:p>
      <w:pPr>
        <w:spacing w:after="160" w:line="300"/>
      </w:pPr>
      <w:r>
        <w:rPr>
          <w:rFonts w:ascii="Arial" w:cs="Arial" w:eastAsia="Arial" w:hAnsi="Arial"/>
          <w:color w:val="333333"/>
          <w:sz w:val="21"/>
          <w:szCs w:val="21"/>
        </w:rPr>
        <w:t xml:space="preserve">Every metric must be viewable as a time-series chart with configurable granularity:</w:t>
      </w:r>
    </w:p>
    <w:p>
      <w:pPr>
        <w:pStyle w:val="ListParagraph"/>
        <w:numPr>
          <w:ilvl w:val="0"/>
          <w:numId w:val="2"/>
        </w:numPr>
        <w:spacing w:after="80" w:line="280"/>
      </w:pPr>
      <w:r>
        <w:rPr>
          <w:rFonts w:ascii="Arial" w:cs="Arial" w:eastAsia="Arial" w:hAnsi="Arial"/>
          <w:b/>
          <w:bCs/>
          <w:color w:val="1B2A4A"/>
          <w:sz w:val="21"/>
          <w:szCs w:val="21"/>
        </w:rPr>
        <w:t xml:space="preserve">Granularity: </w:t>
      </w:r>
      <w:r>
        <w:rPr>
          <w:rFonts w:ascii="Arial" w:cs="Arial" w:eastAsia="Arial" w:hAnsi="Arial"/>
          <w:color w:val="333333"/>
          <w:sz w:val="21"/>
          <w:szCs w:val="21"/>
        </w:rPr>
        <w:t xml:space="preserve">1-minute, 5-minute, 1-hour, 1-day, 1-week. Auto-select based on the time range (e.g., last 1 hour → 1-minute granularity; last 30 days → 1-day granularity).</w:t>
      </w:r>
    </w:p>
    <w:p>
      <w:pPr>
        <w:pStyle w:val="ListParagraph"/>
        <w:numPr>
          <w:ilvl w:val="0"/>
          <w:numId w:val="2"/>
        </w:numPr>
        <w:spacing w:after="80" w:line="280"/>
      </w:pPr>
      <w:r>
        <w:rPr>
          <w:rFonts w:ascii="Arial" w:cs="Arial" w:eastAsia="Arial" w:hAnsi="Arial"/>
          <w:b/>
          <w:bCs/>
          <w:color w:val="1B2A4A"/>
          <w:sz w:val="21"/>
          <w:szCs w:val="21"/>
        </w:rPr>
        <w:t xml:space="preserve">Time Range Picker: </w:t>
      </w:r>
      <w:r>
        <w:rPr>
          <w:rFonts w:ascii="Arial" w:cs="Arial" w:eastAsia="Arial" w:hAnsi="Arial"/>
          <w:color w:val="333333"/>
          <w:sz w:val="21"/>
          <w:szCs w:val="21"/>
        </w:rPr>
        <w:t xml:space="preserve">Preset ranges (last 1h, 6h, 24h, 7d, 30d, 90d) plus a custom date-time range selector.</w:t>
      </w:r>
    </w:p>
    <w:p>
      <w:pPr>
        <w:pStyle w:val="ListParagraph"/>
        <w:numPr>
          <w:ilvl w:val="0"/>
          <w:numId w:val="2"/>
        </w:numPr>
        <w:spacing w:after="80" w:line="280"/>
      </w:pPr>
      <w:r>
        <w:rPr>
          <w:rFonts w:ascii="Arial" w:cs="Arial" w:eastAsia="Arial" w:hAnsi="Arial"/>
          <w:b/>
          <w:bCs/>
          <w:color w:val="1B2A4A"/>
          <w:sz w:val="21"/>
          <w:szCs w:val="21"/>
        </w:rPr>
        <w:t xml:space="preserve">Comparison: </w:t>
      </w:r>
      <w:r>
        <w:rPr>
          <w:rFonts w:ascii="Arial" w:cs="Arial" w:eastAsia="Arial" w:hAnsi="Arial"/>
          <w:color w:val="333333"/>
          <w:sz w:val="21"/>
          <w:szCs w:val="21"/>
        </w:rPr>
        <w:t xml:space="preserve">Overlay the previous period for trend analysis (e.g., this week vs. last week, shown as a dashed line).</w:t>
      </w:r>
    </w:p>
    <w:p>
      <w:pPr>
        <w:spacing w:after="120" w:before="240"/>
      </w:pPr>
      <w:r>
        <w:rPr>
          <w:rFonts w:ascii="Arial" w:cs="Arial" w:eastAsia="Arial" w:hAnsi="Arial"/>
          <w:b/>
          <w:bCs/>
          <w:color w:val="1B2A4A"/>
          <w:sz w:val="24"/>
          <w:szCs w:val="24"/>
        </w:rPr>
        <w:t xml:space="preserve">Dimensions &amp; Filters</w:t>
      </w:r>
    </w:p>
    <w:p>
      <w:pPr>
        <w:spacing w:after="160" w:line="300"/>
      </w:pPr>
      <w:r>
        <w:rPr>
          <w:rFonts w:ascii="Arial" w:cs="Arial" w:eastAsia="Arial" w:hAnsi="Arial"/>
          <w:color w:val="333333"/>
          <w:sz w:val="21"/>
          <w:szCs w:val="21"/>
        </w:rPr>
        <w:t xml:space="preserve">Users need to slice data by multiple dimensions simultaneously:</w:t>
      </w:r>
    </w:p>
    <w:p>
      <w:pPr>
        <w:pStyle w:val="ListParagraph"/>
        <w:numPr>
          <w:ilvl w:val="0"/>
          <w:numId w:val="2"/>
        </w:numPr>
        <w:spacing w:after="80" w:line="280"/>
      </w:pPr>
      <w:r>
        <w:rPr>
          <w:rFonts w:ascii="Arial" w:cs="Arial" w:eastAsia="Arial" w:hAnsi="Arial"/>
          <w:b/>
          <w:bCs/>
          <w:color w:val="1B2A4A"/>
          <w:sz w:val="21"/>
          <w:szCs w:val="21"/>
        </w:rPr>
        <w:t xml:space="preserve">By Model: </w:t>
      </w:r>
      <w:r>
        <w:rPr>
          <w:rFonts w:ascii="Arial" w:cs="Arial" w:eastAsia="Arial" w:hAnsi="Arial"/>
          <w:color w:val="333333"/>
          <w:sz w:val="21"/>
          <w:szCs w:val="21"/>
        </w:rPr>
        <w:t xml:space="preserve">Per-model breakdown of requests, tokens, cost, latency. Table view + stacked area chart.</w:t>
      </w:r>
    </w:p>
    <w:p>
      <w:pPr>
        <w:pStyle w:val="ListParagraph"/>
        <w:numPr>
          <w:ilvl w:val="0"/>
          <w:numId w:val="2"/>
        </w:numPr>
        <w:spacing w:after="80" w:line="280"/>
      </w:pPr>
      <w:r>
        <w:rPr>
          <w:rFonts w:ascii="Arial" w:cs="Arial" w:eastAsia="Arial" w:hAnsi="Arial"/>
          <w:b/>
          <w:bCs/>
          <w:color w:val="1B2A4A"/>
          <w:sz w:val="21"/>
          <w:szCs w:val="21"/>
        </w:rPr>
        <w:t xml:space="preserve">By API Key: </w:t>
      </w:r>
      <w:r>
        <w:rPr>
          <w:rFonts w:ascii="Arial" w:cs="Arial" w:eastAsia="Arial" w:hAnsi="Arial"/>
          <w:color w:val="333333"/>
          <w:sz w:val="21"/>
          <w:szCs w:val="21"/>
        </w:rPr>
        <w:t xml:space="preserve">Which key is generating what traffic. Essential for cost allocation and debugging. Show key name (not the key itself) in all views.</w:t>
      </w:r>
    </w:p>
    <w:p>
      <w:pPr>
        <w:pStyle w:val="ListParagraph"/>
        <w:numPr>
          <w:ilvl w:val="0"/>
          <w:numId w:val="2"/>
        </w:numPr>
        <w:spacing w:after="80" w:line="280"/>
      </w:pPr>
      <w:r>
        <w:rPr>
          <w:rFonts w:ascii="Arial" w:cs="Arial" w:eastAsia="Arial" w:hAnsi="Arial"/>
          <w:b/>
          <w:bCs/>
          <w:color w:val="1B2A4A"/>
          <w:sz w:val="21"/>
          <w:szCs w:val="21"/>
        </w:rPr>
        <w:t xml:space="preserve">By Endpoint: </w:t>
      </w:r>
      <w:r>
        <w:rPr>
          <w:rFonts w:ascii="Arial" w:cs="Arial" w:eastAsia="Arial" w:hAnsi="Arial"/>
          <w:color w:val="333333"/>
          <w:sz w:val="21"/>
          <w:szCs w:val="21"/>
        </w:rPr>
        <w:t xml:space="preserve">/chat/completions vs. /embeddings vs. /completions. Some users have very different patterns across endpoints.</w:t>
      </w:r>
    </w:p>
    <w:p>
      <w:pPr>
        <w:pStyle w:val="ListParagraph"/>
        <w:numPr>
          <w:ilvl w:val="0"/>
          <w:numId w:val="2"/>
        </w:numPr>
        <w:spacing w:after="80" w:line="280"/>
      </w:pPr>
      <w:r>
        <w:rPr>
          <w:rFonts w:ascii="Arial" w:cs="Arial" w:eastAsia="Arial" w:hAnsi="Arial"/>
          <w:b/>
          <w:bCs/>
          <w:color w:val="1B2A4A"/>
          <w:sz w:val="21"/>
          <w:szCs w:val="21"/>
        </w:rPr>
        <w:t xml:space="preserve">By Status Code: </w:t>
      </w:r>
      <w:r>
        <w:rPr>
          <w:rFonts w:ascii="Arial" w:cs="Arial" w:eastAsia="Arial" w:hAnsi="Arial"/>
          <w:color w:val="333333"/>
          <w:sz w:val="21"/>
          <w:szCs w:val="21"/>
        </w:rPr>
        <w:t xml:space="preserve">2xx, 4xx, 5xx breakdown. Click into 4xx to see 400 (bad request) vs. 401 (auth) vs. 429 (rate limit) vs. 403 (forbidden).</w:t>
      </w:r>
    </w:p>
    <w:p>
      <w:pPr>
        <w:pStyle w:val="ListParagraph"/>
        <w:numPr>
          <w:ilvl w:val="0"/>
          <w:numId w:val="2"/>
        </w:numPr>
        <w:spacing w:after="80" w:line="280"/>
      </w:pPr>
      <w:r>
        <w:rPr>
          <w:rFonts w:ascii="Arial" w:cs="Arial" w:eastAsia="Arial" w:hAnsi="Arial"/>
          <w:b/>
          <w:bCs/>
          <w:color w:val="1B2A4A"/>
          <w:sz w:val="21"/>
          <w:szCs w:val="21"/>
        </w:rPr>
        <w:t xml:space="preserve">By Workspace: </w:t>
      </w:r>
      <w:r>
        <w:rPr>
          <w:rFonts w:ascii="Arial" w:cs="Arial" w:eastAsia="Arial" w:hAnsi="Arial"/>
          <w:color w:val="333333"/>
          <w:sz w:val="21"/>
          <w:szCs w:val="21"/>
        </w:rPr>
        <w:t xml:space="preserve">For orgs with multiple workspaces, aggregate or drill down per workspace.</w:t>
      </w:r>
    </w:p>
    <w:p>
      <w:pPr>
        <w:pStyle w:val="ListParagraph"/>
        <w:numPr>
          <w:ilvl w:val="0"/>
          <w:numId w:val="2"/>
        </w:numPr>
        <w:spacing w:after="80" w:line="280"/>
      </w:pPr>
      <w:r>
        <w:rPr>
          <w:rFonts w:ascii="Arial" w:cs="Arial" w:eastAsia="Arial" w:hAnsi="Arial"/>
          <w:b/>
          <w:bCs/>
          <w:color w:val="1B2A4A"/>
          <w:sz w:val="21"/>
          <w:szCs w:val="21"/>
        </w:rPr>
        <w:t xml:space="preserve">By Response Time Bucket: </w:t>
      </w:r>
      <w:r>
        <w:rPr>
          <w:rFonts w:ascii="Arial" w:cs="Arial" w:eastAsia="Arial" w:hAnsi="Arial"/>
          <w:color w:val="333333"/>
          <w:sz w:val="21"/>
          <w:szCs w:val="21"/>
        </w:rPr>
        <w:t xml:space="preserve">Histogram showing distribution of response times (&lt; 200ms, 200-500ms, 500ms-1s, 1-2s, 2-5s, &gt; 5s).</w:t>
      </w:r>
    </w:p>
    <w:p>
      <w:pPr>
        <w:spacing w:after="120" w:before="240"/>
      </w:pPr>
      <w:r>
        <w:rPr>
          <w:rFonts w:ascii="Arial" w:cs="Arial" w:eastAsia="Arial" w:hAnsi="Arial"/>
          <w:b/>
          <w:bCs/>
          <w:color w:val="1B2A4A"/>
          <w:sz w:val="24"/>
          <w:szCs w:val="24"/>
        </w:rPr>
        <w:t xml:space="preserve">Cost Analytics</w:t>
      </w:r>
    </w:p>
    <w:p>
      <w:pPr>
        <w:spacing w:after="160" w:line="300"/>
      </w:pPr>
      <w:r>
        <w:rPr>
          <w:rFonts w:ascii="Arial" w:cs="Arial" w:eastAsia="Arial" w:hAnsi="Arial"/>
          <w:color w:val="333333"/>
          <w:sz w:val="21"/>
          <w:szCs w:val="21"/>
        </w:rPr>
        <w:t xml:space="preserve">Cost visibility is the #1 feature enterprise customers ask for. Provide:</w:t>
      </w:r>
    </w:p>
    <w:p>
      <w:pPr>
        <w:pStyle w:val="ListParagraph"/>
        <w:numPr>
          <w:ilvl w:val="0"/>
          <w:numId w:val="2"/>
        </w:numPr>
        <w:spacing w:after="80" w:line="280"/>
      </w:pPr>
      <w:r>
        <w:rPr>
          <w:rFonts w:ascii="Arial" w:cs="Arial" w:eastAsia="Arial" w:hAnsi="Arial"/>
          <w:b/>
          <w:bCs/>
          <w:color w:val="1B2A4A"/>
          <w:sz w:val="21"/>
          <w:szCs w:val="21"/>
        </w:rPr>
        <w:t xml:space="preserve">Cost Breakdown Table: </w:t>
      </w:r>
      <w:r>
        <w:rPr>
          <w:rFonts w:ascii="Arial" w:cs="Arial" w:eastAsia="Arial" w:hAnsi="Arial"/>
          <w:color w:val="333333"/>
          <w:sz w:val="21"/>
          <w:szCs w:val="21"/>
        </w:rPr>
        <w:t xml:space="preserve">Model | Input Tokens | Output Tokens | Input Cost | Output Cost | Total Cost. Sortable by any column.</w:t>
      </w:r>
    </w:p>
    <w:p>
      <w:pPr>
        <w:pStyle w:val="ListParagraph"/>
        <w:numPr>
          <w:ilvl w:val="0"/>
          <w:numId w:val="2"/>
        </w:numPr>
        <w:spacing w:after="80" w:line="280"/>
      </w:pPr>
      <w:r>
        <w:rPr>
          <w:rFonts w:ascii="Arial" w:cs="Arial" w:eastAsia="Arial" w:hAnsi="Arial"/>
          <w:b/>
          <w:bCs/>
          <w:color w:val="1B2A4A"/>
          <w:sz w:val="21"/>
          <w:szCs w:val="21"/>
        </w:rPr>
        <w:t xml:space="preserve">Cost Projection: </w:t>
      </w:r>
      <w:r>
        <w:rPr>
          <w:rFonts w:ascii="Arial" w:cs="Arial" w:eastAsia="Arial" w:hAnsi="Arial"/>
          <w:color w:val="333333"/>
          <w:sz w:val="21"/>
          <w:szCs w:val="21"/>
        </w:rPr>
        <w:t xml:space="preserve">Based on the last 7 days of usage, project the end-of-month cost. Show best case, expected, and worst case (based on variance).</w:t>
      </w:r>
    </w:p>
    <w:p>
      <w:pPr>
        <w:pStyle w:val="ListParagraph"/>
        <w:numPr>
          <w:ilvl w:val="0"/>
          <w:numId w:val="2"/>
        </w:numPr>
        <w:spacing w:after="80" w:line="280"/>
      </w:pPr>
      <w:r>
        <w:rPr>
          <w:rFonts w:ascii="Arial" w:cs="Arial" w:eastAsia="Arial" w:hAnsi="Arial"/>
          <w:b/>
          <w:bCs/>
          <w:color w:val="1B2A4A"/>
          <w:sz w:val="21"/>
          <w:szCs w:val="21"/>
        </w:rPr>
        <w:t xml:space="preserve">Cost Comparison: </w:t>
      </w:r>
      <w:r>
        <w:rPr>
          <w:rFonts w:ascii="Arial" w:cs="Arial" w:eastAsia="Arial" w:hAnsi="Arial"/>
          <w:color w:val="333333"/>
          <w:sz w:val="21"/>
          <w:szCs w:val="21"/>
        </w:rPr>
        <w:t xml:space="preserve">Month-over-month cost trend. Highlight spikes and drops with annotations (e.g., “New model deployed” or “Traffic spike from marketing launch”).</w:t>
      </w:r>
    </w:p>
    <w:p>
      <w:pPr>
        <w:pStyle w:val="ListParagraph"/>
        <w:numPr>
          <w:ilvl w:val="0"/>
          <w:numId w:val="2"/>
        </w:numPr>
        <w:spacing w:after="80" w:line="280"/>
      </w:pPr>
      <w:r>
        <w:rPr>
          <w:rFonts w:ascii="Arial" w:cs="Arial" w:eastAsia="Arial" w:hAnsi="Arial"/>
          <w:b/>
          <w:bCs/>
          <w:color w:val="1B2A4A"/>
          <w:sz w:val="21"/>
          <w:szCs w:val="21"/>
        </w:rPr>
        <w:t xml:space="preserve">Per-Key Cost Allocation: </w:t>
      </w:r>
      <w:r>
        <w:rPr>
          <w:rFonts w:ascii="Arial" w:cs="Arial" w:eastAsia="Arial" w:hAnsi="Arial"/>
          <w:color w:val="333333"/>
          <w:sz w:val="21"/>
          <w:szCs w:val="21"/>
        </w:rPr>
        <w:t xml:space="preserve">Show cost broken down by API key. This lets teams allocate costs to internal departments or products using different keys.</w:t>
      </w:r>
    </w:p>
    <w:p>
      <w:pPr>
        <w:spacing w:after="120" w:before="240"/>
      </w:pPr>
      <w:r>
        <w:rPr>
          <w:rFonts w:ascii="Arial" w:cs="Arial" w:eastAsia="Arial" w:hAnsi="Arial"/>
          <w:b/>
          <w:bCs/>
          <w:color w:val="1B2A4A"/>
          <w:sz w:val="24"/>
          <w:szCs w:val="24"/>
        </w:rPr>
        <w:t xml:space="preserve">Data Export</w:t>
      </w:r>
    </w:p>
    <w:p>
      <w:pPr>
        <w:pStyle w:val="ListParagraph"/>
        <w:numPr>
          <w:ilvl w:val="0"/>
          <w:numId w:val="2"/>
        </w:numPr>
        <w:spacing w:after="80" w:line="280"/>
      </w:pPr>
      <w:r>
        <w:rPr>
          <w:rFonts w:ascii="Arial" w:cs="Arial" w:eastAsia="Arial" w:hAnsi="Arial"/>
          <w:b/>
          <w:bCs/>
          <w:color w:val="1B2A4A"/>
          <w:sz w:val="21"/>
          <w:szCs w:val="21"/>
        </w:rPr>
        <w:t xml:space="preserve">CSV/JSON Export: </w:t>
      </w:r>
      <w:r>
        <w:rPr>
          <w:rFonts w:ascii="Arial" w:cs="Arial" w:eastAsia="Arial" w:hAnsi="Arial"/>
          <w:color w:val="333333"/>
          <w:sz w:val="21"/>
          <w:szCs w:val="21"/>
        </w:rPr>
        <w:t xml:space="preserve">One-click export of any analytics view. Include all filters and dimensions in the export.</w:t>
      </w:r>
    </w:p>
    <w:p>
      <w:pPr>
        <w:pStyle w:val="ListParagraph"/>
        <w:numPr>
          <w:ilvl w:val="0"/>
          <w:numId w:val="2"/>
        </w:numPr>
        <w:spacing w:after="80" w:line="280"/>
      </w:pPr>
      <w:r>
        <w:rPr>
          <w:rFonts w:ascii="Arial" w:cs="Arial" w:eastAsia="Arial" w:hAnsi="Arial"/>
          <w:b/>
          <w:bCs/>
          <w:color w:val="1B2A4A"/>
          <w:sz w:val="21"/>
          <w:szCs w:val="21"/>
        </w:rPr>
        <w:t xml:space="preserve">Usage API: </w:t>
      </w:r>
      <w:r>
        <w:rPr>
          <w:rFonts w:ascii="Arial" w:cs="Arial" w:eastAsia="Arial" w:hAnsi="Arial"/>
          <w:color w:val="333333"/>
          <w:sz w:val="21"/>
          <w:szCs w:val="21"/>
        </w:rPr>
        <w:t xml:space="preserve">A dedicated /v1/usage endpoint that returns the same data programmatically. Enterprise customers will pipe this into their own BI tools (Looker, Tableau, internal dashboards).</w:t>
      </w:r>
    </w:p>
    <w:p>
      <w:pPr>
        <w:pStyle w:val="ListParagraph"/>
        <w:numPr>
          <w:ilvl w:val="0"/>
          <w:numId w:val="2"/>
        </w:numPr>
        <w:spacing w:after="80" w:line="280"/>
      </w:pPr>
      <w:r>
        <w:rPr>
          <w:rFonts w:ascii="Arial" w:cs="Arial" w:eastAsia="Arial" w:hAnsi="Arial"/>
          <w:b/>
          <w:bCs/>
          <w:color w:val="1B2A4A"/>
          <w:sz w:val="21"/>
          <w:szCs w:val="21"/>
        </w:rPr>
        <w:t xml:space="preserve">Scheduled Reports: </w:t>
      </w:r>
      <w:r>
        <w:rPr>
          <w:rFonts w:ascii="Arial" w:cs="Arial" w:eastAsia="Arial" w:hAnsi="Arial"/>
          <w:color w:val="333333"/>
          <w:sz w:val="21"/>
          <w:szCs w:val="21"/>
        </w:rPr>
        <w:t xml:space="preserve">Weekly or monthly usage summaries emailed to org owners and finance roles. Configurable recipients and schedule.</w:t>
      </w:r>
    </w:p>
    <w:p>
      <w:r>
        <w:br w:type="page"/>
      </w:r>
    </w:p>
    <w:p>
      <w:pPr>
        <w:pStyle w:val="Heading1"/>
        <w:spacing w:after="200" w:before="480"/>
      </w:pPr>
      <w:r>
        <w:rPr>
          <w:rFonts w:ascii="Arial" w:cs="Arial" w:eastAsia="Arial" w:hAnsi="Arial"/>
          <w:b/>
          <w:bCs/>
          <w:color w:val="1B2A4A"/>
          <w:sz w:val="36"/>
          <w:szCs w:val="36"/>
        </w:rPr>
        <w:t xml:space="preserve">4. Billing &amp; Payments System</w:t>
      </w:r>
    </w:p>
    <w:p>
      <w:pPr>
        <w:spacing w:after="160" w:line="300"/>
      </w:pPr>
      <w:r>
        <w:rPr>
          <w:rFonts w:ascii="Arial" w:cs="Arial" w:eastAsia="Arial" w:hAnsi="Arial"/>
          <w:color w:val="333333"/>
          <w:sz w:val="21"/>
          <w:szCs w:val="21"/>
        </w:rPr>
        <w:t xml:space="preserve">Billing is where trust is built or destroyed. Inaccurate billing, surprise charges, or opaque pricing will drive customers away faster than any performance issue.</w:t>
      </w:r>
    </w:p>
    <w:p>
      <w:pPr>
        <w:pStyle w:val="Heading2"/>
        <w:spacing w:after="160" w:before="360"/>
      </w:pPr>
      <w:r>
        <w:rPr>
          <w:rFonts w:ascii="Arial" w:cs="Arial" w:eastAsia="Arial" w:hAnsi="Arial"/>
          <w:b/>
          <w:bCs/>
          <w:color w:val="2E75B6"/>
          <w:sz w:val="28"/>
          <w:szCs w:val="28"/>
        </w:rPr>
        <w:t xml:space="preserve">4.1 Pricing Architecture</w:t>
      </w:r>
    </w:p>
    <w:p>
      <w:pPr>
        <w:spacing w:after="120" w:before="240"/>
      </w:pPr>
      <w:r>
        <w:rPr>
          <w:rFonts w:ascii="Arial" w:cs="Arial" w:eastAsia="Arial" w:hAnsi="Arial"/>
          <w:b/>
          <w:bCs/>
          <w:color w:val="1B2A4A"/>
          <w:sz w:val="24"/>
          <w:szCs w:val="24"/>
        </w:rPr>
        <w:t xml:space="preserve">Token-Based Pricing Model</w:t>
      </w:r>
    </w:p>
    <w:p>
      <w:pPr>
        <w:spacing w:after="160" w:line="300"/>
      </w:pPr>
      <w:r>
        <w:rPr>
          <w:rFonts w:ascii="Arial" w:cs="Arial" w:eastAsia="Arial" w:hAnsi="Arial"/>
          <w:color w:val="333333"/>
          <w:sz w:val="21"/>
          <w:szCs w:val="21"/>
        </w:rPr>
        <w:t xml:space="preserve">The industry standard is per-million-token pricing with separate rates for input and output tokens. Output tokens are typically 3–5x more expensive because they require sequential generation (inference-bound), while input tokens can be processed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12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Input (per 1M tokens)</w:t>
            </w:r>
          </w:p>
        </w:tc>
        <w:tc>
          <w:tcPr>
            <w:tcW w:type="dxa" w:w="312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 (per 1M tokens)</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LLaMA 3.1 8B</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$0.10</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$0.10</w:t>
            </w:r>
          </w:p>
        </w:tc>
      </w:tr>
      <w:tr>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LLaMA 3.1 70B</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$0.60</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$0.80</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LLaMA 3.1 405B</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$3.00</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$3.00</w:t>
            </w:r>
          </w:p>
        </w:tc>
      </w:tr>
      <w:tr>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Mistral Large</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$2.00</w:t>
            </w:r>
          </w:p>
        </w:tc>
        <w:tc>
          <w:tcPr>
            <w:tcW w:type="dxa" w:w="312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$6.00</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DeepSeek V3</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$0.50</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$1.50</w:t>
            </w:r>
          </w:p>
        </w:tc>
      </w:tr>
    </w:tbl>
    <w:p>
      <w:pPr>
        <w:spacing w:after="100"/>
      </w:pPr>
    </w:p>
    <w:p>
      <w:pPr>
        <w:spacing w:after="160" w:line="300"/>
      </w:pPr>
      <w:r>
        <w:rPr>
          <w:rFonts w:ascii="Arial" w:cs="Arial" w:eastAsia="Arial" w:hAnsi="Arial"/>
          <w:color w:val="333333"/>
          <w:sz w:val="21"/>
          <w:szCs w:val="21"/>
        </w:rPr>
        <w:t xml:space="preserve">Prices are illustrative. Your actual pricing depends on hardware cost, optimization efficiency, and competitive positioning.</w:t>
      </w:r>
    </w:p>
    <w:p>
      <w:pPr>
        <w:spacing w:after="120" w:before="240"/>
      </w:pPr>
      <w:r>
        <w:rPr>
          <w:rFonts w:ascii="Arial" w:cs="Arial" w:eastAsia="Arial" w:hAnsi="Arial"/>
          <w:b/>
          <w:bCs/>
          <w:color w:val="1B2A4A"/>
          <w:sz w:val="24"/>
          <w:szCs w:val="24"/>
        </w:rPr>
        <w:t xml:space="preserve">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1980"/>
        <w:gridCol w:w="1980"/>
      </w:tblGrid>
      <w:tr>
        <w:tc>
          <w:tcPr>
            <w:tcW w:type="dxa" w:w="1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Rate Limits</w:t>
            </w:r>
          </w:p>
        </w:tc>
        <w:tc>
          <w:tcPr>
            <w:tcW w:type="dxa" w:w="19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Support</w:t>
            </w:r>
          </w:p>
        </w:tc>
        <w:tc>
          <w:tcPr>
            <w:tcW w:type="dxa" w:w="19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Free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$0 ($5 credits)</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10 RPM / 100K TPM</w:t>
            </w:r>
          </w:p>
        </w:tc>
        <w:tc>
          <w:tcPr>
            <w:tcW w:type="dxa" w:w="19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Community only</w:t>
            </w:r>
          </w:p>
        </w:tc>
        <w:tc>
          <w:tcPr>
            <w:tcW w:type="dxa" w:w="19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All models, playground, basic dashboard</w:t>
            </w:r>
          </w:p>
        </w:tc>
      </w:tr>
      <w:tr>
        <w:tc>
          <w:tcPr>
            <w:tcW w:type="dxa" w:w="1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33333"/>
                <w:sz w:val="20"/>
                <w:szCs w:val="20"/>
              </w:rPr>
              <w:t xml:space="preserve">Pay-as-you-go</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Usage-based</w:t>
            </w:r>
          </w:p>
        </w:tc>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60 RPM / 1M TPM</w:t>
            </w:r>
          </w:p>
        </w:tc>
        <w:tc>
          <w:tcPr>
            <w:tcW w:type="dxa" w:w="19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Email (48h SLA)</w:t>
            </w:r>
          </w:p>
        </w:tc>
        <w:tc>
          <w:tcPr>
            <w:tcW w:type="dxa" w:w="19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 Webhooks, logs, multiple keys</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Pro</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$99/mo + usage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600 RPM / 10M TPM</w:t>
            </w:r>
          </w:p>
        </w:tc>
        <w:tc>
          <w:tcPr>
            <w:tcW w:type="dxa" w:w="19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Email (12h SLA)</w:t>
            </w:r>
          </w:p>
        </w:tc>
        <w:tc>
          <w:tcPr>
            <w:tcW w:type="dxa" w:w="19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 Priority queue, fine-tuning, SSO, RBAC, audit log</w:t>
            </w:r>
          </w:p>
        </w:tc>
      </w:tr>
      <w:tr>
        <w:tc>
          <w:tcPr>
            <w:tcW w:type="dxa" w:w="1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33333"/>
                <w:sz w:val="20"/>
                <w:szCs w:val="20"/>
              </w:rPr>
              <w:t xml:space="preserve">Enterprise</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Custom contract</w:t>
            </w:r>
          </w:p>
        </w:tc>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Custom</w:t>
            </w:r>
          </w:p>
        </w:tc>
        <w:tc>
          <w:tcPr>
            <w:tcW w:type="dxa" w:w="19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Dedicated CSM, &lt;4h SLA</w:t>
            </w:r>
          </w:p>
        </w:tc>
        <w:tc>
          <w:tcPr>
            <w:tcW w:type="dxa" w:w="19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 Dedicated infra, VPC peering, SLA, custom models</w:t>
            </w:r>
          </w:p>
        </w:tc>
      </w:tr>
    </w:tbl>
    <w:p>
      <w:pPr>
        <w:spacing w:after="100"/>
      </w:pPr>
    </w:p>
    <w:p>
      <w:pPr>
        <w:pStyle w:val="Heading2"/>
        <w:spacing w:after="160" w:before="360"/>
      </w:pPr>
      <w:r>
        <w:rPr>
          <w:rFonts w:ascii="Arial" w:cs="Arial" w:eastAsia="Arial" w:hAnsi="Arial"/>
          <w:b/>
          <w:bCs/>
          <w:color w:val="2E75B6"/>
          <w:sz w:val="28"/>
          <w:szCs w:val="28"/>
        </w:rPr>
        <w:t xml:space="preserve">4.2 Metering Pipeline</w:t>
      </w:r>
    </w:p>
    <w:p>
      <w:pPr>
        <w:spacing w:after="160" w:line="300"/>
      </w:pPr>
      <w:r>
        <w:rPr>
          <w:rFonts w:ascii="Arial" w:cs="Arial" w:eastAsia="Arial" w:hAnsi="Arial"/>
          <w:color w:val="333333"/>
          <w:sz w:val="21"/>
          <w:szCs w:val="21"/>
        </w:rPr>
        <w:t xml:space="preserve">Accurate token counting is the foundation of trust. Build a metering pipeline that is append-only, auditable, and eventually consistent.</w:t>
      </w:r>
    </w:p>
    <w:p>
      <w:pPr>
        <w:spacing w:after="120" w:before="240"/>
      </w:pPr>
      <w:r>
        <w:rPr>
          <w:rFonts w:ascii="Arial" w:cs="Arial" w:eastAsia="Arial" w:hAnsi="Arial"/>
          <w:b/>
          <w:bCs/>
          <w:color w:val="1B2A4A"/>
          <w:sz w:val="24"/>
          <w:szCs w:val="24"/>
        </w:rPr>
        <w:t xml:space="preserve">Architecture</w:t>
      </w:r>
    </w:p>
    <w:p>
      <w:pPr>
        <w:pStyle w:val="ListParagraph"/>
        <w:numPr>
          <w:ilvl w:val="0"/>
          <w:numId w:val="2"/>
        </w:numPr>
        <w:spacing w:after="80" w:line="280"/>
      </w:pPr>
      <w:r>
        <w:rPr>
          <w:rFonts w:ascii="Arial" w:cs="Arial" w:eastAsia="Arial" w:hAnsi="Arial"/>
          <w:b/>
          <w:bCs/>
          <w:color w:val="1B2A4A"/>
          <w:sz w:val="21"/>
          <w:szCs w:val="21"/>
        </w:rPr>
        <w:t xml:space="preserve">Event Emission: </w:t>
      </w:r>
      <w:r>
        <w:rPr>
          <w:rFonts w:ascii="Arial" w:cs="Arial" w:eastAsia="Arial" w:hAnsi="Arial"/>
          <w:color w:val="333333"/>
          <w:sz w:val="21"/>
          <w:szCs w:val="21"/>
        </w:rPr>
        <w:t xml:space="preserve">Every completed API request emits a usage event containing: request_id, org_id, workspace_id, api_key_id, model, input_tokens, output_tokens, timestamp, latency_ms, status_code.</w:t>
      </w:r>
    </w:p>
    <w:p>
      <w:pPr>
        <w:pStyle w:val="ListParagraph"/>
        <w:numPr>
          <w:ilvl w:val="0"/>
          <w:numId w:val="2"/>
        </w:numPr>
        <w:spacing w:after="80" w:line="280"/>
      </w:pPr>
      <w:r>
        <w:rPr>
          <w:rFonts w:ascii="Arial" w:cs="Arial" w:eastAsia="Arial" w:hAnsi="Arial"/>
          <w:b/>
          <w:bCs/>
          <w:color w:val="1B2A4A"/>
          <w:sz w:val="21"/>
          <w:szCs w:val="21"/>
        </w:rPr>
        <w:t xml:space="preserve">Event Stream: </w:t>
      </w:r>
      <w:r>
        <w:rPr>
          <w:rFonts w:ascii="Arial" w:cs="Arial" w:eastAsia="Arial" w:hAnsi="Arial"/>
          <w:color w:val="333333"/>
          <w:sz w:val="21"/>
          <w:szCs w:val="21"/>
        </w:rPr>
        <w:t xml:space="preserve">Events flow through Kafka (or equivalent) with at-least-once delivery. Partitioned by org_id for ordered processing per org.</w:t>
      </w:r>
    </w:p>
    <w:p>
      <w:pPr>
        <w:pStyle w:val="ListParagraph"/>
        <w:numPr>
          <w:ilvl w:val="0"/>
          <w:numId w:val="2"/>
        </w:numPr>
        <w:spacing w:after="80" w:line="280"/>
      </w:pPr>
      <w:r>
        <w:rPr>
          <w:rFonts w:ascii="Arial" w:cs="Arial" w:eastAsia="Arial" w:hAnsi="Arial"/>
          <w:b/>
          <w:bCs/>
          <w:color w:val="1B2A4A"/>
          <w:sz w:val="21"/>
          <w:szCs w:val="21"/>
        </w:rPr>
        <w:t xml:space="preserve">Aggregation Layer: </w:t>
      </w:r>
      <w:r>
        <w:rPr>
          <w:rFonts w:ascii="Arial" w:cs="Arial" w:eastAsia="Arial" w:hAnsi="Arial"/>
          <w:color w:val="333333"/>
          <w:sz w:val="21"/>
          <w:szCs w:val="21"/>
        </w:rPr>
        <w:t xml:space="preserve">A consumer aggregates events into per-minute, per-hour, and per-day buckets in a time-series database (ClickHouse, TimescaleDB, or Druid). This is what powers the analytics dashboard.</w:t>
      </w:r>
    </w:p>
    <w:p>
      <w:pPr>
        <w:pStyle w:val="ListParagraph"/>
        <w:numPr>
          <w:ilvl w:val="0"/>
          <w:numId w:val="2"/>
        </w:numPr>
        <w:spacing w:after="80" w:line="280"/>
      </w:pPr>
      <w:r>
        <w:rPr>
          <w:rFonts w:ascii="Arial" w:cs="Arial" w:eastAsia="Arial" w:hAnsi="Arial"/>
          <w:b/>
          <w:bCs/>
          <w:color w:val="1B2A4A"/>
          <w:sz w:val="21"/>
          <w:szCs w:val="21"/>
        </w:rPr>
        <w:t xml:space="preserve">Billing Aggregation: </w:t>
      </w:r>
      <w:r>
        <w:rPr>
          <w:rFonts w:ascii="Arial" w:cs="Arial" w:eastAsia="Arial" w:hAnsi="Arial"/>
          <w:color w:val="333333"/>
          <w:sz w:val="21"/>
          <w:szCs w:val="21"/>
        </w:rPr>
        <w:t xml:space="preserve">A separate consumer accumulates tokens per org per billing period. This is the source of truth for invoicing. Use double-entry accounting principles: every token is credited to the user and debited from their balance.</w:t>
      </w:r>
    </w:p>
    <w:p>
      <w:pPr>
        <w:pStyle w:val="ListParagraph"/>
        <w:numPr>
          <w:ilvl w:val="0"/>
          <w:numId w:val="2"/>
        </w:numPr>
        <w:spacing w:after="80" w:line="280"/>
      </w:pPr>
      <w:r>
        <w:rPr>
          <w:rFonts w:ascii="Arial" w:cs="Arial" w:eastAsia="Arial" w:hAnsi="Arial"/>
          <w:b/>
          <w:bCs/>
          <w:color w:val="1B2A4A"/>
          <w:sz w:val="21"/>
          <w:szCs w:val="21"/>
        </w:rPr>
        <w:t xml:space="preserve">Reconciliation: </w:t>
      </w:r>
      <w:r>
        <w:rPr>
          <w:rFonts w:ascii="Arial" w:cs="Arial" w:eastAsia="Arial" w:hAnsi="Arial"/>
          <w:color w:val="333333"/>
          <w:sz w:val="21"/>
          <w:szCs w:val="21"/>
        </w:rPr>
        <w:t xml:space="preserve">Run a daily reconciliation job that compares the billing aggregation against the raw event stream. Flag any discrepancies for manual review. Publish a monthly accuracy report.</w:t>
      </w:r>
    </w:p>
    <w:p>
      <w:pPr>
        <w:spacing w:after="120" w:before="240"/>
      </w:pPr>
      <w:r>
        <w:rPr>
          <w:rFonts w:ascii="Arial" w:cs="Arial" w:eastAsia="Arial" w:hAnsi="Arial"/>
          <w:b/>
          <w:bCs/>
          <w:color w:val="1B2A4A"/>
          <w:sz w:val="24"/>
          <w:szCs w:val="24"/>
        </w:rPr>
        <w:t xml:space="preserve">Token Counting</w:t>
      </w:r>
    </w:p>
    <w:p>
      <w:pPr>
        <w:pStyle w:val="ListParagraph"/>
        <w:numPr>
          <w:ilvl w:val="0"/>
          <w:numId w:val="2"/>
        </w:numPr>
        <w:spacing w:after="80" w:line="280"/>
      </w:pPr>
      <w:r>
        <w:rPr>
          <w:rFonts w:ascii="Arial" w:cs="Arial" w:eastAsia="Arial" w:hAnsi="Arial"/>
          <w:b/>
          <w:bCs/>
          <w:color w:val="1B2A4A"/>
          <w:sz w:val="21"/>
          <w:szCs w:val="21"/>
        </w:rPr>
        <w:t xml:space="preserve">Tokenizer Consistency: </w:t>
      </w:r>
      <w:r>
        <w:rPr>
          <w:rFonts w:ascii="Arial" w:cs="Arial" w:eastAsia="Arial" w:hAnsi="Arial"/>
          <w:color w:val="333333"/>
          <w:sz w:val="21"/>
          <w:szCs w:val="21"/>
        </w:rPr>
        <w:t xml:space="preserve">Use the same tokenizer that the model uses. For LLaMA models, use the LLaMA tokenizer; for Mistral, use the Mistral tokenizer. Mismatched tokenizers cause billing disputes.</w:t>
      </w:r>
    </w:p>
    <w:p>
      <w:pPr>
        <w:pStyle w:val="ListParagraph"/>
        <w:numPr>
          <w:ilvl w:val="0"/>
          <w:numId w:val="2"/>
        </w:numPr>
        <w:spacing w:after="80" w:line="280"/>
      </w:pPr>
      <w:r>
        <w:rPr>
          <w:rFonts w:ascii="Arial" w:cs="Arial" w:eastAsia="Arial" w:hAnsi="Arial"/>
          <w:b/>
          <w:bCs/>
          <w:color w:val="1B2A4A"/>
          <w:sz w:val="21"/>
          <w:szCs w:val="21"/>
        </w:rPr>
        <w:t xml:space="preserve">Caching Token Counts: </w:t>
      </w:r>
      <w:r>
        <w:rPr>
          <w:rFonts w:ascii="Arial" w:cs="Arial" w:eastAsia="Arial" w:hAnsi="Arial"/>
          <w:color w:val="333333"/>
          <w:sz w:val="21"/>
          <w:szCs w:val="21"/>
        </w:rPr>
        <w:t xml:space="preserve">For input tokens, count before inference and after inference (some systems add special tokens). Bill based on the actual tokens processed. For output tokens, count the generated tokens exactly.</w:t>
      </w:r>
    </w:p>
    <w:p>
      <w:pPr>
        <w:pStyle w:val="ListParagraph"/>
        <w:numPr>
          <w:ilvl w:val="0"/>
          <w:numId w:val="2"/>
        </w:numPr>
        <w:spacing w:after="80" w:line="280"/>
      </w:pPr>
      <w:r>
        <w:rPr>
          <w:rFonts w:ascii="Arial" w:cs="Arial" w:eastAsia="Arial" w:hAnsi="Arial"/>
          <w:b/>
          <w:bCs/>
          <w:color w:val="1B2A4A"/>
          <w:sz w:val="21"/>
          <w:szCs w:val="21"/>
        </w:rPr>
        <w:t xml:space="preserve">Streaming Considerations: </w:t>
      </w:r>
      <w:r>
        <w:rPr>
          <w:rFonts w:ascii="Arial" w:cs="Arial" w:eastAsia="Arial" w:hAnsi="Arial"/>
          <w:color w:val="333333"/>
          <w:sz w:val="21"/>
          <w:szCs w:val="21"/>
        </w:rPr>
        <w:t xml:space="preserve">For streaming responses, accumulate token counts as chunks are sent. The final usage object should be sent as the last SSE event.</w:t>
      </w:r>
    </w:p>
    <w:p>
      <w:pPr>
        <w:pStyle w:val="Heading2"/>
        <w:spacing w:after="160" w:before="360"/>
      </w:pPr>
      <w:r>
        <w:rPr>
          <w:rFonts w:ascii="Arial" w:cs="Arial" w:eastAsia="Arial" w:hAnsi="Arial"/>
          <w:b/>
          <w:bCs/>
          <w:color w:val="2E75B6"/>
          <w:sz w:val="28"/>
          <w:szCs w:val="28"/>
        </w:rPr>
        <w:t xml:space="preserve">4.3 Billing Dashboard Features</w:t>
      </w:r>
    </w:p>
    <w:p>
      <w:pPr>
        <w:spacing w:after="120" w:before="240"/>
      </w:pPr>
      <w:r>
        <w:rPr>
          <w:rFonts w:ascii="Arial" w:cs="Arial" w:eastAsia="Arial" w:hAnsi="Arial"/>
          <w:b/>
          <w:bCs/>
          <w:color w:val="1B2A4A"/>
          <w:sz w:val="24"/>
          <w:szCs w:val="24"/>
        </w:rPr>
        <w:t xml:space="preserve">Current Period View</w:t>
      </w:r>
    </w:p>
    <w:p>
      <w:pPr>
        <w:pStyle w:val="ListParagraph"/>
        <w:numPr>
          <w:ilvl w:val="0"/>
          <w:numId w:val="2"/>
        </w:numPr>
        <w:spacing w:after="80" w:line="280"/>
      </w:pPr>
      <w:r>
        <w:rPr>
          <w:rFonts w:ascii="Arial" w:cs="Arial" w:eastAsia="Arial" w:hAnsi="Arial"/>
          <w:b/>
          <w:bCs/>
          <w:color w:val="1B2A4A"/>
          <w:sz w:val="21"/>
          <w:szCs w:val="21"/>
        </w:rPr>
        <w:t xml:space="preserve">Usage Meter: </w:t>
      </w:r>
      <w:r>
        <w:rPr>
          <w:rFonts w:ascii="Arial" w:cs="Arial" w:eastAsia="Arial" w:hAnsi="Arial"/>
          <w:color w:val="333333"/>
          <w:sz w:val="21"/>
          <w:szCs w:val="21"/>
        </w:rPr>
        <w:t xml:space="preserve">A visual meter showing current spend vs. budget cap (if set). Color-coded: green (&lt; 50%), yellow (50-80%), orange (80-95%), red (&gt; 95%).</w:t>
      </w:r>
    </w:p>
    <w:p>
      <w:pPr>
        <w:pStyle w:val="ListParagraph"/>
        <w:numPr>
          <w:ilvl w:val="0"/>
          <w:numId w:val="2"/>
        </w:numPr>
        <w:spacing w:after="80" w:line="280"/>
      </w:pPr>
      <w:r>
        <w:rPr>
          <w:rFonts w:ascii="Arial" w:cs="Arial" w:eastAsia="Arial" w:hAnsi="Arial"/>
          <w:b/>
          <w:bCs/>
          <w:color w:val="1B2A4A"/>
          <w:sz w:val="21"/>
          <w:szCs w:val="21"/>
        </w:rPr>
        <w:t xml:space="preserve">Line-Item Breakdown: </w:t>
      </w:r>
      <w:r>
        <w:rPr>
          <w:rFonts w:ascii="Arial" w:cs="Arial" w:eastAsia="Arial" w:hAnsi="Arial"/>
          <w:color w:val="333333"/>
          <w:sz w:val="21"/>
          <w:szCs w:val="21"/>
        </w:rPr>
        <w:t xml:space="preserve">Table showing: Model | Requests | Input Tokens | Output Tokens | Cost. Sortable and filterable.</w:t>
      </w:r>
    </w:p>
    <w:p>
      <w:pPr>
        <w:pStyle w:val="ListParagraph"/>
        <w:numPr>
          <w:ilvl w:val="0"/>
          <w:numId w:val="2"/>
        </w:numPr>
        <w:spacing w:after="80" w:line="280"/>
      </w:pPr>
      <w:r>
        <w:rPr>
          <w:rFonts w:ascii="Arial" w:cs="Arial" w:eastAsia="Arial" w:hAnsi="Arial"/>
          <w:b/>
          <w:bCs/>
          <w:color w:val="1B2A4A"/>
          <w:sz w:val="21"/>
          <w:szCs w:val="21"/>
        </w:rPr>
        <w:t xml:space="preserve">Daily Burn Rate: </w:t>
      </w:r>
      <w:r>
        <w:rPr>
          <w:rFonts w:ascii="Arial" w:cs="Arial" w:eastAsia="Arial" w:hAnsi="Arial"/>
          <w:color w:val="333333"/>
          <w:sz w:val="21"/>
          <w:szCs w:val="21"/>
        </w:rPr>
        <w:t xml:space="preserve">Average daily spend over the last 7 days and projected end-of-month total.</w:t>
      </w:r>
    </w:p>
    <w:p>
      <w:pPr>
        <w:spacing w:after="120" w:before="240"/>
      </w:pPr>
      <w:r>
        <w:rPr>
          <w:rFonts w:ascii="Arial" w:cs="Arial" w:eastAsia="Arial" w:hAnsi="Arial"/>
          <w:b/>
          <w:bCs/>
          <w:color w:val="1B2A4A"/>
          <w:sz w:val="24"/>
          <w:szCs w:val="24"/>
        </w:rPr>
        <w:t xml:space="preserve">Spend Controls</w:t>
      </w:r>
    </w:p>
    <w:p>
      <w:pPr>
        <w:spacing w:after="160" w:line="300"/>
      </w:pPr>
      <w:r>
        <w:rPr>
          <w:rFonts w:ascii="Arial" w:cs="Arial" w:eastAsia="Arial" w:hAnsi="Arial"/>
          <w:color w:val="333333"/>
          <w:sz w:val="21"/>
          <w:szCs w:val="21"/>
        </w:rPr>
        <w:t xml:space="preserve">These controls are arguably the most important feature in your entire billing system. Developers fear runaway costs more than anything.</w:t>
      </w:r>
    </w:p>
    <w:p>
      <w:pPr>
        <w:pStyle w:val="ListParagraph"/>
        <w:numPr>
          <w:ilvl w:val="0"/>
          <w:numId w:val="2"/>
        </w:numPr>
        <w:spacing w:after="80" w:line="280"/>
      </w:pPr>
      <w:r>
        <w:rPr>
          <w:rFonts w:ascii="Arial" w:cs="Arial" w:eastAsia="Arial" w:hAnsi="Arial"/>
          <w:b/>
          <w:bCs/>
          <w:color w:val="1B2A4A"/>
          <w:sz w:val="21"/>
          <w:szCs w:val="21"/>
        </w:rPr>
        <w:t xml:space="preserve">Hard Budget Cap: </w:t>
      </w:r>
      <w:r>
        <w:rPr>
          <w:rFonts w:ascii="Arial" w:cs="Arial" w:eastAsia="Arial" w:hAnsi="Arial"/>
          <w:color w:val="333333"/>
          <w:sz w:val="21"/>
          <w:szCs w:val="21"/>
        </w:rPr>
        <w:t xml:space="preserve">Stop serving requests when the monthly spend reaches $X. Return HTTP 402 Payment Required with a clear message. Allow the user to increase the cap from the dashboard immediately.</w:t>
      </w:r>
    </w:p>
    <w:p>
      <w:pPr>
        <w:pStyle w:val="ListParagraph"/>
        <w:numPr>
          <w:ilvl w:val="0"/>
          <w:numId w:val="2"/>
        </w:numPr>
        <w:spacing w:after="80" w:line="280"/>
      </w:pPr>
      <w:r>
        <w:rPr>
          <w:rFonts w:ascii="Arial" w:cs="Arial" w:eastAsia="Arial" w:hAnsi="Arial"/>
          <w:b/>
          <w:bCs/>
          <w:color w:val="1B2A4A"/>
          <w:sz w:val="21"/>
          <w:szCs w:val="21"/>
        </w:rPr>
        <w:t xml:space="preserve">Soft Alert Thresholds: </w:t>
      </w:r>
      <w:r>
        <w:rPr>
          <w:rFonts w:ascii="Arial" w:cs="Arial" w:eastAsia="Arial" w:hAnsi="Arial"/>
          <w:color w:val="333333"/>
          <w:sz w:val="21"/>
          <w:szCs w:val="21"/>
        </w:rPr>
        <w:t xml:space="preserve">Configurable alerts at arbitrary percentages (e.g., 50%, 75%, 90%, 100%). Delivered via email, webhook, and/or Slack. Multiple recipients.</w:t>
      </w:r>
    </w:p>
    <w:p>
      <w:pPr>
        <w:pStyle w:val="ListParagraph"/>
        <w:numPr>
          <w:ilvl w:val="0"/>
          <w:numId w:val="2"/>
        </w:numPr>
        <w:spacing w:after="80" w:line="280"/>
      </w:pPr>
      <w:r>
        <w:rPr>
          <w:rFonts w:ascii="Arial" w:cs="Arial" w:eastAsia="Arial" w:hAnsi="Arial"/>
          <w:b/>
          <w:bCs/>
          <w:color w:val="1B2A4A"/>
          <w:sz w:val="21"/>
          <w:szCs w:val="21"/>
        </w:rPr>
        <w:t xml:space="preserve">Per-Key Spend Limits: </w:t>
      </w:r>
      <w:r>
        <w:rPr>
          <w:rFonts w:ascii="Arial" w:cs="Arial" w:eastAsia="Arial" w:hAnsi="Arial"/>
          <w:color w:val="333333"/>
          <w:sz w:val="21"/>
          <w:szCs w:val="21"/>
        </w:rPr>
        <w:t xml:space="preserve">Independent spend caps per API key. A key hitting its limit does not affect other keys.</w:t>
      </w:r>
    </w:p>
    <w:p>
      <w:pPr>
        <w:pStyle w:val="ListParagraph"/>
        <w:numPr>
          <w:ilvl w:val="0"/>
          <w:numId w:val="2"/>
        </w:numPr>
        <w:spacing w:after="80" w:line="280"/>
      </w:pPr>
      <w:r>
        <w:rPr>
          <w:rFonts w:ascii="Arial" w:cs="Arial" w:eastAsia="Arial" w:hAnsi="Arial"/>
          <w:b/>
          <w:bCs/>
          <w:color w:val="1B2A4A"/>
          <w:sz w:val="21"/>
          <w:szCs w:val="21"/>
        </w:rPr>
        <w:t xml:space="preserve">Auto-Pause: </w:t>
      </w:r>
      <w:r>
        <w:rPr>
          <w:rFonts w:ascii="Arial" w:cs="Arial" w:eastAsia="Arial" w:hAnsi="Arial"/>
          <w:color w:val="333333"/>
          <w:sz w:val="21"/>
          <w:szCs w:val="21"/>
        </w:rPr>
        <w:t xml:space="preserve">If a key exceeds its spend cap, auto-pause it and send an alert. Include a one-click resume button in the alert email.</w:t>
      </w:r>
    </w:p>
    <w:p>
      <w:pPr>
        <w:pStyle w:val="ListParagraph"/>
        <w:numPr>
          <w:ilvl w:val="0"/>
          <w:numId w:val="2"/>
        </w:numPr>
        <w:spacing w:after="80" w:line="280"/>
      </w:pPr>
      <w:r>
        <w:rPr>
          <w:rFonts w:ascii="Arial" w:cs="Arial" w:eastAsia="Arial" w:hAnsi="Arial"/>
          <w:b/>
          <w:bCs/>
          <w:color w:val="1B2A4A"/>
          <w:sz w:val="21"/>
          <w:szCs w:val="21"/>
        </w:rPr>
        <w:t xml:space="preserve">Budget Alerts for Anomalies: </w:t>
      </w:r>
      <w:r>
        <w:rPr>
          <w:rFonts w:ascii="Arial" w:cs="Arial" w:eastAsia="Arial" w:hAnsi="Arial"/>
          <w:color w:val="333333"/>
          <w:sz w:val="21"/>
          <w:szCs w:val="21"/>
        </w:rPr>
        <w:t xml:space="preserve">Alert when daily spend exceeds 2x the 7-day average. This catches bugs and leaked keys early.</w:t>
      </w:r>
    </w:p>
    <w:p>
      <w:pPr>
        <w:spacing w:after="120" w:before="240"/>
      </w:pPr>
      <w:r>
        <w:rPr>
          <w:rFonts w:ascii="Arial" w:cs="Arial" w:eastAsia="Arial" w:hAnsi="Arial"/>
          <w:b/>
          <w:bCs/>
          <w:color w:val="1B2A4A"/>
          <w:sz w:val="24"/>
          <w:szCs w:val="24"/>
        </w:rPr>
        <w:t xml:space="preserve">Payment Methods &amp; Invoicing</w:t>
      </w:r>
    </w:p>
    <w:p>
      <w:pPr>
        <w:pStyle w:val="ListParagraph"/>
        <w:numPr>
          <w:ilvl w:val="0"/>
          <w:numId w:val="2"/>
        </w:numPr>
        <w:spacing w:after="80" w:line="280"/>
      </w:pPr>
      <w:r>
        <w:rPr>
          <w:rFonts w:ascii="Arial" w:cs="Arial" w:eastAsia="Arial" w:hAnsi="Arial"/>
          <w:b/>
          <w:bCs/>
          <w:color w:val="1B2A4A"/>
          <w:sz w:val="21"/>
          <w:szCs w:val="21"/>
        </w:rPr>
        <w:t xml:space="preserve">Credit Cards: </w:t>
      </w:r>
      <w:r>
        <w:rPr>
          <w:rFonts w:ascii="Arial" w:cs="Arial" w:eastAsia="Arial" w:hAnsi="Arial"/>
          <w:color w:val="333333"/>
          <w:sz w:val="21"/>
          <w:szCs w:val="21"/>
        </w:rPr>
        <w:t xml:space="preserve">Stripe integration for card payments. Support Visa, Mastercard, Amex. Auto-charge at the end of each billing period.</w:t>
      </w:r>
    </w:p>
    <w:p>
      <w:pPr>
        <w:pStyle w:val="ListParagraph"/>
        <w:numPr>
          <w:ilvl w:val="0"/>
          <w:numId w:val="2"/>
        </w:numPr>
        <w:spacing w:after="80" w:line="280"/>
      </w:pPr>
      <w:r>
        <w:rPr>
          <w:rFonts w:ascii="Arial" w:cs="Arial" w:eastAsia="Arial" w:hAnsi="Arial"/>
          <w:b/>
          <w:bCs/>
          <w:color w:val="1B2A4A"/>
          <w:sz w:val="21"/>
          <w:szCs w:val="21"/>
        </w:rPr>
        <w:t xml:space="preserve">Prepaid Credits: </w:t>
      </w:r>
      <w:r>
        <w:rPr>
          <w:rFonts w:ascii="Arial" w:cs="Arial" w:eastAsia="Arial" w:hAnsi="Arial"/>
          <w:color w:val="333333"/>
          <w:sz w:val="21"/>
          <w:szCs w:val="21"/>
        </w:rPr>
        <w:t xml:space="preserve">Allow users to pre-purchase credits at a discount. Credits are consumed first before card charges apply. Auto-recharge option: "Add $100 when balance drops below $10."</w:t>
      </w:r>
    </w:p>
    <w:p>
      <w:pPr>
        <w:pStyle w:val="ListParagraph"/>
        <w:numPr>
          <w:ilvl w:val="0"/>
          <w:numId w:val="2"/>
        </w:numPr>
        <w:spacing w:after="80" w:line="280"/>
      </w:pPr>
      <w:r>
        <w:rPr>
          <w:rFonts w:ascii="Arial" w:cs="Arial" w:eastAsia="Arial" w:hAnsi="Arial"/>
          <w:b/>
          <w:bCs/>
          <w:color w:val="1B2A4A"/>
          <w:sz w:val="21"/>
          <w:szCs w:val="21"/>
        </w:rPr>
        <w:t xml:space="preserve">Wire Transfer / ACH: </w:t>
      </w:r>
      <w:r>
        <w:rPr>
          <w:rFonts w:ascii="Arial" w:cs="Arial" w:eastAsia="Arial" w:hAnsi="Arial"/>
          <w:color w:val="333333"/>
          <w:sz w:val="21"/>
          <w:szCs w:val="21"/>
        </w:rPr>
        <w:t xml:space="preserve">Enterprise feature for large accounts. Net-30 or Net-60 payment terms. Requires manual invoice approval.</w:t>
      </w:r>
    </w:p>
    <w:p>
      <w:pPr>
        <w:pStyle w:val="ListParagraph"/>
        <w:numPr>
          <w:ilvl w:val="0"/>
          <w:numId w:val="2"/>
        </w:numPr>
        <w:spacing w:after="80" w:line="280"/>
      </w:pPr>
      <w:r>
        <w:rPr>
          <w:rFonts w:ascii="Arial" w:cs="Arial" w:eastAsia="Arial" w:hAnsi="Arial"/>
          <w:b/>
          <w:bCs/>
          <w:color w:val="1B2A4A"/>
          <w:sz w:val="21"/>
          <w:szCs w:val="21"/>
        </w:rPr>
        <w:t xml:space="preserve">Invoice Generation: </w:t>
      </w:r>
      <w:r>
        <w:rPr>
          <w:rFonts w:ascii="Arial" w:cs="Arial" w:eastAsia="Arial" w:hAnsi="Arial"/>
          <w:color w:val="333333"/>
          <w:sz w:val="21"/>
          <w:szCs w:val="21"/>
        </w:rPr>
        <w:t xml:space="preserve">Auto-generated PDF invoices with: line items by model, tax details (if applicable), company name/address, PO number (enterprise), and payment terms. Downloadable from the dashboard and emailed to the billing contact.</w:t>
      </w:r>
    </w:p>
    <w:p>
      <w:r>
        <w:br w:type="page"/>
      </w:r>
    </w:p>
    <w:p>
      <w:pPr>
        <w:pStyle w:val="Heading1"/>
        <w:spacing w:after="200" w:before="480"/>
      </w:pPr>
      <w:r>
        <w:rPr>
          <w:rFonts w:ascii="Arial" w:cs="Arial" w:eastAsia="Arial" w:hAnsi="Arial"/>
          <w:b/>
          <w:bCs/>
          <w:color w:val="1B2A4A"/>
          <w:sz w:val="36"/>
          <w:szCs w:val="36"/>
        </w:rPr>
        <w:t xml:space="preserve">5. Playground &amp; Interactive Testing</w:t>
      </w:r>
    </w:p>
    <w:p>
      <w:pPr>
        <w:spacing w:after="160" w:line="300"/>
      </w:pPr>
      <w:r>
        <w:rPr>
          <w:rFonts w:ascii="Arial" w:cs="Arial" w:eastAsia="Arial" w:hAnsi="Arial"/>
          <w:color w:val="333333"/>
          <w:sz w:val="21"/>
          <w:szCs w:val="21"/>
        </w:rPr>
        <w:t xml:space="preserve">The playground is your most powerful conversion tool. It is where developers fall in love with your platform. It must be fast, flexible, and feel delightful.</w:t>
      </w:r>
    </w:p>
    <w:p>
      <w:pPr>
        <w:pStyle w:val="Heading2"/>
        <w:spacing w:after="160" w:before="360"/>
      </w:pPr>
      <w:r>
        <w:rPr>
          <w:rFonts w:ascii="Arial" w:cs="Arial" w:eastAsia="Arial" w:hAnsi="Arial"/>
          <w:b/>
          <w:bCs/>
          <w:color w:val="2E75B6"/>
          <w:sz w:val="28"/>
          <w:szCs w:val="28"/>
        </w:rPr>
        <w:t xml:space="preserve">5.1 Chat Playground</w:t>
      </w:r>
    </w:p>
    <w:p>
      <w:pPr>
        <w:spacing w:after="120" w:before="240"/>
      </w:pPr>
      <w:r>
        <w:rPr>
          <w:rFonts w:ascii="Arial" w:cs="Arial" w:eastAsia="Arial" w:hAnsi="Arial"/>
          <w:b/>
          <w:bCs/>
          <w:color w:val="1B2A4A"/>
          <w:sz w:val="24"/>
          <w:szCs w:val="24"/>
        </w:rPr>
        <w:t xml:space="preserve">Interface Design</w:t>
      </w:r>
    </w:p>
    <w:p>
      <w:pPr>
        <w:pStyle w:val="ListParagraph"/>
        <w:numPr>
          <w:ilvl w:val="0"/>
          <w:numId w:val="2"/>
        </w:numPr>
        <w:spacing w:after="80" w:line="280"/>
      </w:pPr>
      <w:r>
        <w:rPr>
          <w:rFonts w:ascii="Arial" w:cs="Arial" w:eastAsia="Arial" w:hAnsi="Arial"/>
          <w:b/>
          <w:bCs/>
          <w:color w:val="1B2A4A"/>
          <w:sz w:val="21"/>
          <w:szCs w:val="21"/>
        </w:rPr>
        <w:t xml:space="preserve">Model Selector: </w:t>
      </w:r>
      <w:r>
        <w:rPr>
          <w:rFonts w:ascii="Arial" w:cs="Arial" w:eastAsia="Arial" w:hAnsi="Arial"/>
          <w:color w:val="333333"/>
          <w:sz w:val="21"/>
          <w:szCs w:val="21"/>
        </w:rPr>
        <w:t xml:space="preserve">Dropdown with all available models, grouped by provider (Meta LLaMA, Mistral, DeepSeek, etc.). Show model size, context window, and per-token price next to each option. Recently used models pinned at the top.</w:t>
      </w:r>
    </w:p>
    <w:p>
      <w:pPr>
        <w:pStyle w:val="ListParagraph"/>
        <w:numPr>
          <w:ilvl w:val="0"/>
          <w:numId w:val="2"/>
        </w:numPr>
        <w:spacing w:after="80" w:line="280"/>
      </w:pPr>
      <w:r>
        <w:rPr>
          <w:rFonts w:ascii="Arial" w:cs="Arial" w:eastAsia="Arial" w:hAnsi="Arial"/>
          <w:b/>
          <w:bCs/>
          <w:color w:val="1B2A4A"/>
          <w:sz w:val="21"/>
          <w:szCs w:val="21"/>
        </w:rPr>
        <w:t xml:space="preserve">System Prompt: </w:t>
      </w:r>
      <w:r>
        <w:rPr>
          <w:rFonts w:ascii="Arial" w:cs="Arial" w:eastAsia="Arial" w:hAnsi="Arial"/>
          <w:color w:val="333333"/>
          <w:sz w:val="21"/>
          <w:szCs w:val="21"/>
        </w:rPr>
        <w:t xml:space="preserve">Expandable text area for the system message. Pre-populate with useful templates (“You are a helpful assistant”, “You are a code expert”, etc.). Save custom system prompts to a library.</w:t>
      </w:r>
    </w:p>
    <w:p>
      <w:pPr>
        <w:pStyle w:val="ListParagraph"/>
        <w:numPr>
          <w:ilvl w:val="0"/>
          <w:numId w:val="2"/>
        </w:numPr>
        <w:spacing w:after="80" w:line="280"/>
      </w:pPr>
      <w:r>
        <w:rPr>
          <w:rFonts w:ascii="Arial" w:cs="Arial" w:eastAsia="Arial" w:hAnsi="Arial"/>
          <w:b/>
          <w:bCs/>
          <w:color w:val="1B2A4A"/>
          <w:sz w:val="21"/>
          <w:szCs w:val="21"/>
        </w:rPr>
        <w:t xml:space="preserve">Chat Interface: </w:t>
      </w:r>
      <w:r>
        <w:rPr>
          <w:rFonts w:ascii="Arial" w:cs="Arial" w:eastAsia="Arial" w:hAnsi="Arial"/>
          <w:color w:val="333333"/>
          <w:sz w:val="21"/>
          <w:szCs w:val="21"/>
        </w:rPr>
        <w:t xml:space="preserve">Clean message thread with user/assistant avatars. Markdown rendering for assistant responses. Syntax highlighting for code blocks. Copy button on each message. Regenerate button to re-run the last assistant response.</w:t>
      </w:r>
    </w:p>
    <w:p>
      <w:pPr>
        <w:pStyle w:val="ListParagraph"/>
        <w:numPr>
          <w:ilvl w:val="0"/>
          <w:numId w:val="2"/>
        </w:numPr>
        <w:spacing w:after="80" w:line="280"/>
      </w:pPr>
      <w:r>
        <w:rPr>
          <w:rFonts w:ascii="Arial" w:cs="Arial" w:eastAsia="Arial" w:hAnsi="Arial"/>
          <w:b/>
          <w:bCs/>
          <w:color w:val="1B2A4A"/>
          <w:sz w:val="21"/>
          <w:szCs w:val="21"/>
        </w:rPr>
        <w:t xml:space="preserve">Streaming Toggle: </w:t>
      </w:r>
      <w:r>
        <w:rPr>
          <w:rFonts w:ascii="Arial" w:cs="Arial" w:eastAsia="Arial" w:hAnsi="Arial"/>
          <w:color w:val="333333"/>
          <w:sz w:val="21"/>
          <w:szCs w:val="21"/>
        </w:rPr>
        <w:t xml:space="preserve">Switch between streaming (tokens appear as they are generated) and non-streaming (wait for full response). Streaming should be the default.</w:t>
      </w:r>
    </w:p>
    <w:p>
      <w:pPr>
        <w:spacing w:after="120" w:before="240"/>
      </w:pPr>
      <w:r>
        <w:rPr>
          <w:rFonts w:ascii="Arial" w:cs="Arial" w:eastAsia="Arial" w:hAnsi="Arial"/>
          <w:b/>
          <w:bCs/>
          <w:color w:val="1B2A4A"/>
          <w:sz w:val="24"/>
          <w:szCs w:val="24"/>
        </w:rPr>
        <w:t xml:space="preserve">Parameter Controls</w:t>
      </w:r>
    </w:p>
    <w:p>
      <w:pPr>
        <w:spacing w:after="160" w:line="300"/>
      </w:pPr>
      <w:r>
        <w:rPr>
          <w:rFonts w:ascii="Arial" w:cs="Arial" w:eastAsia="Arial" w:hAnsi="Arial"/>
          <w:color w:val="333333"/>
          <w:sz w:val="21"/>
          <w:szCs w:val="21"/>
        </w:rPr>
        <w:t xml:space="preserve">A collapsible side panel with all configurable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5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Temperature</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0.0 – 2.0</w:t>
            </w:r>
          </w:p>
        </w:tc>
        <w:tc>
          <w:tcPr>
            <w:tcW w:type="dxa" w:w="5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Controls randomness. 0 = deterministic, 1 = creative, 2 = very random.</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Max Tokens</w:t>
            </w:r>
          </w:p>
        </w:tc>
        <w:tc>
          <w:tcPr>
            <w:tcW w:type="dxa" w:w="1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1 – context max</w:t>
            </w:r>
          </w:p>
        </w:tc>
        <w:tc>
          <w:tcPr>
            <w:tcW w:type="dxa" w:w="5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Maximum tokens to generate in the response.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Top P</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0.0 – 1.0</w:t>
            </w:r>
          </w:p>
        </w:tc>
        <w:tc>
          <w:tcPr>
            <w:tcW w:type="dxa" w:w="5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Nucleus sampling. 0.9 = consider tokens comprising top 90% probability mass.</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Frequency Penalty</w:t>
            </w:r>
          </w:p>
        </w:tc>
        <w:tc>
          <w:tcPr>
            <w:tcW w:type="dxa" w:w="1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-2.0 – 2.0</w:t>
            </w:r>
          </w:p>
        </w:tc>
        <w:tc>
          <w:tcPr>
            <w:tcW w:type="dxa" w:w="5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Penalize tokens based on how often they appear in the response so far.</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Presence Penalty</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-2.0 – 2.0</w:t>
            </w:r>
          </w:p>
        </w:tc>
        <w:tc>
          <w:tcPr>
            <w:tcW w:type="dxa" w:w="5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Penalize tokens based on whether they appear in the response at all.</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Stop Sequences</w:t>
            </w:r>
          </w:p>
        </w:tc>
        <w:tc>
          <w:tcPr>
            <w:tcW w:type="dxa" w:w="1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Up to 4</w:t>
            </w:r>
          </w:p>
        </w:tc>
        <w:tc>
          <w:tcPr>
            <w:tcW w:type="dxa" w:w="5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Stop generation when any of these strings are produced.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Response Format</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text / json</w:t>
            </w:r>
          </w:p>
        </w:tc>
        <w:tc>
          <w:tcPr>
            <w:tcW w:type="dxa" w:w="5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Force JSON output (validates output is valid JSON).</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Seed</w:t>
            </w:r>
          </w:p>
        </w:tc>
        <w:tc>
          <w:tcPr>
            <w:tcW w:type="dxa" w:w="1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5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For reproducible outputs. Same seed + same prompt = same output (best effort).</w:t>
            </w:r>
          </w:p>
        </w:tc>
      </w:tr>
    </w:tbl>
    <w:p>
      <w:pPr>
        <w:spacing w:after="100"/>
      </w:pPr>
    </w:p>
    <w:p>
      <w:pPr>
        <w:spacing w:after="120" w:before="240"/>
      </w:pPr>
      <w:r>
        <w:rPr>
          <w:rFonts w:ascii="Arial" w:cs="Arial" w:eastAsia="Arial" w:hAnsi="Arial"/>
          <w:b/>
          <w:bCs/>
          <w:color w:val="1B2A4A"/>
          <w:sz w:val="24"/>
          <w:szCs w:val="24"/>
        </w:rPr>
        <w:t xml:space="preserve">Code Export</w:t>
      </w:r>
    </w:p>
    <w:p>
      <w:pPr>
        <w:spacing w:after="160" w:line="300"/>
      </w:pPr>
      <w:r>
        <w:rPr>
          <w:rFonts w:ascii="Arial" w:cs="Arial" w:eastAsia="Arial" w:hAnsi="Arial"/>
          <w:color w:val="333333"/>
          <w:sz w:val="21"/>
          <w:szCs w:val="21"/>
        </w:rPr>
        <w:t xml:space="preserve">Below every playground interaction, show the exact equivalent code. One-click copy for:</w:t>
      </w:r>
    </w:p>
    <w:p>
      <w:pPr>
        <w:pStyle w:val="ListParagraph"/>
        <w:numPr>
          <w:ilvl w:val="0"/>
          <w:numId w:val="2"/>
        </w:numPr>
        <w:spacing w:after="80" w:line="280"/>
      </w:pPr>
      <w:r>
        <w:rPr>
          <w:rFonts w:ascii="Arial" w:cs="Arial" w:eastAsia="Arial" w:hAnsi="Arial"/>
          <w:b/>
          <w:bCs/>
          <w:color w:val="1B2A4A"/>
          <w:sz w:val="21"/>
          <w:szCs w:val="21"/>
        </w:rPr>
        <w:t xml:space="preserve">curl: </w:t>
      </w:r>
      <w:r>
        <w:rPr>
          <w:rFonts w:ascii="Arial" w:cs="Arial" w:eastAsia="Arial" w:hAnsi="Arial"/>
          <w:color w:val="333333"/>
          <w:sz w:val="21"/>
          <w:szCs w:val="21"/>
        </w:rPr>
        <w:t xml:space="preserve">The raw HTTP request. This is what most developers test with first.</w:t>
      </w:r>
    </w:p>
    <w:p>
      <w:pPr>
        <w:pStyle w:val="ListParagraph"/>
        <w:numPr>
          <w:ilvl w:val="0"/>
          <w:numId w:val="2"/>
        </w:numPr>
        <w:spacing w:after="80" w:line="280"/>
      </w:pPr>
      <w:r>
        <w:rPr>
          <w:rFonts w:ascii="Arial" w:cs="Arial" w:eastAsia="Arial" w:hAnsi="Arial"/>
          <w:b/>
          <w:bCs/>
          <w:color w:val="1B2A4A"/>
          <w:sz w:val="21"/>
          <w:szCs w:val="21"/>
        </w:rPr>
        <w:t xml:space="preserve">Python (openai SDK): </w:t>
      </w:r>
      <w:r>
        <w:rPr>
          <w:rFonts w:ascii="Arial" w:cs="Arial" w:eastAsia="Arial" w:hAnsi="Arial"/>
          <w:color w:val="333333"/>
          <w:sz w:val="21"/>
          <w:szCs w:val="21"/>
        </w:rPr>
        <w:t xml:space="preserve">Using the OpenAI-compatible client. Since you support the OpenAI format, this is a drop-in replacement.</w:t>
      </w:r>
    </w:p>
    <w:p>
      <w:pPr>
        <w:pStyle w:val="ListParagraph"/>
        <w:numPr>
          <w:ilvl w:val="0"/>
          <w:numId w:val="2"/>
        </w:numPr>
        <w:spacing w:after="80" w:line="280"/>
      </w:pPr>
      <w:r>
        <w:rPr>
          <w:rFonts w:ascii="Arial" w:cs="Arial" w:eastAsia="Arial" w:hAnsi="Arial"/>
          <w:b/>
          <w:bCs/>
          <w:color w:val="1B2A4A"/>
          <w:sz w:val="21"/>
          <w:szCs w:val="21"/>
        </w:rPr>
        <w:t xml:space="preserve">Python (requests): </w:t>
      </w:r>
      <w:r>
        <w:rPr>
          <w:rFonts w:ascii="Arial" w:cs="Arial" w:eastAsia="Arial" w:hAnsi="Arial"/>
          <w:color w:val="333333"/>
          <w:sz w:val="21"/>
          <w:szCs w:val="21"/>
        </w:rPr>
        <w:t xml:space="preserve">For users who prefer raw HTTP.</w:t>
      </w:r>
    </w:p>
    <w:p>
      <w:pPr>
        <w:pStyle w:val="ListParagraph"/>
        <w:numPr>
          <w:ilvl w:val="0"/>
          <w:numId w:val="2"/>
        </w:numPr>
        <w:spacing w:after="80" w:line="280"/>
      </w:pPr>
      <w:r>
        <w:rPr>
          <w:rFonts w:ascii="Arial" w:cs="Arial" w:eastAsia="Arial" w:hAnsi="Arial"/>
          <w:b/>
          <w:bCs/>
          <w:color w:val="1B2A4A"/>
          <w:sz w:val="21"/>
          <w:szCs w:val="21"/>
        </w:rPr>
        <w:t xml:space="preserve">TypeScript/Node.js: </w:t>
      </w:r>
      <w:r>
        <w:rPr>
          <w:rFonts w:ascii="Arial" w:cs="Arial" w:eastAsia="Arial" w:hAnsi="Arial"/>
          <w:color w:val="333333"/>
          <w:sz w:val="21"/>
          <w:szCs w:val="21"/>
        </w:rPr>
        <w:t xml:space="preserve">Using fetch or the openai npm package.</w:t>
      </w:r>
    </w:p>
    <w:p>
      <w:pPr>
        <w:pStyle w:val="ListParagraph"/>
        <w:numPr>
          <w:ilvl w:val="0"/>
          <w:numId w:val="2"/>
        </w:numPr>
        <w:spacing w:after="80" w:line="280"/>
      </w:pPr>
      <w:r>
        <w:rPr>
          <w:rFonts w:ascii="Arial" w:cs="Arial" w:eastAsia="Arial" w:hAnsi="Arial"/>
          <w:b/>
          <w:bCs/>
          <w:color w:val="1B2A4A"/>
          <w:sz w:val="21"/>
          <w:szCs w:val="21"/>
        </w:rPr>
        <w:t xml:space="preserve">Go / Rust / Java: </w:t>
      </w:r>
      <w:r>
        <w:rPr>
          <w:rFonts w:ascii="Arial" w:cs="Arial" w:eastAsia="Arial" w:hAnsi="Arial"/>
          <w:color w:val="333333"/>
          <w:sz w:val="21"/>
          <w:szCs w:val="21"/>
        </w:rPr>
        <w:t xml:space="preserve">Additional languages as your user base grows.</w:t>
      </w:r>
    </w:p>
    <w:p>
      <w:pPr>
        <w:spacing w:after="160" w:line="300"/>
      </w:pPr>
      <w:r>
        <w:rPr>
          <w:rFonts w:ascii="Arial" w:cs="Arial" w:eastAsia="Arial" w:hAnsi="Arial"/>
          <w:color w:val="333333"/>
          <w:sz w:val="21"/>
          <w:szCs w:val="21"/>
        </w:rPr>
        <w:t xml:space="preserve">This code export feature is a massive conversion driver. Users prototype in the playground and copy-paste into their codebase.</w:t>
      </w:r>
    </w:p>
    <w:p>
      <w:pPr>
        <w:pStyle w:val="Heading2"/>
        <w:spacing w:after="160" w:before="360"/>
      </w:pPr>
      <w:r>
        <w:rPr>
          <w:rFonts w:ascii="Arial" w:cs="Arial" w:eastAsia="Arial" w:hAnsi="Arial"/>
          <w:b/>
          <w:bCs/>
          <w:color w:val="2E75B6"/>
          <w:sz w:val="28"/>
          <w:szCs w:val="28"/>
        </w:rPr>
        <w:t xml:space="preserve">5.2 Model Comparison Mode</w:t>
      </w:r>
    </w:p>
    <w:p>
      <w:pPr>
        <w:spacing w:after="160" w:line="300"/>
      </w:pPr>
      <w:r>
        <w:rPr>
          <w:rFonts w:ascii="Arial" w:cs="Arial" w:eastAsia="Arial" w:hAnsi="Arial"/>
          <w:color w:val="333333"/>
          <w:sz w:val="21"/>
          <w:szCs w:val="21"/>
        </w:rPr>
        <w:t xml:space="preserve">Let users send the same prompt to 2–3 models side by side and compare:</w:t>
      </w:r>
    </w:p>
    <w:p>
      <w:pPr>
        <w:pStyle w:val="ListParagraph"/>
        <w:numPr>
          <w:ilvl w:val="0"/>
          <w:numId w:val="2"/>
        </w:numPr>
        <w:spacing w:after="80" w:line="280"/>
      </w:pPr>
      <w:r>
        <w:rPr>
          <w:rFonts w:ascii="Arial" w:cs="Arial" w:eastAsia="Arial" w:hAnsi="Arial"/>
          <w:b/>
          <w:bCs/>
          <w:color w:val="1B2A4A"/>
          <w:sz w:val="21"/>
          <w:szCs w:val="21"/>
        </w:rPr>
        <w:t xml:space="preserve">Response quality: </w:t>
      </w:r>
      <w:r>
        <w:rPr>
          <w:rFonts w:ascii="Arial" w:cs="Arial" w:eastAsia="Arial" w:hAnsi="Arial"/>
          <w:color w:val="333333"/>
          <w:sz w:val="21"/>
          <w:szCs w:val="21"/>
        </w:rPr>
        <w:t xml:space="preserve">Read both outputs and decide which is better.</w:t>
      </w:r>
    </w:p>
    <w:p>
      <w:pPr>
        <w:pStyle w:val="ListParagraph"/>
        <w:numPr>
          <w:ilvl w:val="0"/>
          <w:numId w:val="2"/>
        </w:numPr>
        <w:spacing w:after="80" w:line="280"/>
      </w:pPr>
      <w:r>
        <w:rPr>
          <w:rFonts w:ascii="Arial" w:cs="Arial" w:eastAsia="Arial" w:hAnsi="Arial"/>
          <w:b/>
          <w:bCs/>
          <w:color w:val="1B2A4A"/>
          <w:sz w:val="21"/>
          <w:szCs w:val="21"/>
        </w:rPr>
        <w:t xml:space="preserve">Latency: </w:t>
      </w:r>
      <w:r>
        <w:rPr>
          <w:rFonts w:ascii="Arial" w:cs="Arial" w:eastAsia="Arial" w:hAnsi="Arial"/>
          <w:color w:val="333333"/>
          <w:sz w:val="21"/>
          <w:szCs w:val="21"/>
        </w:rPr>
        <w:t xml:space="preserve">TTFT and total generation time for each model, displayed as metrics above each response.</w:t>
      </w:r>
    </w:p>
    <w:p>
      <w:pPr>
        <w:pStyle w:val="ListParagraph"/>
        <w:numPr>
          <w:ilvl w:val="0"/>
          <w:numId w:val="2"/>
        </w:numPr>
        <w:spacing w:after="80" w:line="280"/>
      </w:pPr>
      <w:r>
        <w:rPr>
          <w:rFonts w:ascii="Arial" w:cs="Arial" w:eastAsia="Arial" w:hAnsi="Arial"/>
          <w:b/>
          <w:bCs/>
          <w:color w:val="1B2A4A"/>
          <w:sz w:val="21"/>
          <w:szCs w:val="21"/>
        </w:rPr>
        <w:t xml:space="preserve">Cost: </w:t>
      </w:r>
      <w:r>
        <w:rPr>
          <w:rFonts w:ascii="Arial" w:cs="Arial" w:eastAsia="Arial" w:hAnsi="Arial"/>
          <w:color w:val="333333"/>
          <w:sz w:val="21"/>
          <w:szCs w:val="21"/>
        </w:rPr>
        <w:t xml:space="preserve">Input and output tokens consumed, with the dollar cost for each model.</w:t>
      </w:r>
    </w:p>
    <w:p>
      <w:pPr>
        <w:pStyle w:val="ListParagraph"/>
        <w:numPr>
          <w:ilvl w:val="0"/>
          <w:numId w:val="2"/>
        </w:numPr>
        <w:spacing w:after="80" w:line="280"/>
      </w:pPr>
      <w:r>
        <w:rPr>
          <w:rFonts w:ascii="Arial" w:cs="Arial" w:eastAsia="Arial" w:hAnsi="Arial"/>
          <w:b/>
          <w:bCs/>
          <w:color w:val="1B2A4A"/>
          <w:sz w:val="21"/>
          <w:szCs w:val="21"/>
        </w:rPr>
        <w:t xml:space="preserve">Blind mode: </w:t>
      </w:r>
      <w:r>
        <w:rPr>
          <w:rFonts w:ascii="Arial" w:cs="Arial" w:eastAsia="Arial" w:hAnsi="Arial"/>
          <w:color w:val="333333"/>
          <w:sz w:val="21"/>
          <w:szCs w:val="21"/>
        </w:rPr>
        <w:t xml:space="preserve">Optionally hide model names to reduce bias. Reveal after the user picks a preference. This is useful for internal benchmarking.</w:t>
      </w:r>
    </w:p>
    <w:p>
      <w:pPr>
        <w:pStyle w:val="Heading2"/>
        <w:spacing w:after="160" w:before="360"/>
      </w:pPr>
      <w:r>
        <w:rPr>
          <w:rFonts w:ascii="Arial" w:cs="Arial" w:eastAsia="Arial" w:hAnsi="Arial"/>
          <w:b/>
          <w:bCs/>
          <w:color w:val="2E75B6"/>
          <w:sz w:val="28"/>
          <w:szCs w:val="28"/>
        </w:rPr>
        <w:t xml:space="preserve">5.3 Conversation History &amp; Sharing</w:t>
      </w:r>
    </w:p>
    <w:p>
      <w:pPr>
        <w:pStyle w:val="ListParagraph"/>
        <w:numPr>
          <w:ilvl w:val="0"/>
          <w:numId w:val="2"/>
        </w:numPr>
        <w:spacing w:after="80" w:line="280"/>
      </w:pPr>
      <w:r>
        <w:rPr>
          <w:rFonts w:ascii="Arial" w:cs="Arial" w:eastAsia="Arial" w:hAnsi="Arial"/>
          <w:b/>
          <w:bCs/>
          <w:color w:val="1B2A4A"/>
          <w:sz w:val="21"/>
          <w:szCs w:val="21"/>
        </w:rPr>
        <w:t xml:space="preserve">Auto-save: </w:t>
      </w:r>
      <w:r>
        <w:rPr>
          <w:rFonts w:ascii="Arial" w:cs="Arial" w:eastAsia="Arial" w:hAnsi="Arial"/>
          <w:color w:val="333333"/>
          <w:sz w:val="21"/>
          <w:szCs w:val="21"/>
        </w:rPr>
        <w:t xml:space="preserve">Every playground session is auto-saved with a timestamp and the model used. Searchable by content and date.</w:t>
      </w:r>
    </w:p>
    <w:p>
      <w:pPr>
        <w:pStyle w:val="ListParagraph"/>
        <w:numPr>
          <w:ilvl w:val="0"/>
          <w:numId w:val="2"/>
        </w:numPr>
        <w:spacing w:after="80" w:line="280"/>
      </w:pPr>
      <w:r>
        <w:rPr>
          <w:rFonts w:ascii="Arial" w:cs="Arial" w:eastAsia="Arial" w:hAnsi="Arial"/>
          <w:b/>
          <w:bCs/>
          <w:color w:val="1B2A4A"/>
          <w:sz w:val="21"/>
          <w:szCs w:val="21"/>
        </w:rPr>
        <w:t xml:space="preserve">Named Sessions: </w:t>
      </w:r>
      <w:r>
        <w:rPr>
          <w:rFonts w:ascii="Arial" w:cs="Arial" w:eastAsia="Arial" w:hAnsi="Arial"/>
          <w:color w:val="333333"/>
          <w:sz w:val="21"/>
          <w:szCs w:val="21"/>
        </w:rPr>
        <w:t xml:space="preserve">Let users name/tag sessions (“product-description-v3”, “code-review-testing”).</w:t>
      </w:r>
    </w:p>
    <w:p>
      <w:pPr>
        <w:pStyle w:val="ListParagraph"/>
        <w:numPr>
          <w:ilvl w:val="0"/>
          <w:numId w:val="2"/>
        </w:numPr>
        <w:spacing w:after="80" w:line="280"/>
      </w:pPr>
      <w:r>
        <w:rPr>
          <w:rFonts w:ascii="Arial" w:cs="Arial" w:eastAsia="Arial" w:hAnsi="Arial"/>
          <w:b/>
          <w:bCs/>
          <w:color w:val="1B2A4A"/>
          <w:sz w:val="21"/>
          <w:szCs w:val="21"/>
        </w:rPr>
        <w:t xml:space="preserve">Share via Link: </w:t>
      </w:r>
      <w:r>
        <w:rPr>
          <w:rFonts w:ascii="Arial" w:cs="Arial" w:eastAsia="Arial" w:hAnsi="Arial"/>
          <w:color w:val="333333"/>
          <w:sz w:val="21"/>
          <w:szCs w:val="21"/>
        </w:rPr>
        <w:t xml:space="preserve">Generate a shareable URL for any session. Configurable permissions: view-only, or view + fork (recipient can clone and continue the conversation).</w:t>
      </w:r>
    </w:p>
    <w:p>
      <w:pPr>
        <w:pStyle w:val="ListParagraph"/>
        <w:numPr>
          <w:ilvl w:val="0"/>
          <w:numId w:val="2"/>
        </w:numPr>
        <w:spacing w:after="80" w:line="280"/>
      </w:pPr>
      <w:r>
        <w:rPr>
          <w:rFonts w:ascii="Arial" w:cs="Arial" w:eastAsia="Arial" w:hAnsi="Arial"/>
          <w:b/>
          <w:bCs/>
          <w:color w:val="1B2A4A"/>
          <w:sz w:val="21"/>
          <w:szCs w:val="21"/>
        </w:rPr>
        <w:t xml:space="preserve">Prompt Library: </w:t>
      </w:r>
      <w:r>
        <w:rPr>
          <w:rFonts w:ascii="Arial" w:cs="Arial" w:eastAsia="Arial" w:hAnsi="Arial"/>
          <w:color w:val="333333"/>
          <w:sz w:val="21"/>
          <w:szCs w:val="21"/>
        </w:rPr>
        <w:t xml:space="preserve">Save individual prompts (system + user message pairs) to a reusable library. Tag and categorize them. Share within the org.</w:t>
      </w:r>
    </w:p>
    <w:p>
      <w:r>
        <w:br w:type="page"/>
      </w:r>
    </w:p>
    <w:p>
      <w:pPr>
        <w:pStyle w:val="Heading1"/>
        <w:spacing w:after="200" w:before="480"/>
      </w:pPr>
      <w:r>
        <w:rPr>
          <w:rFonts w:ascii="Arial" w:cs="Arial" w:eastAsia="Arial" w:hAnsi="Arial"/>
          <w:b/>
          <w:bCs/>
          <w:color w:val="1B2A4A"/>
          <w:sz w:val="36"/>
          <w:szCs w:val="36"/>
        </w:rPr>
        <w:t xml:space="preserve">6. Model Library &amp; Catalog</w:t>
      </w:r>
    </w:p>
    <w:p>
      <w:pPr>
        <w:spacing w:after="160" w:line="300"/>
      </w:pPr>
      <w:r>
        <w:rPr>
          <w:rFonts w:ascii="Arial" w:cs="Arial" w:eastAsia="Arial" w:hAnsi="Arial"/>
          <w:color w:val="333333"/>
          <w:sz w:val="21"/>
          <w:szCs w:val="21"/>
        </w:rPr>
        <w:t xml:space="preserve">Your model catalog is both a product page and a technical reference. It drives model selection decisions and directly impacts revenue mix.</w:t>
      </w:r>
    </w:p>
    <w:p>
      <w:pPr>
        <w:pStyle w:val="Heading2"/>
        <w:spacing w:after="160" w:before="360"/>
      </w:pPr>
      <w:r>
        <w:rPr>
          <w:rFonts w:ascii="Arial" w:cs="Arial" w:eastAsia="Arial" w:hAnsi="Arial"/>
          <w:b/>
          <w:bCs/>
          <w:color w:val="2E75B6"/>
          <w:sz w:val="28"/>
          <w:szCs w:val="28"/>
        </w:rPr>
        <w:t xml:space="preserve">6.1 Model Cards</w:t>
      </w:r>
    </w:p>
    <w:p>
      <w:pPr>
        <w:spacing w:after="160" w:line="300"/>
      </w:pPr>
      <w:r>
        <w:rPr>
          <w:rFonts w:ascii="Arial" w:cs="Arial" w:eastAsia="Arial" w:hAnsi="Arial"/>
          <w:color w:val="333333"/>
          <w:sz w:val="21"/>
          <w:szCs w:val="21"/>
        </w:rPr>
        <w:t xml:space="preserve">Each model gets a dedicated page containing:</w:t>
      </w:r>
    </w:p>
    <w:p>
      <w:pPr>
        <w:pStyle w:val="ListParagraph"/>
        <w:numPr>
          <w:ilvl w:val="0"/>
          <w:numId w:val="2"/>
        </w:numPr>
        <w:spacing w:after="80" w:line="280"/>
      </w:pPr>
      <w:r>
        <w:rPr>
          <w:rFonts w:ascii="Arial" w:cs="Arial" w:eastAsia="Arial" w:hAnsi="Arial"/>
          <w:b/>
          <w:bCs/>
          <w:color w:val="1B2A4A"/>
          <w:sz w:val="21"/>
          <w:szCs w:val="21"/>
        </w:rPr>
        <w:t xml:space="preserve">Overview: </w:t>
      </w:r>
      <w:r>
        <w:rPr>
          <w:rFonts w:ascii="Arial" w:cs="Arial" w:eastAsia="Arial" w:hAnsi="Arial"/>
          <w:color w:val="333333"/>
          <w:sz w:val="21"/>
          <w:szCs w:val="21"/>
        </w:rPr>
        <w:t xml:space="preserve">Model name, provider, parameter count, architecture family, release date, and license type.</w:t>
      </w:r>
    </w:p>
    <w:p>
      <w:pPr>
        <w:pStyle w:val="ListParagraph"/>
        <w:numPr>
          <w:ilvl w:val="0"/>
          <w:numId w:val="2"/>
        </w:numPr>
        <w:spacing w:after="80" w:line="280"/>
      </w:pPr>
      <w:r>
        <w:rPr>
          <w:rFonts w:ascii="Arial" w:cs="Arial" w:eastAsia="Arial" w:hAnsi="Arial"/>
          <w:b/>
          <w:bCs/>
          <w:color w:val="1B2A4A"/>
          <w:sz w:val="21"/>
          <w:szCs w:val="21"/>
        </w:rPr>
        <w:t xml:space="preserve">Capabilities: </w:t>
      </w:r>
      <w:r>
        <w:rPr>
          <w:rFonts w:ascii="Arial" w:cs="Arial" w:eastAsia="Arial" w:hAnsi="Arial"/>
          <w:color w:val="333333"/>
          <w:sz w:val="21"/>
          <w:szCs w:val="21"/>
        </w:rPr>
        <w:t xml:space="preserve">Supported features with checkmarks — function calling, vision, JSON mode, structured output, streaming, prefix caching.</w:t>
      </w:r>
    </w:p>
    <w:p>
      <w:pPr>
        <w:pStyle w:val="ListParagraph"/>
        <w:numPr>
          <w:ilvl w:val="0"/>
          <w:numId w:val="2"/>
        </w:numPr>
        <w:spacing w:after="80" w:line="280"/>
      </w:pPr>
      <w:r>
        <w:rPr>
          <w:rFonts w:ascii="Arial" w:cs="Arial" w:eastAsia="Arial" w:hAnsi="Arial"/>
          <w:b/>
          <w:bCs/>
          <w:color w:val="1B2A4A"/>
          <w:sz w:val="21"/>
          <w:szCs w:val="21"/>
        </w:rPr>
        <w:t xml:space="preserve">Context Window: </w:t>
      </w:r>
      <w:r>
        <w:rPr>
          <w:rFonts w:ascii="Arial" w:cs="Arial" w:eastAsia="Arial" w:hAnsi="Arial"/>
          <w:color w:val="333333"/>
          <w:sz w:val="21"/>
          <w:szCs w:val="21"/>
        </w:rPr>
        <w:t xml:space="preserve">Input and output token limits. Show both the maximum and the recommended range for optimal performance.</w:t>
      </w:r>
    </w:p>
    <w:p>
      <w:pPr>
        <w:pStyle w:val="ListParagraph"/>
        <w:numPr>
          <w:ilvl w:val="0"/>
          <w:numId w:val="2"/>
        </w:numPr>
        <w:spacing w:after="80" w:line="280"/>
      </w:pPr>
      <w:r>
        <w:rPr>
          <w:rFonts w:ascii="Arial" w:cs="Arial" w:eastAsia="Arial" w:hAnsi="Arial"/>
          <w:b/>
          <w:bCs/>
          <w:color w:val="1B2A4A"/>
          <w:sz w:val="21"/>
          <w:szCs w:val="21"/>
        </w:rPr>
        <w:t xml:space="preserve">Pricing: </w:t>
      </w:r>
      <w:r>
        <w:rPr>
          <w:rFonts w:ascii="Arial" w:cs="Arial" w:eastAsia="Arial" w:hAnsi="Arial"/>
          <w:color w:val="333333"/>
          <w:sz w:val="21"/>
          <w:szCs w:val="21"/>
        </w:rPr>
        <w:t xml:space="preserve">Input and output cost per 1M tokens. Include a cost calculator: “Estimate your monthly cost” with input fields for expected daily requests, average input length, and average output length.</w:t>
      </w:r>
    </w:p>
    <w:p>
      <w:pPr>
        <w:pStyle w:val="ListParagraph"/>
        <w:numPr>
          <w:ilvl w:val="0"/>
          <w:numId w:val="2"/>
        </w:numPr>
        <w:spacing w:after="80" w:line="280"/>
      </w:pPr>
      <w:r>
        <w:rPr>
          <w:rFonts w:ascii="Arial" w:cs="Arial" w:eastAsia="Arial" w:hAnsi="Arial"/>
          <w:b/>
          <w:bCs/>
          <w:color w:val="1B2A4A"/>
          <w:sz w:val="21"/>
          <w:szCs w:val="21"/>
        </w:rPr>
        <w:t xml:space="preserve">Performance Metrics: </w:t>
      </w:r>
      <w:r>
        <w:rPr>
          <w:rFonts w:ascii="Arial" w:cs="Arial" w:eastAsia="Arial" w:hAnsi="Arial"/>
          <w:color w:val="333333"/>
          <w:sz w:val="21"/>
          <w:szCs w:val="21"/>
        </w:rPr>
        <w:t xml:space="preserve">Your own measured benchmarks — not the model creator’s self-reported numbers. Include: median TTFT, median and p95 generation speed (tokens/second), throughput under load.</w:t>
      </w:r>
    </w:p>
    <w:p>
      <w:pPr>
        <w:pStyle w:val="ListParagraph"/>
        <w:numPr>
          <w:ilvl w:val="0"/>
          <w:numId w:val="2"/>
        </w:numPr>
        <w:spacing w:after="80" w:line="280"/>
      </w:pPr>
      <w:r>
        <w:rPr>
          <w:rFonts w:ascii="Arial" w:cs="Arial" w:eastAsia="Arial" w:hAnsi="Arial"/>
          <w:b/>
          <w:bCs/>
          <w:color w:val="1B2A4A"/>
          <w:sz w:val="21"/>
          <w:szCs w:val="21"/>
        </w:rPr>
        <w:t xml:space="preserve">Quality Benchmarks: </w:t>
      </w:r>
      <w:r>
        <w:rPr>
          <w:rFonts w:ascii="Arial" w:cs="Arial" w:eastAsia="Arial" w:hAnsi="Arial"/>
          <w:color w:val="333333"/>
          <w:sz w:val="21"/>
          <w:szCs w:val="21"/>
        </w:rPr>
        <w:t xml:space="preserve">MMLU, HumanEval, MT-Bench, MATH scores. Link to the source of each benchmark.</w:t>
      </w:r>
    </w:p>
    <w:p>
      <w:pPr>
        <w:pStyle w:val="ListParagraph"/>
        <w:numPr>
          <w:ilvl w:val="0"/>
          <w:numId w:val="2"/>
        </w:numPr>
        <w:spacing w:after="80" w:line="280"/>
      </w:pPr>
      <w:r>
        <w:rPr>
          <w:rFonts w:ascii="Arial" w:cs="Arial" w:eastAsia="Arial" w:hAnsi="Arial"/>
          <w:b/>
          <w:bCs/>
          <w:color w:val="1B2A4A"/>
          <w:sz w:val="21"/>
          <w:szCs w:val="21"/>
        </w:rPr>
        <w:t xml:space="preserve">Usage Examples: </w:t>
      </w:r>
      <w:r>
        <w:rPr>
          <w:rFonts w:ascii="Arial" w:cs="Arial" w:eastAsia="Arial" w:hAnsi="Arial"/>
          <w:color w:val="333333"/>
          <w:sz w:val="21"/>
          <w:szCs w:val="21"/>
        </w:rPr>
        <w:t xml:space="preserve">Pre-built playground sessions demonstrating the model’s strengths. One click opens the playground with the prompt pre-loaded.</w:t>
      </w:r>
    </w:p>
    <w:p>
      <w:pPr>
        <w:pStyle w:val="ListParagraph"/>
        <w:numPr>
          <w:ilvl w:val="0"/>
          <w:numId w:val="2"/>
        </w:numPr>
        <w:spacing w:after="80" w:line="280"/>
      </w:pPr>
      <w:r>
        <w:rPr>
          <w:rFonts w:ascii="Arial" w:cs="Arial" w:eastAsia="Arial" w:hAnsi="Arial"/>
          <w:b/>
          <w:bCs/>
          <w:color w:val="1B2A4A"/>
          <w:sz w:val="21"/>
          <w:szCs w:val="21"/>
        </w:rPr>
        <w:t xml:space="preserve">Changelog: </w:t>
      </w:r>
      <w:r>
        <w:rPr>
          <w:rFonts w:ascii="Arial" w:cs="Arial" w:eastAsia="Arial" w:hAnsi="Arial"/>
          <w:color w:val="333333"/>
          <w:sz w:val="21"/>
          <w:szCs w:val="21"/>
        </w:rPr>
        <w:t xml:space="preserve">Version history, deprecation dates, and migration guides when a model is updated or retired.</w:t>
      </w:r>
    </w:p>
    <w:p>
      <w:pPr>
        <w:pStyle w:val="Heading2"/>
        <w:spacing w:after="160" w:before="360"/>
      </w:pPr>
      <w:r>
        <w:rPr>
          <w:rFonts w:ascii="Arial" w:cs="Arial" w:eastAsia="Arial" w:hAnsi="Arial"/>
          <w:b/>
          <w:bCs/>
          <w:color w:val="2E75B6"/>
          <w:sz w:val="28"/>
          <w:szCs w:val="28"/>
        </w:rPr>
        <w:t xml:space="preserve">6.2 Model Comparison Tool</w:t>
      </w:r>
    </w:p>
    <w:p>
      <w:pPr>
        <w:spacing w:after="160" w:line="300"/>
      </w:pPr>
      <w:r>
        <w:rPr>
          <w:rFonts w:ascii="Arial" w:cs="Arial" w:eastAsia="Arial" w:hAnsi="Arial"/>
          <w:color w:val="333333"/>
          <w:sz w:val="21"/>
          <w:szCs w:val="21"/>
        </w:rPr>
        <w:t xml:space="preserve">A dedicated comparison page where users select 2–4 models and see a side-by-side table of all attributes: price, speed, context window, quality benchmarks, supported features. Include a recommendation engine: “Based on your usage pattern (80% chat, 20% code generation), we recommend Model X for best cost-quality balance.”</w:t>
      </w:r>
    </w:p>
    <w:p>
      <w:pPr>
        <w:pStyle w:val="Heading2"/>
        <w:spacing w:after="160" w:before="360"/>
      </w:pPr>
      <w:r>
        <w:rPr>
          <w:rFonts w:ascii="Arial" w:cs="Arial" w:eastAsia="Arial" w:hAnsi="Arial"/>
          <w:b/>
          <w:bCs/>
          <w:color w:val="2E75B6"/>
          <w:sz w:val="28"/>
          <w:szCs w:val="28"/>
        </w:rPr>
        <w:t xml:space="preserve">6.3 Model Lifecycle Management</w:t>
      </w:r>
    </w:p>
    <w:p>
      <w:pPr>
        <w:pStyle w:val="ListParagraph"/>
        <w:numPr>
          <w:ilvl w:val="0"/>
          <w:numId w:val="2"/>
        </w:numPr>
        <w:spacing w:after="80" w:line="280"/>
      </w:pPr>
      <w:r>
        <w:rPr>
          <w:rFonts w:ascii="Arial" w:cs="Arial" w:eastAsia="Arial" w:hAnsi="Arial"/>
          <w:b/>
          <w:bCs/>
          <w:color w:val="1B2A4A"/>
          <w:sz w:val="21"/>
          <w:szCs w:val="21"/>
        </w:rPr>
        <w:t xml:space="preserve">Status Badges: </w:t>
      </w:r>
      <w:r>
        <w:rPr>
          <w:rFonts w:ascii="Arial" w:cs="Arial" w:eastAsia="Arial" w:hAnsi="Arial"/>
          <w:color w:val="333333"/>
          <w:sz w:val="21"/>
          <w:szCs w:val="21"/>
        </w:rPr>
        <w:t xml:space="preserve">Each model displays a status: GA (Generally Available), Beta (may change), Deprecated (still works, removal scheduled), or Retired (no longer available).</w:t>
      </w:r>
    </w:p>
    <w:p>
      <w:pPr>
        <w:pStyle w:val="ListParagraph"/>
        <w:numPr>
          <w:ilvl w:val="0"/>
          <w:numId w:val="2"/>
        </w:numPr>
        <w:spacing w:after="80" w:line="280"/>
      </w:pPr>
      <w:r>
        <w:rPr>
          <w:rFonts w:ascii="Arial" w:cs="Arial" w:eastAsia="Arial" w:hAnsi="Arial"/>
          <w:b/>
          <w:bCs/>
          <w:color w:val="1B2A4A"/>
          <w:sz w:val="21"/>
          <w:szCs w:val="21"/>
        </w:rPr>
        <w:t xml:space="preserve">Deprecation Policy: </w:t>
      </w:r>
      <w:r>
        <w:rPr>
          <w:rFonts w:ascii="Arial" w:cs="Arial" w:eastAsia="Arial" w:hAnsi="Arial"/>
          <w:color w:val="333333"/>
          <w:sz w:val="21"/>
          <w:szCs w:val="21"/>
        </w:rPr>
        <w:t xml:space="preserve">Minimum 90 days notice before removing a model. Email all users who have called the model in the past 90 days. Provide a migration guide to the recommended replacement.</w:t>
      </w:r>
    </w:p>
    <w:p>
      <w:pPr>
        <w:pStyle w:val="ListParagraph"/>
        <w:numPr>
          <w:ilvl w:val="0"/>
          <w:numId w:val="2"/>
        </w:numPr>
        <w:spacing w:after="80" w:line="280"/>
      </w:pPr>
      <w:r>
        <w:rPr>
          <w:rFonts w:ascii="Arial" w:cs="Arial" w:eastAsia="Arial" w:hAnsi="Arial"/>
          <w:b/>
          <w:bCs/>
          <w:color w:val="1B2A4A"/>
          <w:sz w:val="21"/>
          <w:szCs w:val="21"/>
        </w:rPr>
        <w:t xml:space="preserve">New Model Announcements: </w:t>
      </w:r>
      <w:r>
        <w:rPr>
          <w:rFonts w:ascii="Arial" w:cs="Arial" w:eastAsia="Arial" w:hAnsi="Arial"/>
          <w:color w:val="333333"/>
          <w:sz w:val="21"/>
          <w:szCs w:val="21"/>
        </w:rPr>
        <w:t xml:space="preserve">In-dashboard banner and email notification when a new model is added. Include a quick-start link to try it in the playground.</w:t>
      </w:r>
    </w:p>
    <w:p>
      <w:r>
        <w:br w:type="page"/>
      </w:r>
    </w:p>
    <w:p>
      <w:pPr>
        <w:pStyle w:val="Heading1"/>
        <w:spacing w:after="200" w:before="480"/>
      </w:pPr>
      <w:r>
        <w:rPr>
          <w:rFonts w:ascii="Arial" w:cs="Arial" w:eastAsia="Arial" w:hAnsi="Arial"/>
          <w:b/>
          <w:bCs/>
          <w:color w:val="1B2A4A"/>
          <w:sz w:val="36"/>
          <w:szCs w:val="36"/>
        </w:rPr>
        <w:t xml:space="preserve">7. Request Logs &amp; Debugging</w:t>
      </w:r>
    </w:p>
    <w:p>
      <w:pPr>
        <w:spacing w:after="160" w:line="300"/>
      </w:pPr>
      <w:r>
        <w:rPr>
          <w:rFonts w:ascii="Arial" w:cs="Arial" w:eastAsia="Arial" w:hAnsi="Arial"/>
          <w:color w:val="333333"/>
          <w:sz w:val="21"/>
          <w:szCs w:val="21"/>
        </w:rPr>
        <w:t xml:space="preserve">When something goes wrong, developers need to diagnose it fast. Your logging system is the debugger for every API integration.</w:t>
      </w:r>
    </w:p>
    <w:p>
      <w:pPr>
        <w:pStyle w:val="Heading2"/>
        <w:spacing w:after="160" w:before="360"/>
      </w:pPr>
      <w:r>
        <w:rPr>
          <w:rFonts w:ascii="Arial" w:cs="Arial" w:eastAsia="Arial" w:hAnsi="Arial"/>
          <w:b/>
          <w:bCs/>
          <w:color w:val="2E75B6"/>
          <w:sz w:val="28"/>
          <w:szCs w:val="28"/>
        </w:rPr>
        <w:t xml:space="preserve">7.1 Request Log Table</w:t>
      </w:r>
    </w:p>
    <w:p>
      <w:pPr>
        <w:spacing w:after="160" w:line="300"/>
      </w:pPr>
      <w:r>
        <w:rPr>
          <w:rFonts w:ascii="Arial" w:cs="Arial" w:eastAsia="Arial" w:hAnsi="Arial"/>
          <w:color w:val="333333"/>
          <w:sz w:val="21"/>
          <w:szCs w:val="21"/>
        </w:rPr>
        <w:t xml:space="preserve">A paginated, filterable table of all API requests. Each row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ISO 8601 with millisecond precision. Displayed in the user’s local timezone.</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Request ID</w:t>
            </w:r>
          </w:p>
        </w:tc>
        <w:tc>
          <w:tcPr>
            <w:tcW w:type="dxa" w:w="7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Unique UUID. Clickable to open the full request detail view. Included in response headers for correlation.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Model</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Model identifier (e.g., llama-3.1-70b-instruct).</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API Key</w:t>
            </w:r>
          </w:p>
        </w:tc>
        <w:tc>
          <w:tcPr>
            <w:tcW w:type="dxa" w:w="7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Key name (never the key itself). Clickable to filter all requests from that key.</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HTTP status code with a color dot: green (2xx), yellow (4xx), red (5xx).</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Tokens</w:t>
            </w:r>
          </w:p>
        </w:tc>
        <w:tc>
          <w:tcPr>
            <w:tcW w:type="dxa" w:w="7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Input / Output token count.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Latency</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Total time from request received to last byte sent. Also show TTFT separately.</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Cost</w:t>
            </w:r>
          </w:p>
        </w:tc>
        <w:tc>
          <w:tcPr>
            <w:tcW w:type="dxa" w:w="7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Dollar cost of this specific request.</w:t>
            </w:r>
          </w:p>
        </w:tc>
      </w:tr>
    </w:tbl>
    <w:p>
      <w:pPr>
        <w:spacing w:after="100"/>
      </w:pPr>
    </w:p>
    <w:p>
      <w:pPr>
        <w:pStyle w:val="Heading2"/>
        <w:spacing w:after="160" w:before="360"/>
      </w:pPr>
      <w:r>
        <w:rPr>
          <w:rFonts w:ascii="Arial" w:cs="Arial" w:eastAsia="Arial" w:hAnsi="Arial"/>
          <w:b/>
          <w:bCs/>
          <w:color w:val="2E75B6"/>
          <w:sz w:val="28"/>
          <w:szCs w:val="28"/>
        </w:rPr>
        <w:t xml:space="preserve">7.2 Request Detail View</w:t>
      </w:r>
    </w:p>
    <w:p>
      <w:pPr>
        <w:spacing w:after="160" w:line="300"/>
      </w:pPr>
      <w:r>
        <w:rPr>
          <w:rFonts w:ascii="Arial" w:cs="Arial" w:eastAsia="Arial" w:hAnsi="Arial"/>
          <w:color w:val="333333"/>
          <w:sz w:val="21"/>
          <w:szCs w:val="21"/>
        </w:rPr>
        <w:t xml:space="preserve">Clicking a request opens a full detail view:</w:t>
      </w:r>
    </w:p>
    <w:p>
      <w:pPr>
        <w:pStyle w:val="ListParagraph"/>
        <w:numPr>
          <w:ilvl w:val="0"/>
          <w:numId w:val="2"/>
        </w:numPr>
        <w:spacing w:after="80" w:line="280"/>
      </w:pPr>
      <w:r>
        <w:rPr>
          <w:rFonts w:ascii="Arial" w:cs="Arial" w:eastAsia="Arial" w:hAnsi="Arial"/>
          <w:b/>
          <w:bCs/>
          <w:color w:val="1B2A4A"/>
          <w:sz w:val="21"/>
          <w:szCs w:val="21"/>
        </w:rPr>
        <w:t xml:space="preserve">Request Body: </w:t>
      </w:r>
      <w:r>
        <w:rPr>
          <w:rFonts w:ascii="Arial" w:cs="Arial" w:eastAsia="Arial" w:hAnsi="Arial"/>
          <w:color w:val="333333"/>
          <w:sz w:val="21"/>
          <w:szCs w:val="21"/>
        </w:rPr>
        <w:t xml:space="preserve">Full JSON payload (prompt, system message, parameters). Syntax-highlighted. Collapsible for long prompts.</w:t>
      </w:r>
    </w:p>
    <w:p>
      <w:pPr>
        <w:pStyle w:val="ListParagraph"/>
        <w:numPr>
          <w:ilvl w:val="0"/>
          <w:numId w:val="2"/>
        </w:numPr>
        <w:spacing w:after="80" w:line="280"/>
      </w:pPr>
      <w:r>
        <w:rPr>
          <w:rFonts w:ascii="Arial" w:cs="Arial" w:eastAsia="Arial" w:hAnsi="Arial"/>
          <w:b/>
          <w:bCs/>
          <w:color w:val="1B2A4A"/>
          <w:sz w:val="21"/>
          <w:szCs w:val="21"/>
        </w:rPr>
        <w:t xml:space="preserve">Response Body: </w:t>
      </w:r>
      <w:r>
        <w:rPr>
          <w:rFonts w:ascii="Arial" w:cs="Arial" w:eastAsia="Arial" w:hAnsi="Arial"/>
          <w:color w:val="333333"/>
          <w:sz w:val="21"/>
          <w:szCs w:val="21"/>
        </w:rPr>
        <w:t xml:space="preserve">Full response including the completion, usage object, and any function calls. Syntax-highlighted.</w:t>
      </w:r>
    </w:p>
    <w:p>
      <w:pPr>
        <w:pStyle w:val="ListParagraph"/>
        <w:numPr>
          <w:ilvl w:val="0"/>
          <w:numId w:val="2"/>
        </w:numPr>
        <w:spacing w:after="80" w:line="280"/>
      </w:pPr>
      <w:r>
        <w:rPr>
          <w:rFonts w:ascii="Arial" w:cs="Arial" w:eastAsia="Arial" w:hAnsi="Arial"/>
          <w:b/>
          <w:bCs/>
          <w:color w:val="1B2A4A"/>
          <w:sz w:val="21"/>
          <w:szCs w:val="21"/>
        </w:rPr>
        <w:t xml:space="preserve">Timing Breakdown: </w:t>
      </w:r>
      <w:r>
        <w:rPr>
          <w:rFonts w:ascii="Arial" w:cs="Arial" w:eastAsia="Arial" w:hAnsi="Arial"/>
          <w:color w:val="333333"/>
          <w:sz w:val="21"/>
          <w:szCs w:val="21"/>
        </w:rPr>
        <w:t xml:space="preserve">Visual waterfall showing: queue time (waiting for available GPU) → prefill time (processing input tokens) → decode time (generating output tokens) → network transfer.</w:t>
      </w:r>
    </w:p>
    <w:p>
      <w:pPr>
        <w:pStyle w:val="ListParagraph"/>
        <w:numPr>
          <w:ilvl w:val="0"/>
          <w:numId w:val="2"/>
        </w:numPr>
        <w:spacing w:after="80" w:line="280"/>
      </w:pPr>
      <w:r>
        <w:rPr>
          <w:rFonts w:ascii="Arial" w:cs="Arial" w:eastAsia="Arial" w:hAnsi="Arial"/>
          <w:b/>
          <w:bCs/>
          <w:color w:val="1B2A4A"/>
          <w:sz w:val="21"/>
          <w:szCs w:val="21"/>
        </w:rPr>
        <w:t xml:space="preserve">Metadata: </w:t>
      </w:r>
      <w:r>
        <w:rPr>
          <w:rFonts w:ascii="Arial" w:cs="Arial" w:eastAsia="Arial" w:hAnsi="Arial"/>
          <w:color w:val="333333"/>
          <w:sz w:val="21"/>
          <w:szCs w:val="21"/>
        </w:rPr>
        <w:t xml:space="preserve">Source IP, user agent, HTTP headers, request ID, and trace ID (if distributed tracing is enabled).</w:t>
      </w:r>
    </w:p>
    <w:p>
      <w:pPr>
        <w:pStyle w:val="ListParagraph"/>
        <w:numPr>
          <w:ilvl w:val="0"/>
          <w:numId w:val="2"/>
        </w:numPr>
        <w:spacing w:after="80" w:line="280"/>
      </w:pPr>
      <w:r>
        <w:rPr>
          <w:rFonts w:ascii="Arial" w:cs="Arial" w:eastAsia="Arial" w:hAnsi="Arial"/>
          <w:b/>
          <w:bCs/>
          <w:color w:val="1B2A4A"/>
          <w:sz w:val="21"/>
          <w:szCs w:val="21"/>
        </w:rPr>
        <w:t xml:space="preserve">Replay Button: </w:t>
      </w:r>
      <w:r>
        <w:rPr>
          <w:rFonts w:ascii="Arial" w:cs="Arial" w:eastAsia="Arial" w:hAnsi="Arial"/>
          <w:color w:val="333333"/>
          <w:sz w:val="21"/>
          <w:szCs w:val="21"/>
        </w:rPr>
        <w:t xml:space="preserve">One-click button to replay this exact request in the playground. Invaluable for debugging.</w:t>
      </w:r>
    </w:p>
    <w:p>
      <w:pPr>
        <w:pStyle w:val="Heading2"/>
        <w:spacing w:after="160" w:before="360"/>
      </w:pPr>
      <w:r>
        <w:rPr>
          <w:rFonts w:ascii="Arial" w:cs="Arial" w:eastAsia="Arial" w:hAnsi="Arial"/>
          <w:b/>
          <w:bCs/>
          <w:color w:val="2E75B6"/>
          <w:sz w:val="28"/>
          <w:szCs w:val="28"/>
        </w:rPr>
        <w:t xml:space="preserve">7.3 Filtering &amp; Search</w:t>
      </w:r>
    </w:p>
    <w:p>
      <w:pPr>
        <w:pStyle w:val="ListParagraph"/>
        <w:numPr>
          <w:ilvl w:val="0"/>
          <w:numId w:val="2"/>
        </w:numPr>
        <w:spacing w:after="80" w:line="280"/>
      </w:pPr>
      <w:r>
        <w:rPr>
          <w:rFonts w:ascii="Arial" w:cs="Arial" w:eastAsia="Arial" w:hAnsi="Arial"/>
          <w:b/>
          <w:bCs/>
          <w:color w:val="1B2A4A"/>
          <w:sz w:val="21"/>
          <w:szCs w:val="21"/>
        </w:rPr>
        <w:t xml:space="preserve">Filters: </w:t>
      </w:r>
      <w:r>
        <w:rPr>
          <w:rFonts w:ascii="Arial" w:cs="Arial" w:eastAsia="Arial" w:hAnsi="Arial"/>
          <w:color w:val="333333"/>
          <w:sz w:val="21"/>
          <w:szCs w:val="21"/>
        </w:rPr>
        <w:t xml:space="preserve">Time range, model, API key, status code, latency range (“show requests slower than 2s”), token count range (“show requests with &gt; 10K output tokens”), cost range.</w:t>
      </w:r>
    </w:p>
    <w:p>
      <w:pPr>
        <w:pStyle w:val="ListParagraph"/>
        <w:numPr>
          <w:ilvl w:val="0"/>
          <w:numId w:val="2"/>
        </w:numPr>
        <w:spacing w:after="80" w:line="280"/>
      </w:pPr>
      <w:r>
        <w:rPr>
          <w:rFonts w:ascii="Arial" w:cs="Arial" w:eastAsia="Arial" w:hAnsi="Arial"/>
          <w:b/>
          <w:bCs/>
          <w:color w:val="1B2A4A"/>
          <w:sz w:val="21"/>
          <w:szCs w:val="21"/>
        </w:rPr>
        <w:t xml:space="preserve">Full-Text Search: </w:t>
      </w:r>
      <w:r>
        <w:rPr>
          <w:rFonts w:ascii="Arial" w:cs="Arial" w:eastAsia="Arial" w:hAnsi="Arial"/>
          <w:color w:val="333333"/>
          <w:sz w:val="21"/>
          <w:szCs w:val="21"/>
        </w:rPr>
        <w:t xml:space="preserve">Search within request and response bodies. Useful for finding specific prompts or completions. Only available if the user has logging enabled.</w:t>
      </w:r>
    </w:p>
    <w:p>
      <w:pPr>
        <w:pStyle w:val="ListParagraph"/>
        <w:numPr>
          <w:ilvl w:val="0"/>
          <w:numId w:val="2"/>
        </w:numPr>
        <w:spacing w:after="80" w:line="280"/>
      </w:pPr>
      <w:r>
        <w:rPr>
          <w:rFonts w:ascii="Arial" w:cs="Arial" w:eastAsia="Arial" w:hAnsi="Arial"/>
          <w:b/>
          <w:bCs/>
          <w:color w:val="1B2A4A"/>
          <w:sz w:val="21"/>
          <w:szCs w:val="21"/>
        </w:rPr>
        <w:t xml:space="preserve">Saved Filters: </w:t>
      </w:r>
      <w:r>
        <w:rPr>
          <w:rFonts w:ascii="Arial" w:cs="Arial" w:eastAsia="Arial" w:hAnsi="Arial"/>
          <w:color w:val="333333"/>
          <w:sz w:val="21"/>
          <w:szCs w:val="21"/>
        </w:rPr>
        <w:t xml:space="preserve">Let users save frequently used filter combinations (“Production errors last 24h”, “High-latency requests from chatbot key”).</w:t>
      </w:r>
    </w:p>
    <w:p>
      <w:pPr>
        <w:pStyle w:val="Heading2"/>
        <w:spacing w:after="160" w:before="360"/>
      </w:pPr>
      <w:r>
        <w:rPr>
          <w:rFonts w:ascii="Arial" w:cs="Arial" w:eastAsia="Arial" w:hAnsi="Arial"/>
          <w:b/>
          <w:bCs/>
          <w:color w:val="2E75B6"/>
          <w:sz w:val="28"/>
          <w:szCs w:val="28"/>
        </w:rPr>
        <w:t xml:space="preserve">7.4 Privacy &amp; Retention</w:t>
      </w:r>
    </w:p>
    <w:p>
      <w:pPr>
        <w:pStyle w:val="ListParagraph"/>
        <w:numPr>
          <w:ilvl w:val="0"/>
          <w:numId w:val="2"/>
        </w:numPr>
        <w:spacing w:after="80" w:line="280"/>
      </w:pPr>
      <w:r>
        <w:rPr>
          <w:rFonts w:ascii="Arial" w:cs="Arial" w:eastAsia="Arial" w:hAnsi="Arial"/>
          <w:b/>
          <w:bCs/>
          <w:color w:val="1B2A4A"/>
          <w:sz w:val="21"/>
          <w:szCs w:val="21"/>
        </w:rPr>
        <w:t xml:space="preserve">Logging Toggle: </w:t>
      </w:r>
      <w:r>
        <w:rPr>
          <w:rFonts w:ascii="Arial" w:cs="Arial" w:eastAsia="Arial" w:hAnsi="Arial"/>
          <w:color w:val="333333"/>
          <w:sz w:val="21"/>
          <w:szCs w:val="21"/>
        </w:rPr>
        <w:t xml:space="preserve">Per-workspace toggle: “Log request/response bodies.” Default ON for development workspaces, OFF for production. When off, only metadata (timestamp, model, tokens, latency, status) is stored.</w:t>
      </w:r>
    </w:p>
    <w:p>
      <w:pPr>
        <w:pStyle w:val="ListParagraph"/>
        <w:numPr>
          <w:ilvl w:val="0"/>
          <w:numId w:val="2"/>
        </w:numPr>
        <w:spacing w:after="80" w:line="280"/>
      </w:pPr>
      <w:r>
        <w:rPr>
          <w:rFonts w:ascii="Arial" w:cs="Arial" w:eastAsia="Arial" w:hAnsi="Arial"/>
          <w:b/>
          <w:bCs/>
          <w:color w:val="1B2A4A"/>
          <w:sz w:val="21"/>
          <w:szCs w:val="21"/>
        </w:rPr>
        <w:t xml:space="preserve">Retention Policies: </w:t>
      </w:r>
      <w:r>
        <w:rPr>
          <w:rFonts w:ascii="Arial" w:cs="Arial" w:eastAsia="Arial" w:hAnsi="Arial"/>
          <w:color w:val="333333"/>
          <w:sz w:val="21"/>
          <w:szCs w:val="21"/>
        </w:rPr>
        <w:t xml:space="preserve">Configurable retention period: 7 days, 30 days, 90 days, or custom. Auto-delete after the retention period. Enterprise customers may need zero-retention mode (metadata only, immediate deletion).</w:t>
      </w:r>
    </w:p>
    <w:p>
      <w:pPr>
        <w:pStyle w:val="ListParagraph"/>
        <w:numPr>
          <w:ilvl w:val="0"/>
          <w:numId w:val="2"/>
        </w:numPr>
        <w:spacing w:after="80" w:line="280"/>
      </w:pPr>
      <w:r>
        <w:rPr>
          <w:rFonts w:ascii="Arial" w:cs="Arial" w:eastAsia="Arial" w:hAnsi="Arial"/>
          <w:b/>
          <w:bCs/>
          <w:color w:val="1B2A4A"/>
          <w:sz w:val="21"/>
          <w:szCs w:val="21"/>
        </w:rPr>
        <w:t xml:space="preserve">PII Redaction: </w:t>
      </w:r>
      <w:r>
        <w:rPr>
          <w:rFonts w:ascii="Arial" w:cs="Arial" w:eastAsia="Arial" w:hAnsi="Arial"/>
          <w:color w:val="333333"/>
          <w:sz w:val="21"/>
          <w:szCs w:val="21"/>
        </w:rPr>
        <w:t xml:space="preserve">Optional automatic PII redaction in logged bodies. Detect and mask email addresses, phone numbers, SSNs, and credit card numbers before storage. Use regex + ML-based detection.</w:t>
      </w:r>
    </w:p>
    <w:p>
      <w:r>
        <w:br w:type="page"/>
      </w:r>
    </w:p>
    <w:p>
      <w:pPr>
        <w:pStyle w:val="Heading1"/>
        <w:spacing w:after="200" w:before="480"/>
      </w:pPr>
      <w:r>
        <w:rPr>
          <w:rFonts w:ascii="Arial" w:cs="Arial" w:eastAsia="Arial" w:hAnsi="Arial"/>
          <w:b/>
          <w:bCs/>
          <w:color w:val="1B2A4A"/>
          <w:sz w:val="36"/>
          <w:szCs w:val="36"/>
        </w:rPr>
        <w:t xml:space="preserve">8. Webhooks, Notifications &amp; Integrations</w:t>
      </w:r>
    </w:p>
    <w:p>
      <w:pPr>
        <w:pStyle w:val="Heading2"/>
        <w:spacing w:after="160" w:before="360"/>
      </w:pPr>
      <w:r>
        <w:rPr>
          <w:rFonts w:ascii="Arial" w:cs="Arial" w:eastAsia="Arial" w:hAnsi="Arial"/>
          <w:b/>
          <w:bCs/>
          <w:color w:val="2E75B6"/>
          <w:sz w:val="28"/>
          <w:szCs w:val="28"/>
        </w:rPr>
        <w:t xml:space="preserve">8.1 Webhook System</w:t>
      </w:r>
    </w:p>
    <w:p>
      <w:pPr>
        <w:spacing w:after="120" w:before="240"/>
      </w:pPr>
      <w:r>
        <w:rPr>
          <w:rFonts w:ascii="Arial" w:cs="Arial" w:eastAsia="Arial" w:hAnsi="Arial"/>
          <w:b/>
          <w:bCs/>
          <w:color w:val="1B2A4A"/>
          <w:sz w:val="24"/>
          <w:szCs w:val="24"/>
        </w:rPr>
        <w:t xml:space="preserve">Supported Events</w:t>
      </w:r>
    </w:p>
    <w:p>
      <w:pPr>
        <w:pStyle w:val="ListParagraph"/>
        <w:numPr>
          <w:ilvl w:val="0"/>
          <w:numId w:val="2"/>
        </w:numPr>
        <w:spacing w:after="80" w:line="280"/>
      </w:pPr>
      <w:r>
        <w:rPr>
          <w:rFonts w:ascii="Arial" w:cs="Arial" w:eastAsia="Arial" w:hAnsi="Arial"/>
          <w:b/>
          <w:bCs/>
          <w:color w:val="1B2A4A"/>
          <w:sz w:val="21"/>
          <w:szCs w:val="21"/>
        </w:rPr>
        <w:t xml:space="preserve">usage.threshold.reached: </w:t>
      </w:r>
      <w:r>
        <w:rPr>
          <w:rFonts w:ascii="Arial" w:cs="Arial" w:eastAsia="Arial" w:hAnsi="Arial"/>
          <w:color w:val="333333"/>
          <w:sz w:val="21"/>
          <w:szCs w:val="21"/>
        </w:rPr>
        <w:t xml:space="preserve">Fires when spend hits a configured percentage of the budget cap.</w:t>
      </w:r>
    </w:p>
    <w:p>
      <w:pPr>
        <w:pStyle w:val="ListParagraph"/>
        <w:numPr>
          <w:ilvl w:val="0"/>
          <w:numId w:val="2"/>
        </w:numPr>
        <w:spacing w:after="80" w:line="280"/>
      </w:pPr>
      <w:r>
        <w:rPr>
          <w:rFonts w:ascii="Arial" w:cs="Arial" w:eastAsia="Arial" w:hAnsi="Arial"/>
          <w:b/>
          <w:bCs/>
          <w:color w:val="1B2A4A"/>
          <w:sz w:val="21"/>
          <w:szCs w:val="21"/>
        </w:rPr>
        <w:t xml:space="preserve">usage.budget.exceeded: </w:t>
      </w:r>
      <w:r>
        <w:rPr>
          <w:rFonts w:ascii="Arial" w:cs="Arial" w:eastAsia="Arial" w:hAnsi="Arial"/>
          <w:color w:val="333333"/>
          <w:sz w:val="21"/>
          <w:szCs w:val="21"/>
        </w:rPr>
        <w:t xml:space="preserve">Fires when the hard budget cap is hit and requests are being rejected.</w:t>
      </w:r>
    </w:p>
    <w:p>
      <w:pPr>
        <w:pStyle w:val="ListParagraph"/>
        <w:numPr>
          <w:ilvl w:val="0"/>
          <w:numId w:val="2"/>
        </w:numPr>
        <w:spacing w:after="80" w:line="280"/>
      </w:pPr>
      <w:r>
        <w:rPr>
          <w:rFonts w:ascii="Arial" w:cs="Arial" w:eastAsia="Arial" w:hAnsi="Arial"/>
          <w:b/>
          <w:bCs/>
          <w:color w:val="1B2A4A"/>
          <w:sz w:val="21"/>
          <w:szCs w:val="21"/>
        </w:rPr>
        <w:t xml:space="preserve">api_key.created / revoked / expired: </w:t>
      </w:r>
      <w:r>
        <w:rPr>
          <w:rFonts w:ascii="Arial" w:cs="Arial" w:eastAsia="Arial" w:hAnsi="Arial"/>
          <w:color w:val="333333"/>
          <w:sz w:val="21"/>
          <w:szCs w:val="21"/>
        </w:rPr>
        <w:t xml:space="preserve">Key lifecycle events.</w:t>
      </w:r>
    </w:p>
    <w:p>
      <w:pPr>
        <w:pStyle w:val="ListParagraph"/>
        <w:numPr>
          <w:ilvl w:val="0"/>
          <w:numId w:val="2"/>
        </w:numPr>
        <w:spacing w:after="80" w:line="280"/>
      </w:pPr>
      <w:r>
        <w:rPr>
          <w:rFonts w:ascii="Arial" w:cs="Arial" w:eastAsia="Arial" w:hAnsi="Arial"/>
          <w:b/>
          <w:bCs/>
          <w:color w:val="1B2A4A"/>
          <w:sz w:val="21"/>
          <w:szCs w:val="21"/>
        </w:rPr>
        <w:t xml:space="preserve">rate_limit.hit: </w:t>
      </w:r>
      <w:r>
        <w:rPr>
          <w:rFonts w:ascii="Arial" w:cs="Arial" w:eastAsia="Arial" w:hAnsi="Arial"/>
          <w:color w:val="333333"/>
          <w:sz w:val="21"/>
          <w:szCs w:val="21"/>
        </w:rPr>
        <w:t xml:space="preserve">Fires when a key hits its rate limit. Include which limit was hit (RPM, TPM, concurrent).</w:t>
      </w:r>
    </w:p>
    <w:p>
      <w:pPr>
        <w:pStyle w:val="ListParagraph"/>
        <w:numPr>
          <w:ilvl w:val="0"/>
          <w:numId w:val="2"/>
        </w:numPr>
        <w:spacing w:after="80" w:line="280"/>
      </w:pPr>
      <w:r>
        <w:rPr>
          <w:rFonts w:ascii="Arial" w:cs="Arial" w:eastAsia="Arial" w:hAnsi="Arial"/>
          <w:b/>
          <w:bCs/>
          <w:color w:val="1B2A4A"/>
          <w:sz w:val="21"/>
          <w:szCs w:val="21"/>
        </w:rPr>
        <w:t xml:space="preserve">fine_tuning.job.completed / failed: </w:t>
      </w:r>
      <w:r>
        <w:rPr>
          <w:rFonts w:ascii="Arial" w:cs="Arial" w:eastAsia="Arial" w:hAnsi="Arial"/>
          <w:color w:val="333333"/>
          <w:sz w:val="21"/>
          <w:szCs w:val="21"/>
        </w:rPr>
        <w:t xml:space="preserve">Training job status changes.</w:t>
      </w:r>
    </w:p>
    <w:p>
      <w:pPr>
        <w:pStyle w:val="ListParagraph"/>
        <w:numPr>
          <w:ilvl w:val="0"/>
          <w:numId w:val="2"/>
        </w:numPr>
        <w:spacing w:after="80" w:line="280"/>
      </w:pPr>
      <w:r>
        <w:rPr>
          <w:rFonts w:ascii="Arial" w:cs="Arial" w:eastAsia="Arial" w:hAnsi="Arial"/>
          <w:b/>
          <w:bCs/>
          <w:color w:val="1B2A4A"/>
          <w:sz w:val="21"/>
          <w:szCs w:val="21"/>
        </w:rPr>
        <w:t xml:space="preserve">model.deprecated: </w:t>
      </w:r>
      <w:r>
        <w:rPr>
          <w:rFonts w:ascii="Arial" w:cs="Arial" w:eastAsia="Arial" w:hAnsi="Arial"/>
          <w:color w:val="333333"/>
          <w:sz w:val="21"/>
          <w:szCs w:val="21"/>
        </w:rPr>
        <w:t xml:space="preserve">A model you’re using has been scheduled for deprecation.</w:t>
      </w:r>
    </w:p>
    <w:p>
      <w:pPr>
        <w:pStyle w:val="ListParagraph"/>
        <w:numPr>
          <w:ilvl w:val="0"/>
          <w:numId w:val="2"/>
        </w:numPr>
        <w:spacing w:after="80" w:line="280"/>
      </w:pPr>
      <w:r>
        <w:rPr>
          <w:rFonts w:ascii="Arial" w:cs="Arial" w:eastAsia="Arial" w:hAnsi="Arial"/>
          <w:b/>
          <w:bCs/>
          <w:color w:val="1B2A4A"/>
          <w:sz w:val="21"/>
          <w:szCs w:val="21"/>
        </w:rPr>
        <w:t xml:space="preserve">payment.failed: </w:t>
      </w:r>
      <w:r>
        <w:rPr>
          <w:rFonts w:ascii="Arial" w:cs="Arial" w:eastAsia="Arial" w:hAnsi="Arial"/>
          <w:color w:val="333333"/>
          <w:sz w:val="21"/>
          <w:szCs w:val="21"/>
        </w:rPr>
        <w:t xml:space="preserve">Payment charge failed.</w:t>
      </w:r>
    </w:p>
    <w:p>
      <w:pPr>
        <w:pStyle w:val="ListParagraph"/>
        <w:numPr>
          <w:ilvl w:val="0"/>
          <w:numId w:val="2"/>
        </w:numPr>
        <w:spacing w:after="80" w:line="280"/>
      </w:pPr>
      <w:r>
        <w:rPr>
          <w:rFonts w:ascii="Arial" w:cs="Arial" w:eastAsia="Arial" w:hAnsi="Arial"/>
          <w:b/>
          <w:bCs/>
          <w:color w:val="1B2A4A"/>
          <w:sz w:val="21"/>
          <w:szCs w:val="21"/>
        </w:rPr>
        <w:t xml:space="preserve">member.invited / removed: </w:t>
      </w:r>
      <w:r>
        <w:rPr>
          <w:rFonts w:ascii="Arial" w:cs="Arial" w:eastAsia="Arial" w:hAnsi="Arial"/>
          <w:color w:val="333333"/>
          <w:sz w:val="21"/>
          <w:szCs w:val="21"/>
        </w:rPr>
        <w:t xml:space="preserve">Org membership changes.</w:t>
      </w:r>
    </w:p>
    <w:p>
      <w:pPr>
        <w:pStyle w:val="ListParagraph"/>
        <w:numPr>
          <w:ilvl w:val="0"/>
          <w:numId w:val="2"/>
        </w:numPr>
        <w:spacing w:after="80" w:line="280"/>
      </w:pPr>
      <w:r>
        <w:rPr>
          <w:rFonts w:ascii="Arial" w:cs="Arial" w:eastAsia="Arial" w:hAnsi="Arial"/>
          <w:b/>
          <w:bCs/>
          <w:color w:val="1B2A4A"/>
          <w:sz w:val="21"/>
          <w:szCs w:val="21"/>
        </w:rPr>
        <w:t xml:space="preserve">anomaly.detected: </w:t>
      </w:r>
      <w:r>
        <w:rPr>
          <w:rFonts w:ascii="Arial" w:cs="Arial" w:eastAsia="Arial" w:hAnsi="Arial"/>
          <w:color w:val="333333"/>
          <w:sz w:val="21"/>
          <w:szCs w:val="21"/>
        </w:rPr>
        <w:t xml:space="preserve">Unusual usage pattern detected (geographic, volumetric, or behavioral).</w:t>
      </w:r>
    </w:p>
    <w:p>
      <w:pPr>
        <w:spacing w:after="120" w:before="240"/>
      </w:pPr>
      <w:r>
        <w:rPr>
          <w:rFonts w:ascii="Arial" w:cs="Arial" w:eastAsia="Arial" w:hAnsi="Arial"/>
          <w:b/>
          <w:bCs/>
          <w:color w:val="1B2A4A"/>
          <w:sz w:val="24"/>
          <w:szCs w:val="24"/>
        </w:rPr>
        <w:t xml:space="preserve">Webhook Delivery</w:t>
      </w:r>
    </w:p>
    <w:p>
      <w:pPr>
        <w:pStyle w:val="ListParagraph"/>
        <w:numPr>
          <w:ilvl w:val="0"/>
          <w:numId w:val="2"/>
        </w:numPr>
        <w:spacing w:after="80" w:line="280"/>
      </w:pPr>
      <w:r>
        <w:rPr>
          <w:rFonts w:ascii="Arial" w:cs="Arial" w:eastAsia="Arial" w:hAnsi="Arial"/>
          <w:b/>
          <w:bCs/>
          <w:color w:val="1B2A4A"/>
          <w:sz w:val="21"/>
          <w:szCs w:val="21"/>
        </w:rPr>
        <w:t xml:space="preserve">Payload: </w:t>
      </w:r>
      <w:r>
        <w:rPr>
          <w:rFonts w:ascii="Arial" w:cs="Arial" w:eastAsia="Arial" w:hAnsi="Arial"/>
          <w:color w:val="333333"/>
          <w:sz w:val="21"/>
          <w:szCs w:val="21"/>
        </w:rPr>
        <w:t xml:space="preserve">JSON body with event type, timestamp, and event-specific data. Include a webhook_id for idempotency.</w:t>
      </w:r>
    </w:p>
    <w:p>
      <w:pPr>
        <w:pStyle w:val="ListParagraph"/>
        <w:numPr>
          <w:ilvl w:val="0"/>
          <w:numId w:val="2"/>
        </w:numPr>
        <w:spacing w:after="80" w:line="280"/>
      </w:pPr>
      <w:r>
        <w:rPr>
          <w:rFonts w:ascii="Arial" w:cs="Arial" w:eastAsia="Arial" w:hAnsi="Arial"/>
          <w:b/>
          <w:bCs/>
          <w:color w:val="1B2A4A"/>
          <w:sz w:val="21"/>
          <w:szCs w:val="21"/>
        </w:rPr>
        <w:t xml:space="preserve">Signature: </w:t>
      </w:r>
      <w:r>
        <w:rPr>
          <w:rFonts w:ascii="Arial" w:cs="Arial" w:eastAsia="Arial" w:hAnsi="Arial"/>
          <w:color w:val="333333"/>
          <w:sz w:val="21"/>
          <w:szCs w:val="21"/>
        </w:rPr>
        <w:t xml:space="preserve">HMAC-SHA256 signature in the X-Signature-256 header. Users verify with their webhook secret.</w:t>
      </w:r>
    </w:p>
    <w:p>
      <w:pPr>
        <w:pStyle w:val="ListParagraph"/>
        <w:numPr>
          <w:ilvl w:val="0"/>
          <w:numId w:val="2"/>
        </w:numPr>
        <w:spacing w:after="80" w:line="280"/>
      </w:pPr>
      <w:r>
        <w:rPr>
          <w:rFonts w:ascii="Arial" w:cs="Arial" w:eastAsia="Arial" w:hAnsi="Arial"/>
          <w:b/>
          <w:bCs/>
          <w:color w:val="1B2A4A"/>
          <w:sz w:val="21"/>
          <w:szCs w:val="21"/>
        </w:rPr>
        <w:t xml:space="preserve">Retry Policy: </w:t>
      </w:r>
      <w:r>
        <w:rPr>
          <w:rFonts w:ascii="Arial" w:cs="Arial" w:eastAsia="Arial" w:hAnsi="Arial"/>
          <w:color w:val="333333"/>
          <w:sz w:val="21"/>
          <w:szCs w:val="21"/>
        </w:rPr>
        <w:t xml:space="preserve">Retry failed deliveries (non-2xx response) with exponential backoff: 1 min, 5 min, 30 min, 2 hours, 6 hours. After 5 retries, mark as failed and alert the user.</w:t>
      </w:r>
    </w:p>
    <w:p>
      <w:pPr>
        <w:pStyle w:val="ListParagraph"/>
        <w:numPr>
          <w:ilvl w:val="0"/>
          <w:numId w:val="2"/>
        </w:numPr>
        <w:spacing w:after="80" w:line="280"/>
      </w:pPr>
      <w:r>
        <w:rPr>
          <w:rFonts w:ascii="Arial" w:cs="Arial" w:eastAsia="Arial" w:hAnsi="Arial"/>
          <w:b/>
          <w:bCs/>
          <w:color w:val="1B2A4A"/>
          <w:sz w:val="21"/>
          <w:szCs w:val="21"/>
        </w:rPr>
        <w:t xml:space="preserve">Delivery Log: </w:t>
      </w:r>
      <w:r>
        <w:rPr>
          <w:rFonts w:ascii="Arial" w:cs="Arial" w:eastAsia="Arial" w:hAnsi="Arial"/>
          <w:color w:val="333333"/>
          <w:sz w:val="21"/>
          <w:szCs w:val="21"/>
        </w:rPr>
        <w:t xml:space="preserve">Dashboard view showing all webhook deliveries: status (success/failed), response code, response time, payload. Re-fire button for failed deliveries.</w:t>
      </w:r>
    </w:p>
    <w:p>
      <w:pPr>
        <w:pStyle w:val="ListParagraph"/>
        <w:numPr>
          <w:ilvl w:val="0"/>
          <w:numId w:val="2"/>
        </w:numPr>
        <w:spacing w:after="80" w:line="280"/>
      </w:pPr>
      <w:r>
        <w:rPr>
          <w:rFonts w:ascii="Arial" w:cs="Arial" w:eastAsia="Arial" w:hAnsi="Arial"/>
          <w:b/>
          <w:bCs/>
          <w:color w:val="1B2A4A"/>
          <w:sz w:val="21"/>
          <w:szCs w:val="21"/>
        </w:rPr>
        <w:t xml:space="preserve">Test Mode: </w:t>
      </w:r>
      <w:r>
        <w:rPr>
          <w:rFonts w:ascii="Arial" w:cs="Arial" w:eastAsia="Arial" w:hAnsi="Arial"/>
          <w:color w:val="333333"/>
          <w:sz w:val="21"/>
          <w:szCs w:val="21"/>
        </w:rPr>
        <w:t xml:space="preserve">A “Send Test Event” button that fires a sample payload to the configured URL so users can verify their endpoint works.</w:t>
      </w:r>
    </w:p>
    <w:p>
      <w:pPr>
        <w:pStyle w:val="Heading2"/>
        <w:spacing w:after="160" w:before="360"/>
      </w:pPr>
      <w:r>
        <w:rPr>
          <w:rFonts w:ascii="Arial" w:cs="Arial" w:eastAsia="Arial" w:hAnsi="Arial"/>
          <w:b/>
          <w:bCs/>
          <w:color w:val="2E75B6"/>
          <w:sz w:val="28"/>
          <w:szCs w:val="28"/>
        </w:rPr>
        <w:t xml:space="preserve">8.2 Notification Channels</w:t>
      </w:r>
    </w:p>
    <w:p>
      <w:pPr>
        <w:pStyle w:val="ListParagraph"/>
        <w:numPr>
          <w:ilvl w:val="0"/>
          <w:numId w:val="2"/>
        </w:numPr>
        <w:spacing w:after="80" w:line="280"/>
      </w:pPr>
      <w:r>
        <w:rPr>
          <w:rFonts w:ascii="Arial" w:cs="Arial" w:eastAsia="Arial" w:hAnsi="Arial"/>
          <w:b/>
          <w:bCs/>
          <w:color w:val="1B2A4A"/>
          <w:sz w:val="21"/>
          <w:szCs w:val="21"/>
        </w:rPr>
        <w:t xml:space="preserve">Email: </w:t>
      </w:r>
      <w:r>
        <w:rPr>
          <w:rFonts w:ascii="Arial" w:cs="Arial" w:eastAsia="Arial" w:hAnsi="Arial"/>
          <w:color w:val="333333"/>
          <w:sz w:val="21"/>
          <w:szCs w:val="21"/>
        </w:rPr>
        <w:t xml:space="preserve">All events, with configurable frequency (real-time, daily digest, weekly digest). Per-event opt-in/opt-out.</w:t>
      </w:r>
    </w:p>
    <w:p>
      <w:pPr>
        <w:pStyle w:val="ListParagraph"/>
        <w:numPr>
          <w:ilvl w:val="0"/>
          <w:numId w:val="2"/>
        </w:numPr>
        <w:spacing w:after="80" w:line="280"/>
      </w:pPr>
      <w:r>
        <w:rPr>
          <w:rFonts w:ascii="Arial" w:cs="Arial" w:eastAsia="Arial" w:hAnsi="Arial"/>
          <w:b/>
          <w:bCs/>
          <w:color w:val="1B2A4A"/>
          <w:sz w:val="21"/>
          <w:szCs w:val="21"/>
        </w:rPr>
        <w:t xml:space="preserve">Slack: </w:t>
      </w:r>
      <w:r>
        <w:rPr>
          <w:rFonts w:ascii="Arial" w:cs="Arial" w:eastAsia="Arial" w:hAnsi="Arial"/>
          <w:color w:val="333333"/>
          <w:sz w:val="21"/>
          <w:szCs w:val="21"/>
        </w:rPr>
        <w:t xml:space="preserve">OAuth integration. Let users choose which channel receives which events. Format messages with Slack Block Kit for rich display.</w:t>
      </w:r>
    </w:p>
    <w:p>
      <w:pPr>
        <w:pStyle w:val="ListParagraph"/>
        <w:numPr>
          <w:ilvl w:val="0"/>
          <w:numId w:val="2"/>
        </w:numPr>
        <w:spacing w:after="80" w:line="280"/>
      </w:pPr>
      <w:r>
        <w:rPr>
          <w:rFonts w:ascii="Arial" w:cs="Arial" w:eastAsia="Arial" w:hAnsi="Arial"/>
          <w:b/>
          <w:bCs/>
          <w:color w:val="1B2A4A"/>
          <w:sz w:val="21"/>
          <w:szCs w:val="21"/>
        </w:rPr>
        <w:t xml:space="preserve">PagerDuty: </w:t>
      </w:r>
      <w:r>
        <w:rPr>
          <w:rFonts w:ascii="Arial" w:cs="Arial" w:eastAsia="Arial" w:hAnsi="Arial"/>
          <w:color w:val="333333"/>
          <w:sz w:val="21"/>
          <w:szCs w:val="21"/>
        </w:rPr>
        <w:t xml:space="preserve">For critical events (budget exceeded, payment failed, system outage). Create incidents with appropriate severity levels.</w:t>
      </w:r>
    </w:p>
    <w:p>
      <w:pPr>
        <w:pStyle w:val="ListParagraph"/>
        <w:numPr>
          <w:ilvl w:val="0"/>
          <w:numId w:val="2"/>
        </w:numPr>
        <w:spacing w:after="80" w:line="280"/>
      </w:pPr>
      <w:r>
        <w:rPr>
          <w:rFonts w:ascii="Arial" w:cs="Arial" w:eastAsia="Arial" w:hAnsi="Arial"/>
          <w:b/>
          <w:bCs/>
          <w:color w:val="1B2A4A"/>
          <w:sz w:val="21"/>
          <w:szCs w:val="21"/>
        </w:rPr>
        <w:t xml:space="preserve">Microsoft Teams: </w:t>
      </w:r>
      <w:r>
        <w:rPr>
          <w:rFonts w:ascii="Arial" w:cs="Arial" w:eastAsia="Arial" w:hAnsi="Arial"/>
          <w:color w:val="333333"/>
          <w:sz w:val="21"/>
          <w:szCs w:val="21"/>
        </w:rPr>
        <w:t xml:space="preserve">Incoming webhook integration. Similar to Slack but using Adaptive Cards format.</w:t>
      </w:r>
    </w:p>
    <w:p>
      <w:pPr>
        <w:pStyle w:val="ListParagraph"/>
        <w:numPr>
          <w:ilvl w:val="0"/>
          <w:numId w:val="2"/>
        </w:numPr>
        <w:spacing w:after="80" w:line="280"/>
      </w:pPr>
      <w:r>
        <w:rPr>
          <w:rFonts w:ascii="Arial" w:cs="Arial" w:eastAsia="Arial" w:hAnsi="Arial"/>
          <w:b/>
          <w:bCs/>
          <w:color w:val="1B2A4A"/>
          <w:sz w:val="21"/>
          <w:szCs w:val="21"/>
        </w:rPr>
        <w:t xml:space="preserve">In-Dashboard: </w:t>
      </w:r>
      <w:r>
        <w:rPr>
          <w:rFonts w:ascii="Arial" w:cs="Arial" w:eastAsia="Arial" w:hAnsi="Arial"/>
          <w:color w:val="333333"/>
          <w:sz w:val="21"/>
          <w:szCs w:val="21"/>
        </w:rPr>
        <w:t xml:space="preserve">A notification bell in the top nav with an unread count. Clicking opens a notification panel with recent events, each linking to the relevant dashboard page.</w:t>
      </w:r>
    </w:p>
    <w:p>
      <w:pPr>
        <w:pStyle w:val="Heading2"/>
        <w:spacing w:after="160" w:before="360"/>
      </w:pPr>
      <w:r>
        <w:rPr>
          <w:rFonts w:ascii="Arial" w:cs="Arial" w:eastAsia="Arial" w:hAnsi="Arial"/>
          <w:b/>
          <w:bCs/>
          <w:color w:val="2E75B6"/>
          <w:sz w:val="28"/>
          <w:szCs w:val="28"/>
        </w:rPr>
        <w:t xml:space="preserve">8.3 Third-Party Observability Integrations</w:t>
      </w:r>
    </w:p>
    <w:p>
      <w:pPr>
        <w:pStyle w:val="ListParagraph"/>
        <w:numPr>
          <w:ilvl w:val="0"/>
          <w:numId w:val="2"/>
        </w:numPr>
        <w:spacing w:after="80" w:line="280"/>
      </w:pPr>
      <w:r>
        <w:rPr>
          <w:rFonts w:ascii="Arial" w:cs="Arial" w:eastAsia="Arial" w:hAnsi="Arial"/>
          <w:b/>
          <w:bCs/>
          <w:color w:val="1B2A4A"/>
          <w:sz w:val="21"/>
          <w:szCs w:val="21"/>
        </w:rPr>
        <w:t xml:space="preserve">Datadog: </w:t>
      </w:r>
      <w:r>
        <w:rPr>
          <w:rFonts w:ascii="Arial" w:cs="Arial" w:eastAsia="Arial" w:hAnsi="Arial"/>
          <w:color w:val="333333"/>
          <w:sz w:val="21"/>
          <w:szCs w:val="21"/>
        </w:rPr>
        <w:t xml:space="preserve">Push metrics (request count, token count, latency, error rate) as custom metrics. Support APM trace correlation — include a dd-trace-id in response headers.</w:t>
      </w:r>
    </w:p>
    <w:p>
      <w:pPr>
        <w:pStyle w:val="ListParagraph"/>
        <w:numPr>
          <w:ilvl w:val="0"/>
          <w:numId w:val="2"/>
        </w:numPr>
        <w:spacing w:after="80" w:line="280"/>
      </w:pPr>
      <w:r>
        <w:rPr>
          <w:rFonts w:ascii="Arial" w:cs="Arial" w:eastAsia="Arial" w:hAnsi="Arial"/>
          <w:b/>
          <w:bCs/>
          <w:color w:val="1B2A4A"/>
          <w:sz w:val="21"/>
          <w:szCs w:val="21"/>
        </w:rPr>
        <w:t xml:space="preserve">Grafana / Prometheus: </w:t>
      </w:r>
      <w:r>
        <w:rPr>
          <w:rFonts w:ascii="Arial" w:cs="Arial" w:eastAsia="Arial" w:hAnsi="Arial"/>
          <w:color w:val="333333"/>
          <w:sz w:val="21"/>
          <w:szCs w:val="21"/>
        </w:rPr>
        <w:t xml:space="preserve">Expose a /metrics endpoint in Prometheus format for self-hosted monitoring. Include all key metrics with model, key, and status labels.</w:t>
      </w:r>
    </w:p>
    <w:p>
      <w:pPr>
        <w:pStyle w:val="ListParagraph"/>
        <w:numPr>
          <w:ilvl w:val="0"/>
          <w:numId w:val="2"/>
        </w:numPr>
        <w:spacing w:after="80" w:line="280"/>
      </w:pPr>
      <w:r>
        <w:rPr>
          <w:rFonts w:ascii="Arial" w:cs="Arial" w:eastAsia="Arial" w:hAnsi="Arial"/>
          <w:b/>
          <w:bCs/>
          <w:color w:val="1B2A4A"/>
          <w:sz w:val="21"/>
          <w:szCs w:val="21"/>
        </w:rPr>
        <w:t xml:space="preserve">OpenTelemetry: </w:t>
      </w:r>
      <w:r>
        <w:rPr>
          <w:rFonts w:ascii="Arial" w:cs="Arial" w:eastAsia="Arial" w:hAnsi="Arial"/>
          <w:color w:val="333333"/>
          <w:sz w:val="21"/>
          <w:szCs w:val="21"/>
        </w:rPr>
        <w:t xml:space="preserve">Emit OTLP-compatible traces and metrics. This is the future-proof standard.</w:t>
      </w:r>
    </w:p>
    <w:p>
      <w:pPr>
        <w:pStyle w:val="ListParagraph"/>
        <w:numPr>
          <w:ilvl w:val="0"/>
          <w:numId w:val="2"/>
        </w:numPr>
        <w:spacing w:after="80" w:line="280"/>
      </w:pPr>
      <w:r>
        <w:rPr>
          <w:rFonts w:ascii="Arial" w:cs="Arial" w:eastAsia="Arial" w:hAnsi="Arial"/>
          <w:b/>
          <w:bCs/>
          <w:color w:val="1B2A4A"/>
          <w:sz w:val="21"/>
          <w:szCs w:val="21"/>
        </w:rPr>
        <w:t xml:space="preserve">Langfuse / Helicone: </w:t>
      </w:r>
      <w:r>
        <w:rPr>
          <w:rFonts w:ascii="Arial" w:cs="Arial" w:eastAsia="Arial" w:hAnsi="Arial"/>
          <w:color w:val="333333"/>
          <w:sz w:val="21"/>
          <w:szCs w:val="21"/>
        </w:rPr>
        <w:t xml:space="preserve">LLM-specific observability platforms. Provide native integration or proxy compatibility so users can route requests through these tools.</w:t>
      </w:r>
    </w:p>
    <w:p>
      <w:r>
        <w:br w:type="page"/>
      </w:r>
    </w:p>
    <w:p>
      <w:pPr>
        <w:pStyle w:val="Heading1"/>
        <w:spacing w:after="200" w:before="480"/>
      </w:pPr>
      <w:r>
        <w:rPr>
          <w:rFonts w:ascii="Arial" w:cs="Arial" w:eastAsia="Arial" w:hAnsi="Arial"/>
          <w:b/>
          <w:bCs/>
          <w:color w:val="1B2A4A"/>
          <w:sz w:val="36"/>
          <w:szCs w:val="36"/>
        </w:rPr>
        <w:t xml:space="preserve">9. Fine-Tuning Management</w:t>
      </w:r>
    </w:p>
    <w:p>
      <w:pPr>
        <w:spacing w:after="160" w:line="300"/>
      </w:pPr>
      <w:r>
        <w:rPr>
          <w:rFonts w:ascii="Arial" w:cs="Arial" w:eastAsia="Arial" w:hAnsi="Arial"/>
          <w:color w:val="333333"/>
          <w:sz w:val="21"/>
          <w:szCs w:val="21"/>
        </w:rPr>
        <w:t xml:space="preserve">Fine-tuning is a high-value feature that differentiates your platform and creates deep customer lock-in. The management interface must make a complex ML workflow feel simple.</w:t>
      </w:r>
    </w:p>
    <w:p>
      <w:pPr>
        <w:pStyle w:val="Heading2"/>
        <w:spacing w:after="160" w:before="360"/>
      </w:pPr>
      <w:r>
        <w:rPr>
          <w:rFonts w:ascii="Arial" w:cs="Arial" w:eastAsia="Arial" w:hAnsi="Arial"/>
          <w:b/>
          <w:bCs/>
          <w:color w:val="2E75B6"/>
          <w:sz w:val="28"/>
          <w:szCs w:val="28"/>
        </w:rPr>
        <w:t xml:space="preserve">9.1 Dataset Management</w:t>
      </w:r>
    </w:p>
    <w:p>
      <w:pPr>
        <w:pStyle w:val="ListParagraph"/>
        <w:numPr>
          <w:ilvl w:val="0"/>
          <w:numId w:val="2"/>
        </w:numPr>
        <w:spacing w:after="80" w:line="280"/>
      </w:pPr>
      <w:r>
        <w:rPr>
          <w:rFonts w:ascii="Arial" w:cs="Arial" w:eastAsia="Arial" w:hAnsi="Arial"/>
          <w:b/>
          <w:bCs/>
          <w:color w:val="1B2A4A"/>
          <w:sz w:val="21"/>
          <w:szCs w:val="21"/>
        </w:rPr>
        <w:t xml:space="preserve">Upload: </w:t>
      </w:r>
      <w:r>
        <w:rPr>
          <w:rFonts w:ascii="Arial" w:cs="Arial" w:eastAsia="Arial" w:hAnsi="Arial"/>
          <w:color w:val="333333"/>
          <w:sz w:val="21"/>
          <w:szCs w:val="21"/>
        </w:rPr>
        <w:t xml:space="preserve">Accept JSONL files with conversation format (messages array with role/content). Also support CSV and Parquet with automatic conversion. Drag-and-drop upload with progress bar.</w:t>
      </w:r>
    </w:p>
    <w:p>
      <w:pPr>
        <w:pStyle w:val="ListParagraph"/>
        <w:numPr>
          <w:ilvl w:val="0"/>
          <w:numId w:val="2"/>
        </w:numPr>
        <w:spacing w:after="80" w:line="280"/>
      </w:pPr>
      <w:r>
        <w:rPr>
          <w:rFonts w:ascii="Arial" w:cs="Arial" w:eastAsia="Arial" w:hAnsi="Arial"/>
          <w:b/>
          <w:bCs/>
          <w:color w:val="1B2A4A"/>
          <w:sz w:val="21"/>
          <w:szCs w:val="21"/>
        </w:rPr>
        <w:t xml:space="preserve">Validation: </w:t>
      </w:r>
      <w:r>
        <w:rPr>
          <w:rFonts w:ascii="Arial" w:cs="Arial" w:eastAsia="Arial" w:hAnsi="Arial"/>
          <w:color w:val="333333"/>
          <w:sz w:val="21"/>
          <w:szCs w:val="21"/>
        </w:rPr>
        <w:t xml:space="preserve">On upload, immediately validate: correct format, required fields present, no empty messages, token counts within model limits. Show a validation report with errors and warnings.</w:t>
      </w:r>
    </w:p>
    <w:p>
      <w:pPr>
        <w:pStyle w:val="ListParagraph"/>
        <w:numPr>
          <w:ilvl w:val="0"/>
          <w:numId w:val="2"/>
        </w:numPr>
        <w:spacing w:after="80" w:line="280"/>
      </w:pPr>
      <w:r>
        <w:rPr>
          <w:rFonts w:ascii="Arial" w:cs="Arial" w:eastAsia="Arial" w:hAnsi="Arial"/>
          <w:b/>
          <w:bCs/>
          <w:color w:val="1B2A4A"/>
          <w:sz w:val="21"/>
          <w:szCs w:val="21"/>
        </w:rPr>
        <w:t xml:space="preserve">Preview: </w:t>
      </w:r>
      <w:r>
        <w:rPr>
          <w:rFonts w:ascii="Arial" w:cs="Arial" w:eastAsia="Arial" w:hAnsi="Arial"/>
          <w:color w:val="333333"/>
          <w:sz w:val="21"/>
          <w:szCs w:val="21"/>
        </w:rPr>
        <w:t xml:space="preserve">Browse the dataset in a paginated table. Show each conversation with token count. Highlight any rows with warnings.</w:t>
      </w:r>
    </w:p>
    <w:p>
      <w:pPr>
        <w:pStyle w:val="ListParagraph"/>
        <w:numPr>
          <w:ilvl w:val="0"/>
          <w:numId w:val="2"/>
        </w:numPr>
        <w:spacing w:after="80" w:line="280"/>
      </w:pPr>
      <w:r>
        <w:rPr>
          <w:rFonts w:ascii="Arial" w:cs="Arial" w:eastAsia="Arial" w:hAnsi="Arial"/>
          <w:b/>
          <w:bCs/>
          <w:color w:val="1B2A4A"/>
          <w:sz w:val="21"/>
          <w:szCs w:val="21"/>
        </w:rPr>
        <w:t xml:space="preserve">Statistics: </w:t>
      </w:r>
      <w:r>
        <w:rPr>
          <w:rFonts w:ascii="Arial" w:cs="Arial" w:eastAsia="Arial" w:hAnsi="Arial"/>
          <w:color w:val="333333"/>
          <w:sz w:val="21"/>
          <w:szCs w:val="21"/>
        </w:rPr>
        <w:t xml:space="preserve">Total conversations, total tokens, average conversation length, token distribution histogram, most common topics (via lightweight clustering).</w:t>
      </w:r>
    </w:p>
    <w:p>
      <w:pPr>
        <w:pStyle w:val="ListParagraph"/>
        <w:numPr>
          <w:ilvl w:val="0"/>
          <w:numId w:val="2"/>
        </w:numPr>
        <w:spacing w:after="80" w:line="280"/>
      </w:pPr>
      <w:r>
        <w:rPr>
          <w:rFonts w:ascii="Arial" w:cs="Arial" w:eastAsia="Arial" w:hAnsi="Arial"/>
          <w:b/>
          <w:bCs/>
          <w:color w:val="1B2A4A"/>
          <w:sz w:val="21"/>
          <w:szCs w:val="21"/>
        </w:rPr>
        <w:t xml:space="preserve">Versioning: </w:t>
      </w:r>
      <w:r>
        <w:rPr>
          <w:rFonts w:ascii="Arial" w:cs="Arial" w:eastAsia="Arial" w:hAnsi="Arial"/>
          <w:color w:val="333333"/>
          <w:sz w:val="21"/>
          <w:szCs w:val="21"/>
        </w:rPr>
        <w:t xml:space="preserve">Every uploaded dataset gets a version number. Users can upload improved versions without losing the originals. Training jobs reference specific dataset versions.</w:t>
      </w:r>
    </w:p>
    <w:p>
      <w:pPr>
        <w:pStyle w:val="Heading2"/>
        <w:spacing w:after="160" w:before="360"/>
      </w:pPr>
      <w:r>
        <w:rPr>
          <w:rFonts w:ascii="Arial" w:cs="Arial" w:eastAsia="Arial" w:hAnsi="Arial"/>
          <w:b/>
          <w:bCs/>
          <w:color w:val="2E75B6"/>
          <w:sz w:val="28"/>
          <w:szCs w:val="28"/>
        </w:rPr>
        <w:t xml:space="preserve">9.2 Training Job Configuration</w:t>
      </w:r>
    </w:p>
    <w:p>
      <w:pPr>
        <w:spacing w:after="120" w:before="240"/>
      </w:pPr>
      <w:r>
        <w:rPr>
          <w:rFonts w:ascii="Arial" w:cs="Arial" w:eastAsia="Arial" w:hAnsi="Arial"/>
          <w:b/>
          <w:bCs/>
          <w:color w:val="1B2A4A"/>
          <w:sz w:val="24"/>
          <w:szCs w:val="24"/>
        </w:rPr>
        <w:t xml:space="preserve">Base Model Selection</w:t>
      </w:r>
    </w:p>
    <w:p>
      <w:pPr>
        <w:spacing w:after="160" w:line="300"/>
      </w:pPr>
      <w:r>
        <w:rPr>
          <w:rFonts w:ascii="Arial" w:cs="Arial" w:eastAsia="Arial" w:hAnsi="Arial"/>
          <w:color w:val="333333"/>
          <w:sz w:val="21"/>
          <w:szCs w:val="21"/>
        </w:rPr>
        <w:t xml:space="preserve">Show which models support fine-tuning (not all will). Display the base model’s capabilities, recommended dataset size, and estimated training cost.</w:t>
      </w:r>
    </w:p>
    <w:p>
      <w:pPr>
        <w:spacing w:after="120" w:before="240"/>
      </w:pPr>
      <w:r>
        <w:rPr>
          <w:rFonts w:ascii="Arial" w:cs="Arial" w:eastAsia="Arial" w:hAnsi="Arial"/>
          <w:b/>
          <w:bCs/>
          <w:color w:val="1B2A4A"/>
          <w:sz w:val="24"/>
          <w:szCs w:val="24"/>
        </w:rPr>
        <w:t xml:space="preserve">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33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Guidance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Epochs</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1–10</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More epochs = better fit but risk overfitting. Start with 3.</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Learning Rate</w:t>
            </w:r>
          </w:p>
        </w:tc>
        <w:tc>
          <w:tcPr>
            <w:tcW w:type="dxa" w:w="1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2e-5</w:t>
            </w:r>
          </w:p>
        </w:tc>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1e-6 – 1e-3</w:t>
            </w:r>
          </w:p>
        </w:tc>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Lower = slower but more stable. Higher = faster convergence.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LoRA Rank</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16</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4–64</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Higher = more capacity but more expensive. 16 works for most tasks.</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Batch Size</w:t>
            </w:r>
          </w:p>
        </w:tc>
        <w:tc>
          <w:tcPr>
            <w:tcW w:type="dxa" w:w="1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1–32</w:t>
            </w:r>
          </w:p>
        </w:tc>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Auto-selected based on GPU memory and model size.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Warmup Ratio</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0.1</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0–0.5</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Fraction of training steps for learning rate warmup.</w:t>
            </w:r>
          </w:p>
        </w:tc>
      </w:tr>
    </w:tbl>
    <w:p>
      <w:pPr>
        <w:spacing w:after="100"/>
      </w:pPr>
    </w:p>
    <w:p>
      <w:pPr>
        <w:spacing w:after="120" w:before="240"/>
      </w:pPr>
      <w:r>
        <w:rPr>
          <w:rFonts w:ascii="Arial" w:cs="Arial" w:eastAsia="Arial" w:hAnsi="Arial"/>
          <w:b/>
          <w:bCs/>
          <w:color w:val="1B2A4A"/>
          <w:sz w:val="24"/>
          <w:szCs w:val="24"/>
        </w:rPr>
        <w:t xml:space="preserve">Cost Estimation</w:t>
      </w:r>
    </w:p>
    <w:p>
      <w:pPr>
        <w:spacing w:after="160" w:line="300"/>
      </w:pPr>
      <w:r>
        <w:rPr>
          <w:rFonts w:ascii="Arial" w:cs="Arial" w:eastAsia="Arial" w:hAnsi="Arial"/>
          <w:color w:val="333333"/>
          <w:sz w:val="21"/>
          <w:szCs w:val="21"/>
        </w:rPr>
        <w:t xml:space="preserve">Before starting training, show an estimated cost based on: dataset size (tokens), number of epochs, base model size, and GPU type. Show a range (min–max) and expected training time.</w:t>
      </w:r>
    </w:p>
    <w:p>
      <w:pPr>
        <w:pStyle w:val="Heading2"/>
        <w:spacing w:after="160" w:before="360"/>
      </w:pPr>
      <w:r>
        <w:rPr>
          <w:rFonts w:ascii="Arial" w:cs="Arial" w:eastAsia="Arial" w:hAnsi="Arial"/>
          <w:b/>
          <w:bCs/>
          <w:color w:val="2E75B6"/>
          <w:sz w:val="28"/>
          <w:szCs w:val="28"/>
        </w:rPr>
        <w:t xml:space="preserve">9.3 Training Monitoring</w:t>
      </w:r>
    </w:p>
    <w:p>
      <w:pPr>
        <w:pStyle w:val="ListParagraph"/>
        <w:numPr>
          <w:ilvl w:val="0"/>
          <w:numId w:val="2"/>
        </w:numPr>
        <w:spacing w:after="80" w:line="280"/>
      </w:pPr>
      <w:r>
        <w:rPr>
          <w:rFonts w:ascii="Arial" w:cs="Arial" w:eastAsia="Arial" w:hAnsi="Arial"/>
          <w:b/>
          <w:bCs/>
          <w:color w:val="1B2A4A"/>
          <w:sz w:val="21"/>
          <w:szCs w:val="21"/>
        </w:rPr>
        <w:t xml:space="preserve">Real-Time Loss Curve: </w:t>
      </w:r>
      <w:r>
        <w:rPr>
          <w:rFonts w:ascii="Arial" w:cs="Arial" w:eastAsia="Arial" w:hAnsi="Arial"/>
          <w:color w:val="333333"/>
          <w:sz w:val="21"/>
          <w:szCs w:val="21"/>
        </w:rPr>
        <w:t xml:space="preserve">Live-updating chart showing training loss and validation loss per step. This is the single most important visualization during training.</w:t>
      </w:r>
    </w:p>
    <w:p>
      <w:pPr>
        <w:pStyle w:val="ListParagraph"/>
        <w:numPr>
          <w:ilvl w:val="0"/>
          <w:numId w:val="2"/>
        </w:numPr>
        <w:spacing w:after="80" w:line="280"/>
      </w:pPr>
      <w:r>
        <w:rPr>
          <w:rFonts w:ascii="Arial" w:cs="Arial" w:eastAsia="Arial" w:hAnsi="Arial"/>
          <w:b/>
          <w:bCs/>
          <w:color w:val="1B2A4A"/>
          <w:sz w:val="21"/>
          <w:szCs w:val="21"/>
        </w:rPr>
        <w:t xml:space="preserve">Evaluation Metrics: </w:t>
      </w:r>
      <w:r>
        <w:rPr>
          <w:rFonts w:ascii="Arial" w:cs="Arial" w:eastAsia="Arial" w:hAnsi="Arial"/>
          <w:color w:val="333333"/>
          <w:sz w:val="21"/>
          <w:szCs w:val="21"/>
        </w:rPr>
        <w:t xml:space="preserve">If a validation set is provided, show eval loss, perplexity, and any custom metrics at each evaluation checkpoint.</w:t>
      </w:r>
    </w:p>
    <w:p>
      <w:pPr>
        <w:pStyle w:val="ListParagraph"/>
        <w:numPr>
          <w:ilvl w:val="0"/>
          <w:numId w:val="2"/>
        </w:numPr>
        <w:spacing w:after="80" w:line="280"/>
      </w:pPr>
      <w:r>
        <w:rPr>
          <w:rFonts w:ascii="Arial" w:cs="Arial" w:eastAsia="Arial" w:hAnsi="Arial"/>
          <w:b/>
          <w:bCs/>
          <w:color w:val="1B2A4A"/>
          <w:sz w:val="21"/>
          <w:szCs w:val="21"/>
        </w:rPr>
        <w:t xml:space="preserve">Progress Bar: </w:t>
      </w:r>
      <w:r>
        <w:rPr>
          <w:rFonts w:ascii="Arial" w:cs="Arial" w:eastAsia="Arial" w:hAnsi="Arial"/>
          <w:color w:val="333333"/>
          <w:sz w:val="21"/>
          <w:szCs w:val="21"/>
        </w:rPr>
        <w:t xml:space="preserve">Percentage complete with estimated time remaining. Show current step / total steps.</w:t>
      </w:r>
    </w:p>
    <w:p>
      <w:pPr>
        <w:pStyle w:val="ListParagraph"/>
        <w:numPr>
          <w:ilvl w:val="0"/>
          <w:numId w:val="2"/>
        </w:numPr>
        <w:spacing w:after="80" w:line="280"/>
      </w:pPr>
      <w:r>
        <w:rPr>
          <w:rFonts w:ascii="Arial" w:cs="Arial" w:eastAsia="Arial" w:hAnsi="Arial"/>
          <w:b/>
          <w:bCs/>
          <w:color w:val="1B2A4A"/>
          <w:sz w:val="21"/>
          <w:szCs w:val="21"/>
        </w:rPr>
        <w:t xml:space="preserve">Job Status: </w:t>
      </w:r>
      <w:r>
        <w:rPr>
          <w:rFonts w:ascii="Arial" w:cs="Arial" w:eastAsia="Arial" w:hAnsi="Arial"/>
          <w:color w:val="333333"/>
          <w:sz w:val="21"/>
          <w:szCs w:val="21"/>
        </w:rPr>
        <w:t xml:space="preserve">Queued → Preparing → Training → Evaluating → Completed (or Failed). Each status has a timestamp.</w:t>
      </w:r>
    </w:p>
    <w:p>
      <w:pPr>
        <w:pStyle w:val="ListParagraph"/>
        <w:numPr>
          <w:ilvl w:val="0"/>
          <w:numId w:val="2"/>
        </w:numPr>
        <w:spacing w:after="80" w:line="280"/>
      </w:pPr>
      <w:r>
        <w:rPr>
          <w:rFonts w:ascii="Arial" w:cs="Arial" w:eastAsia="Arial" w:hAnsi="Arial"/>
          <w:b/>
          <w:bCs/>
          <w:color w:val="1B2A4A"/>
          <w:sz w:val="21"/>
          <w:szCs w:val="21"/>
        </w:rPr>
        <w:t xml:space="preserve">Failure Handling: </w:t>
      </w:r>
      <w:r>
        <w:rPr>
          <w:rFonts w:ascii="Arial" w:cs="Arial" w:eastAsia="Arial" w:hAnsi="Arial"/>
          <w:color w:val="333333"/>
          <w:sz w:val="21"/>
          <w:szCs w:val="21"/>
        </w:rPr>
        <w:t xml:space="preserve">On failure, show the error message with a clear explanation. Common failures: OOM (suggest reducing batch size), bad data format (link to the offending rows), and quota exceeded (link to billing).</w:t>
      </w:r>
    </w:p>
    <w:p>
      <w:pPr>
        <w:pStyle w:val="Heading2"/>
        <w:spacing w:after="160" w:before="360"/>
      </w:pPr>
      <w:r>
        <w:rPr>
          <w:rFonts w:ascii="Arial" w:cs="Arial" w:eastAsia="Arial" w:hAnsi="Arial"/>
          <w:b/>
          <w:bCs/>
          <w:color w:val="2E75B6"/>
          <w:sz w:val="28"/>
          <w:szCs w:val="28"/>
        </w:rPr>
        <w:t xml:space="preserve">9.4 Model Deployment &amp; Versioning</w:t>
      </w:r>
    </w:p>
    <w:p>
      <w:pPr>
        <w:pStyle w:val="ListParagraph"/>
        <w:numPr>
          <w:ilvl w:val="0"/>
          <w:numId w:val="2"/>
        </w:numPr>
        <w:spacing w:after="80" w:line="280"/>
      </w:pPr>
      <w:r>
        <w:rPr>
          <w:rFonts w:ascii="Arial" w:cs="Arial" w:eastAsia="Arial" w:hAnsi="Arial"/>
          <w:b/>
          <w:bCs/>
          <w:color w:val="1B2A4A"/>
          <w:sz w:val="21"/>
          <w:szCs w:val="21"/>
        </w:rPr>
        <w:t xml:space="preserve">Model ID: </w:t>
      </w:r>
      <w:r>
        <w:rPr>
          <w:rFonts w:ascii="Arial" w:cs="Arial" w:eastAsia="Arial" w:hAnsi="Arial"/>
          <w:color w:val="333333"/>
          <w:sz w:val="21"/>
          <w:szCs w:val="21"/>
        </w:rPr>
        <w:t xml:space="preserve">Each fine-tuned model gets a unique ID (e.g., ft:llama-3.1-70b:acme-corp:customer-support:v3). Callable via the same /v1/chat/completions endpoint.</w:t>
      </w:r>
    </w:p>
    <w:p>
      <w:pPr>
        <w:pStyle w:val="ListParagraph"/>
        <w:numPr>
          <w:ilvl w:val="0"/>
          <w:numId w:val="2"/>
        </w:numPr>
        <w:spacing w:after="80" w:line="280"/>
      </w:pPr>
      <w:r>
        <w:rPr>
          <w:rFonts w:ascii="Arial" w:cs="Arial" w:eastAsia="Arial" w:hAnsi="Arial"/>
          <w:b/>
          <w:bCs/>
          <w:color w:val="1B2A4A"/>
          <w:sz w:val="21"/>
          <w:szCs w:val="21"/>
        </w:rPr>
        <w:t xml:space="preserve">Version History: </w:t>
      </w:r>
      <w:r>
        <w:rPr>
          <w:rFonts w:ascii="Arial" w:cs="Arial" w:eastAsia="Arial" w:hAnsi="Arial"/>
          <w:color w:val="333333"/>
          <w:sz w:val="21"/>
          <w:szCs w:val="21"/>
        </w:rPr>
        <w:t xml:space="preserve">List all fine-tuned versions with training date, dataset version, metrics, and status (active/inactive).</w:t>
      </w:r>
    </w:p>
    <w:p>
      <w:pPr>
        <w:pStyle w:val="ListParagraph"/>
        <w:numPr>
          <w:ilvl w:val="0"/>
          <w:numId w:val="2"/>
        </w:numPr>
        <w:spacing w:after="80" w:line="280"/>
      </w:pPr>
      <w:r>
        <w:rPr>
          <w:rFonts w:ascii="Arial" w:cs="Arial" w:eastAsia="Arial" w:hAnsi="Arial"/>
          <w:b/>
          <w:bCs/>
          <w:color w:val="1B2A4A"/>
          <w:sz w:val="21"/>
          <w:szCs w:val="21"/>
        </w:rPr>
        <w:t xml:space="preserve">A/B Testing: </w:t>
      </w:r>
      <w:r>
        <w:rPr>
          <w:rFonts w:ascii="Arial" w:cs="Arial" w:eastAsia="Arial" w:hAnsi="Arial"/>
          <w:color w:val="333333"/>
          <w:sz w:val="21"/>
          <w:szCs w:val="21"/>
        </w:rPr>
        <w:t xml:space="preserve">Route a percentage of traffic to different fine-tuned versions. Compare quality metrics side by side.</w:t>
      </w:r>
    </w:p>
    <w:p>
      <w:pPr>
        <w:pStyle w:val="ListParagraph"/>
        <w:numPr>
          <w:ilvl w:val="0"/>
          <w:numId w:val="2"/>
        </w:numPr>
        <w:spacing w:after="80" w:line="280"/>
      </w:pPr>
      <w:r>
        <w:rPr>
          <w:rFonts w:ascii="Arial" w:cs="Arial" w:eastAsia="Arial" w:hAnsi="Arial"/>
          <w:b/>
          <w:bCs/>
          <w:color w:val="1B2A4A"/>
          <w:sz w:val="21"/>
          <w:szCs w:val="21"/>
        </w:rPr>
        <w:t xml:space="preserve">Deployment Controls: </w:t>
      </w:r>
      <w:r>
        <w:rPr>
          <w:rFonts w:ascii="Arial" w:cs="Arial" w:eastAsia="Arial" w:hAnsi="Arial"/>
          <w:color w:val="333333"/>
          <w:sz w:val="21"/>
          <w:szCs w:val="21"/>
        </w:rPr>
        <w:t xml:space="preserve">Activate/deactivate versions. Set one as the default for a given model alias. Roll back to a previous version with one click.</w:t>
      </w:r>
    </w:p>
    <w:p>
      <w:r>
        <w:br w:type="page"/>
      </w:r>
    </w:p>
    <w:p>
      <w:pPr>
        <w:pStyle w:val="Heading1"/>
        <w:spacing w:after="200" w:before="480"/>
      </w:pPr>
      <w:r>
        <w:rPr>
          <w:rFonts w:ascii="Arial" w:cs="Arial" w:eastAsia="Arial" w:hAnsi="Arial"/>
          <w:b/>
          <w:bCs/>
          <w:color w:val="1B2A4A"/>
          <w:sz w:val="36"/>
          <w:szCs w:val="36"/>
        </w:rPr>
        <w:t xml:space="preserve">10. Team Collaboration &amp; Audit</w:t>
      </w:r>
    </w:p>
    <w:p>
      <w:pPr>
        <w:pStyle w:val="Heading2"/>
        <w:spacing w:after="160" w:before="360"/>
      </w:pPr>
      <w:r>
        <w:rPr>
          <w:rFonts w:ascii="Arial" w:cs="Arial" w:eastAsia="Arial" w:hAnsi="Arial"/>
          <w:b/>
          <w:bCs/>
          <w:color w:val="2E75B6"/>
          <w:sz w:val="28"/>
          <w:szCs w:val="28"/>
        </w:rPr>
        <w:t xml:space="preserve">10.1 Shared Resources</w:t>
      </w:r>
    </w:p>
    <w:p>
      <w:pPr>
        <w:pStyle w:val="ListParagraph"/>
        <w:numPr>
          <w:ilvl w:val="0"/>
          <w:numId w:val="2"/>
        </w:numPr>
        <w:spacing w:after="80" w:line="280"/>
      </w:pPr>
      <w:r>
        <w:rPr>
          <w:rFonts w:ascii="Arial" w:cs="Arial" w:eastAsia="Arial" w:hAnsi="Arial"/>
          <w:b/>
          <w:bCs/>
          <w:color w:val="1B2A4A"/>
          <w:sz w:val="21"/>
          <w:szCs w:val="21"/>
        </w:rPr>
        <w:t xml:space="preserve">Shared Prompt Library: </w:t>
      </w:r>
      <w:r>
        <w:rPr>
          <w:rFonts w:ascii="Arial" w:cs="Arial" w:eastAsia="Arial" w:hAnsi="Arial"/>
          <w:color w:val="333333"/>
          <w:sz w:val="21"/>
          <w:szCs w:val="21"/>
        </w:rPr>
        <w:t xml:space="preserve">Org-wide library of saved prompts. Tag, categorize, and search. Version control for prompts (so teams can iterate without losing previous versions).</w:t>
      </w:r>
    </w:p>
    <w:p>
      <w:pPr>
        <w:pStyle w:val="ListParagraph"/>
        <w:numPr>
          <w:ilvl w:val="0"/>
          <w:numId w:val="2"/>
        </w:numPr>
        <w:spacing w:after="80" w:line="280"/>
      </w:pPr>
      <w:r>
        <w:rPr>
          <w:rFonts w:ascii="Arial" w:cs="Arial" w:eastAsia="Arial" w:hAnsi="Arial"/>
          <w:b/>
          <w:bCs/>
          <w:color w:val="1B2A4A"/>
          <w:sz w:val="21"/>
          <w:szCs w:val="21"/>
        </w:rPr>
        <w:t xml:space="preserve">Shared Playground Sessions: </w:t>
      </w:r>
      <w:r>
        <w:rPr>
          <w:rFonts w:ascii="Arial" w:cs="Arial" w:eastAsia="Arial" w:hAnsi="Arial"/>
          <w:color w:val="333333"/>
          <w:sz w:val="21"/>
          <w:szCs w:val="21"/>
        </w:rPr>
        <w:t xml:space="preserve">Save and share playground experiments within the team. Comments and annotations on sessions.</w:t>
      </w:r>
    </w:p>
    <w:p>
      <w:pPr>
        <w:pStyle w:val="ListParagraph"/>
        <w:numPr>
          <w:ilvl w:val="0"/>
          <w:numId w:val="2"/>
        </w:numPr>
        <w:spacing w:after="80" w:line="280"/>
      </w:pPr>
      <w:r>
        <w:rPr>
          <w:rFonts w:ascii="Arial" w:cs="Arial" w:eastAsia="Arial" w:hAnsi="Arial"/>
          <w:b/>
          <w:bCs/>
          <w:color w:val="1B2A4A"/>
          <w:sz w:val="21"/>
          <w:szCs w:val="21"/>
        </w:rPr>
        <w:t xml:space="preserve">Team Dashboards: </w:t>
      </w:r>
      <w:r>
        <w:rPr>
          <w:rFonts w:ascii="Arial" w:cs="Arial" w:eastAsia="Arial" w:hAnsi="Arial"/>
          <w:color w:val="333333"/>
          <w:sz w:val="21"/>
          <w:szCs w:val="21"/>
        </w:rPr>
        <w:t xml:space="preserve">Aggregate usage across all members. Filter by team member to see who is using what.</w:t>
      </w:r>
    </w:p>
    <w:p>
      <w:pPr>
        <w:pStyle w:val="Heading2"/>
        <w:spacing w:after="160" w:before="360"/>
      </w:pPr>
      <w:r>
        <w:rPr>
          <w:rFonts w:ascii="Arial" w:cs="Arial" w:eastAsia="Arial" w:hAnsi="Arial"/>
          <w:b/>
          <w:bCs/>
          <w:color w:val="2E75B6"/>
          <w:sz w:val="28"/>
          <w:szCs w:val="28"/>
        </w:rPr>
        <w:t xml:space="preserve">10.2 Audit Log</w:t>
      </w:r>
    </w:p>
    <w:p>
      <w:pPr>
        <w:spacing w:after="160" w:line="300"/>
      </w:pPr>
      <w:r>
        <w:rPr>
          <w:rFonts w:ascii="Arial" w:cs="Arial" w:eastAsia="Arial" w:hAnsi="Arial"/>
          <w:color w:val="333333"/>
          <w:sz w:val="21"/>
          <w:szCs w:val="21"/>
        </w:rPr>
        <w:t xml:space="preserve">Every administrative action on the platform must be logged. This is a hard requirement for SOC 2, HIPAA, and enterprise procurement.</w:t>
      </w:r>
    </w:p>
    <w:p>
      <w:pPr>
        <w:spacing w:after="120" w:before="240"/>
      </w:pPr>
      <w:r>
        <w:rPr>
          <w:rFonts w:ascii="Arial" w:cs="Arial" w:eastAsia="Arial" w:hAnsi="Arial"/>
          <w:b/>
          <w:bCs/>
          <w:color w:val="1B2A4A"/>
          <w:sz w:val="24"/>
          <w:szCs w:val="24"/>
        </w:rPr>
        <w:t xml:space="preserve">Events to Log</w:t>
      </w:r>
    </w:p>
    <w:p>
      <w:pPr>
        <w:pStyle w:val="ListParagraph"/>
        <w:numPr>
          <w:ilvl w:val="0"/>
          <w:numId w:val="2"/>
        </w:numPr>
        <w:spacing w:after="80" w:line="280"/>
      </w:pPr>
      <w:r>
        <w:rPr>
          <w:rFonts w:ascii="Arial" w:cs="Arial" w:eastAsia="Arial" w:hAnsi="Arial"/>
          <w:b/>
          <w:bCs/>
          <w:color w:val="1B2A4A"/>
          <w:sz w:val="21"/>
          <w:szCs w:val="21"/>
        </w:rPr>
        <w:t xml:space="preserve">Authentication: </w:t>
      </w:r>
      <w:r>
        <w:rPr>
          <w:rFonts w:ascii="Arial" w:cs="Arial" w:eastAsia="Arial" w:hAnsi="Arial"/>
          <w:color w:val="333333"/>
          <w:sz w:val="21"/>
          <w:szCs w:val="21"/>
        </w:rPr>
        <w:t xml:space="preserve">Login success/failure, MFA setup/removal, password changes, SSO events.</w:t>
      </w:r>
    </w:p>
    <w:p>
      <w:pPr>
        <w:pStyle w:val="ListParagraph"/>
        <w:numPr>
          <w:ilvl w:val="0"/>
          <w:numId w:val="2"/>
        </w:numPr>
        <w:spacing w:after="80" w:line="280"/>
      </w:pPr>
      <w:r>
        <w:rPr>
          <w:rFonts w:ascii="Arial" w:cs="Arial" w:eastAsia="Arial" w:hAnsi="Arial"/>
          <w:b/>
          <w:bCs/>
          <w:color w:val="1B2A4A"/>
          <w:sz w:val="21"/>
          <w:szCs w:val="21"/>
        </w:rPr>
        <w:t xml:space="preserve">Key Management: </w:t>
      </w:r>
      <w:r>
        <w:rPr>
          <w:rFonts w:ascii="Arial" w:cs="Arial" w:eastAsia="Arial" w:hAnsi="Arial"/>
          <w:color w:val="333333"/>
          <w:sz w:val="21"/>
          <w:szCs w:val="21"/>
        </w:rPr>
        <w:t xml:space="preserve">Key created, rotated, revoked, scopes modified.</w:t>
      </w:r>
    </w:p>
    <w:p>
      <w:pPr>
        <w:pStyle w:val="ListParagraph"/>
        <w:numPr>
          <w:ilvl w:val="0"/>
          <w:numId w:val="2"/>
        </w:numPr>
        <w:spacing w:after="80" w:line="280"/>
      </w:pPr>
      <w:r>
        <w:rPr>
          <w:rFonts w:ascii="Arial" w:cs="Arial" w:eastAsia="Arial" w:hAnsi="Arial"/>
          <w:b/>
          <w:bCs/>
          <w:color w:val="1B2A4A"/>
          <w:sz w:val="21"/>
          <w:szCs w:val="21"/>
        </w:rPr>
        <w:t xml:space="preserve">Member Management: </w:t>
      </w:r>
      <w:r>
        <w:rPr>
          <w:rFonts w:ascii="Arial" w:cs="Arial" w:eastAsia="Arial" w:hAnsi="Arial"/>
          <w:color w:val="333333"/>
          <w:sz w:val="21"/>
          <w:szCs w:val="21"/>
        </w:rPr>
        <w:t xml:space="preserve">Invitations sent/accepted/declined, role changes, member removals.</w:t>
      </w:r>
    </w:p>
    <w:p>
      <w:pPr>
        <w:pStyle w:val="ListParagraph"/>
        <w:numPr>
          <w:ilvl w:val="0"/>
          <w:numId w:val="2"/>
        </w:numPr>
        <w:spacing w:after="80" w:line="280"/>
      </w:pPr>
      <w:r>
        <w:rPr>
          <w:rFonts w:ascii="Arial" w:cs="Arial" w:eastAsia="Arial" w:hAnsi="Arial"/>
          <w:b/>
          <w:bCs/>
          <w:color w:val="1B2A4A"/>
          <w:sz w:val="21"/>
          <w:szCs w:val="21"/>
        </w:rPr>
        <w:t xml:space="preserve">Billing: </w:t>
      </w:r>
      <w:r>
        <w:rPr>
          <w:rFonts w:ascii="Arial" w:cs="Arial" w:eastAsia="Arial" w:hAnsi="Arial"/>
          <w:color w:val="333333"/>
          <w:sz w:val="21"/>
          <w:szCs w:val="21"/>
        </w:rPr>
        <w:t xml:space="preserve">Payment method added/removed, budget caps changed, plan upgrades/downgrades.</w:t>
      </w:r>
    </w:p>
    <w:p>
      <w:pPr>
        <w:pStyle w:val="ListParagraph"/>
        <w:numPr>
          <w:ilvl w:val="0"/>
          <w:numId w:val="2"/>
        </w:numPr>
        <w:spacing w:after="80" w:line="280"/>
      </w:pPr>
      <w:r>
        <w:rPr>
          <w:rFonts w:ascii="Arial" w:cs="Arial" w:eastAsia="Arial" w:hAnsi="Arial"/>
          <w:b/>
          <w:bCs/>
          <w:color w:val="1B2A4A"/>
          <w:sz w:val="21"/>
          <w:szCs w:val="21"/>
        </w:rPr>
        <w:t xml:space="preserve">Settings: </w:t>
      </w:r>
      <w:r>
        <w:rPr>
          <w:rFonts w:ascii="Arial" w:cs="Arial" w:eastAsia="Arial" w:hAnsi="Arial"/>
          <w:color w:val="333333"/>
          <w:sz w:val="21"/>
          <w:szCs w:val="21"/>
        </w:rPr>
        <w:t xml:space="preserve">Org settings changed, workspace created/deleted, logging policies modified.</w:t>
      </w:r>
    </w:p>
    <w:p>
      <w:pPr>
        <w:pStyle w:val="ListParagraph"/>
        <w:numPr>
          <w:ilvl w:val="0"/>
          <w:numId w:val="2"/>
        </w:numPr>
        <w:spacing w:after="80" w:line="280"/>
      </w:pPr>
      <w:r>
        <w:rPr>
          <w:rFonts w:ascii="Arial" w:cs="Arial" w:eastAsia="Arial" w:hAnsi="Arial"/>
          <w:b/>
          <w:bCs/>
          <w:color w:val="1B2A4A"/>
          <w:sz w:val="21"/>
          <w:szCs w:val="21"/>
        </w:rPr>
        <w:t xml:space="preserve">Fine-Tuning: </w:t>
      </w:r>
      <w:r>
        <w:rPr>
          <w:rFonts w:ascii="Arial" w:cs="Arial" w:eastAsia="Arial" w:hAnsi="Arial"/>
          <w:color w:val="333333"/>
          <w:sz w:val="21"/>
          <w:szCs w:val="21"/>
        </w:rPr>
        <w:t xml:space="preserve">Datasets uploaded, training jobs started/completed, models activated/deactivated.</w:t>
      </w:r>
    </w:p>
    <w:p>
      <w:pPr>
        <w:pStyle w:val="ListParagraph"/>
        <w:numPr>
          <w:ilvl w:val="0"/>
          <w:numId w:val="2"/>
        </w:numPr>
        <w:spacing w:after="80" w:line="280"/>
      </w:pPr>
      <w:r>
        <w:rPr>
          <w:rFonts w:ascii="Arial" w:cs="Arial" w:eastAsia="Arial" w:hAnsi="Arial"/>
          <w:b/>
          <w:bCs/>
          <w:color w:val="1B2A4A"/>
          <w:sz w:val="21"/>
          <w:szCs w:val="21"/>
        </w:rPr>
        <w:t xml:space="preserve">Data: </w:t>
      </w:r>
      <w:r>
        <w:rPr>
          <w:rFonts w:ascii="Arial" w:cs="Arial" w:eastAsia="Arial" w:hAnsi="Arial"/>
          <w:color w:val="333333"/>
          <w:sz w:val="21"/>
          <w:szCs w:val="21"/>
        </w:rPr>
        <w:t xml:space="preserve">Data exports requested, retention policies changed, account deletion requests.</w:t>
      </w:r>
    </w:p>
    <w:p>
      <w:pPr>
        <w:spacing w:after="120" w:before="240"/>
      </w:pPr>
      <w:r>
        <w:rPr>
          <w:rFonts w:ascii="Arial" w:cs="Arial" w:eastAsia="Arial" w:hAnsi="Arial"/>
          <w:b/>
          <w:bCs/>
          <w:color w:val="1B2A4A"/>
          <w:sz w:val="24"/>
          <w:szCs w:val="24"/>
        </w:rPr>
        <w:t xml:space="preserve">Audit Log Interface</w:t>
      </w:r>
    </w:p>
    <w:p>
      <w:pPr>
        <w:spacing w:after="160" w:line="300"/>
      </w:pPr>
      <w:r>
        <w:rPr>
          <w:rFonts w:ascii="Arial" w:cs="Arial" w:eastAsia="Arial" w:hAnsi="Arial"/>
          <w:color w:val="333333"/>
          <w:sz w:val="21"/>
          <w:szCs w:val="21"/>
        </w:rPr>
        <w:t xml:space="preserve">A filterable, searchable, paginated log with: timestamp, actor (who did it), action (what they did), target (what was affected), IP address, and result (success/failure). Exportable as CSV/JSON. Retention: minimum 1 year for compliance.</w:t>
      </w:r>
    </w:p>
    <w:p>
      <w:r>
        <w:br w:type="page"/>
      </w:r>
    </w:p>
    <w:p>
      <w:pPr>
        <w:pStyle w:val="Heading1"/>
        <w:spacing w:after="200" w:before="480"/>
      </w:pPr>
      <w:r>
        <w:rPr>
          <w:rFonts w:ascii="Arial" w:cs="Arial" w:eastAsia="Arial" w:hAnsi="Arial"/>
          <w:b/>
          <w:bCs/>
          <w:color w:val="1B2A4A"/>
          <w:sz w:val="36"/>
          <w:szCs w:val="36"/>
        </w:rPr>
        <w:t xml:space="preserve">11. Documentation &amp; Developer Support</w:t>
      </w:r>
    </w:p>
    <w:p>
      <w:pPr>
        <w:pStyle w:val="Heading2"/>
        <w:spacing w:after="160" w:before="360"/>
      </w:pPr>
      <w:r>
        <w:rPr>
          <w:rFonts w:ascii="Arial" w:cs="Arial" w:eastAsia="Arial" w:hAnsi="Arial"/>
          <w:b/>
          <w:bCs/>
          <w:color w:val="2E75B6"/>
          <w:sz w:val="28"/>
          <w:szCs w:val="28"/>
        </w:rPr>
        <w:t xml:space="preserve">11.1 Documentation Architecture</w:t>
      </w:r>
    </w:p>
    <w:p>
      <w:pPr>
        <w:pStyle w:val="ListParagraph"/>
        <w:numPr>
          <w:ilvl w:val="0"/>
          <w:numId w:val="2"/>
        </w:numPr>
        <w:spacing w:after="80" w:line="280"/>
      </w:pPr>
      <w:r>
        <w:rPr>
          <w:rFonts w:ascii="Arial" w:cs="Arial" w:eastAsia="Arial" w:hAnsi="Arial"/>
          <w:b/>
          <w:bCs/>
          <w:color w:val="1B2A4A"/>
          <w:sz w:val="21"/>
          <w:szCs w:val="21"/>
        </w:rPr>
        <w:t xml:space="preserve">Quickstart Guide: </w:t>
      </w:r>
      <w:r>
        <w:rPr>
          <w:rFonts w:ascii="Arial" w:cs="Arial" w:eastAsia="Arial" w:hAnsi="Arial"/>
          <w:color w:val="333333"/>
          <w:sz w:val="21"/>
          <w:szCs w:val="21"/>
        </w:rPr>
        <w:t xml:space="preserve">A 5-minute tutorial that takes a developer from zero to a working API call. Available in Python, TypeScript, Go, curl. This page should be your single most-visited doc page.</w:t>
      </w:r>
    </w:p>
    <w:p>
      <w:pPr>
        <w:pStyle w:val="ListParagraph"/>
        <w:numPr>
          <w:ilvl w:val="0"/>
          <w:numId w:val="2"/>
        </w:numPr>
        <w:spacing w:after="80" w:line="280"/>
      </w:pPr>
      <w:r>
        <w:rPr>
          <w:rFonts w:ascii="Arial" w:cs="Arial" w:eastAsia="Arial" w:hAnsi="Arial"/>
          <w:b/>
          <w:bCs/>
          <w:color w:val="1B2A4A"/>
          <w:sz w:val="21"/>
          <w:szCs w:val="21"/>
        </w:rPr>
        <w:t xml:space="preserve">API Reference: </w:t>
      </w:r>
      <w:r>
        <w:rPr>
          <w:rFonts w:ascii="Arial" w:cs="Arial" w:eastAsia="Arial" w:hAnsi="Arial"/>
          <w:color w:val="333333"/>
          <w:sz w:val="21"/>
          <w:szCs w:val="21"/>
        </w:rPr>
        <w:t xml:space="preserve">Auto-generated from your OpenAPI spec. Every endpoint with request/response schemas, parameter descriptions, error codes, and examples. Interactive “Try it” buttons that call the real API.</w:t>
      </w:r>
    </w:p>
    <w:p>
      <w:pPr>
        <w:pStyle w:val="ListParagraph"/>
        <w:numPr>
          <w:ilvl w:val="0"/>
          <w:numId w:val="2"/>
        </w:numPr>
        <w:spacing w:after="80" w:line="280"/>
      </w:pPr>
      <w:r>
        <w:rPr>
          <w:rFonts w:ascii="Arial" w:cs="Arial" w:eastAsia="Arial" w:hAnsi="Arial"/>
          <w:b/>
          <w:bCs/>
          <w:color w:val="1B2A4A"/>
          <w:sz w:val="21"/>
          <w:szCs w:val="21"/>
        </w:rPr>
        <w:t xml:space="preserve">Guides: </w:t>
      </w:r>
      <w:r>
        <w:rPr>
          <w:rFonts w:ascii="Arial" w:cs="Arial" w:eastAsia="Arial" w:hAnsi="Arial"/>
          <w:color w:val="333333"/>
          <w:sz w:val="21"/>
          <w:szCs w:val="21"/>
        </w:rPr>
        <w:t xml:space="preserve">Task-oriented tutorials: “How to build a chatbot”, “How to fine-tune a model”, “How to implement RAG”, “How to migrate from OpenAI”. Each with complete code samples.</w:t>
      </w:r>
    </w:p>
    <w:p>
      <w:pPr>
        <w:pStyle w:val="ListParagraph"/>
        <w:numPr>
          <w:ilvl w:val="0"/>
          <w:numId w:val="2"/>
        </w:numPr>
        <w:spacing w:after="80" w:line="280"/>
      </w:pPr>
      <w:r>
        <w:rPr>
          <w:rFonts w:ascii="Arial" w:cs="Arial" w:eastAsia="Arial" w:hAnsi="Arial"/>
          <w:b/>
          <w:bCs/>
          <w:color w:val="1B2A4A"/>
          <w:sz w:val="21"/>
          <w:szCs w:val="21"/>
        </w:rPr>
        <w:t xml:space="preserve">SDK Documentation: </w:t>
      </w:r>
      <w:r>
        <w:rPr>
          <w:rFonts w:ascii="Arial" w:cs="Arial" w:eastAsia="Arial" w:hAnsi="Arial"/>
          <w:color w:val="333333"/>
          <w:sz w:val="21"/>
          <w:szCs w:val="21"/>
        </w:rPr>
        <w:t xml:space="preserve">Per-language docs for your official SDKs. Auto-generated from code docstrings. Include installation, initialization, and usage examples.</w:t>
      </w:r>
    </w:p>
    <w:p>
      <w:pPr>
        <w:pStyle w:val="ListParagraph"/>
        <w:numPr>
          <w:ilvl w:val="0"/>
          <w:numId w:val="2"/>
        </w:numPr>
        <w:spacing w:after="80" w:line="280"/>
      </w:pPr>
      <w:r>
        <w:rPr>
          <w:rFonts w:ascii="Arial" w:cs="Arial" w:eastAsia="Arial" w:hAnsi="Arial"/>
          <w:b/>
          <w:bCs/>
          <w:color w:val="1B2A4A"/>
          <w:sz w:val="21"/>
          <w:szCs w:val="21"/>
        </w:rPr>
        <w:t xml:space="preserve">Changelog: </w:t>
      </w:r>
      <w:r>
        <w:rPr>
          <w:rFonts w:ascii="Arial" w:cs="Arial" w:eastAsia="Arial" w:hAnsi="Arial"/>
          <w:color w:val="333333"/>
          <w:sz w:val="21"/>
          <w:szCs w:val="21"/>
        </w:rPr>
        <w:t xml:space="preserve">Every API change, new model addition, deprecation, and platform update. Dated, searchable, and subscribable via RSS/email.</w:t>
      </w:r>
    </w:p>
    <w:p>
      <w:pPr>
        <w:pStyle w:val="ListParagraph"/>
        <w:numPr>
          <w:ilvl w:val="0"/>
          <w:numId w:val="2"/>
        </w:numPr>
        <w:spacing w:after="80" w:line="280"/>
      </w:pPr>
      <w:r>
        <w:rPr>
          <w:rFonts w:ascii="Arial" w:cs="Arial" w:eastAsia="Arial" w:hAnsi="Arial"/>
          <w:b/>
          <w:bCs/>
          <w:color w:val="1B2A4A"/>
          <w:sz w:val="21"/>
          <w:szCs w:val="21"/>
        </w:rPr>
        <w:t xml:space="preserve">Migration Guides: </w:t>
      </w:r>
      <w:r>
        <w:rPr>
          <w:rFonts w:ascii="Arial" w:cs="Arial" w:eastAsia="Arial" w:hAnsi="Arial"/>
          <w:color w:val="333333"/>
          <w:sz w:val="21"/>
          <w:szCs w:val="21"/>
        </w:rPr>
        <w:t xml:space="preserve">Step-by-step guides for migrating from OpenAI, Anthropic, AWS Bedrock, etc. Highlight any differences in API format, behavior, or feature support.</w:t>
      </w:r>
    </w:p>
    <w:p>
      <w:pPr>
        <w:pStyle w:val="Heading2"/>
        <w:spacing w:after="160" w:before="360"/>
      </w:pPr>
      <w:r>
        <w:rPr>
          <w:rFonts w:ascii="Arial" w:cs="Arial" w:eastAsia="Arial" w:hAnsi="Arial"/>
          <w:b/>
          <w:bCs/>
          <w:color w:val="2E75B6"/>
          <w:sz w:val="28"/>
          <w:szCs w:val="28"/>
        </w:rPr>
        <w:t xml:space="preserve">11.2 In-Platform Contextual Help</w:t>
      </w:r>
    </w:p>
    <w:p>
      <w:pPr>
        <w:pStyle w:val="ListParagraph"/>
        <w:numPr>
          <w:ilvl w:val="0"/>
          <w:numId w:val="2"/>
        </w:numPr>
        <w:spacing w:after="80" w:line="280"/>
      </w:pPr>
      <w:r>
        <w:rPr>
          <w:rFonts w:ascii="Arial" w:cs="Arial" w:eastAsia="Arial" w:hAnsi="Arial"/>
          <w:b/>
          <w:bCs/>
          <w:color w:val="1B2A4A"/>
          <w:sz w:val="21"/>
          <w:szCs w:val="21"/>
        </w:rPr>
        <w:t xml:space="preserve">Tooltips: </w:t>
      </w:r>
      <w:r>
        <w:rPr>
          <w:rFonts w:ascii="Arial" w:cs="Arial" w:eastAsia="Arial" w:hAnsi="Arial"/>
          <w:color w:val="333333"/>
          <w:sz w:val="21"/>
          <w:szCs w:val="21"/>
        </w:rPr>
        <w:t xml:space="preserve">Every non-obvious field in the dashboard has a tooltip explaining what it is and what values are expected.</w:t>
      </w:r>
    </w:p>
    <w:p>
      <w:pPr>
        <w:pStyle w:val="ListParagraph"/>
        <w:numPr>
          <w:ilvl w:val="0"/>
          <w:numId w:val="2"/>
        </w:numPr>
        <w:spacing w:after="80" w:line="280"/>
      </w:pPr>
      <w:r>
        <w:rPr>
          <w:rFonts w:ascii="Arial" w:cs="Arial" w:eastAsia="Arial" w:hAnsi="Arial"/>
          <w:b/>
          <w:bCs/>
          <w:color w:val="1B2A4A"/>
          <w:sz w:val="21"/>
          <w:szCs w:val="21"/>
        </w:rPr>
        <w:t xml:space="preserve">Error Explanations: </w:t>
      </w:r>
      <w:r>
        <w:rPr>
          <w:rFonts w:ascii="Arial" w:cs="Arial" w:eastAsia="Arial" w:hAnsi="Arial"/>
          <w:color w:val="333333"/>
          <w:sz w:val="21"/>
          <w:szCs w:val="21"/>
        </w:rPr>
        <w:t xml:space="preserve">When an API call fails, the error response includes a link to a doc page explaining the error and how to fix it. E.g., HTTP 429 links to the rate limiting guide.</w:t>
      </w:r>
    </w:p>
    <w:p>
      <w:pPr>
        <w:pStyle w:val="ListParagraph"/>
        <w:numPr>
          <w:ilvl w:val="0"/>
          <w:numId w:val="2"/>
        </w:numPr>
        <w:spacing w:after="80" w:line="280"/>
      </w:pPr>
      <w:r>
        <w:rPr>
          <w:rFonts w:ascii="Arial" w:cs="Arial" w:eastAsia="Arial" w:hAnsi="Arial"/>
          <w:b/>
          <w:bCs/>
          <w:color w:val="1B2A4A"/>
          <w:sz w:val="21"/>
          <w:szCs w:val="21"/>
        </w:rPr>
        <w:t xml:space="preserve">Inline Code Snippets: </w:t>
      </w:r>
      <w:r>
        <w:rPr>
          <w:rFonts w:ascii="Arial" w:cs="Arial" w:eastAsia="Arial" w:hAnsi="Arial"/>
          <w:color w:val="333333"/>
          <w:sz w:val="21"/>
          <w:szCs w:val="21"/>
        </w:rPr>
        <w:t xml:space="preserve">Wherever the dashboard shows a resource (API key, model, endpoint), include a copy-paste code snippet for using it.</w:t>
      </w:r>
    </w:p>
    <w:p>
      <w:pPr>
        <w:pStyle w:val="Heading2"/>
        <w:spacing w:after="160" w:before="360"/>
      </w:pPr>
      <w:r>
        <w:rPr>
          <w:rFonts w:ascii="Arial" w:cs="Arial" w:eastAsia="Arial" w:hAnsi="Arial"/>
          <w:b/>
          <w:bCs/>
          <w:color w:val="2E75B6"/>
          <w:sz w:val="28"/>
          <w:szCs w:val="28"/>
        </w:rPr>
        <w:t xml:space="preserve">11.3 Support System</w:t>
      </w:r>
    </w:p>
    <w:p>
      <w:pPr>
        <w:pStyle w:val="ListParagraph"/>
        <w:numPr>
          <w:ilvl w:val="0"/>
          <w:numId w:val="2"/>
        </w:numPr>
        <w:spacing w:after="80" w:line="280"/>
      </w:pPr>
      <w:r>
        <w:rPr>
          <w:rFonts w:ascii="Arial" w:cs="Arial" w:eastAsia="Arial" w:hAnsi="Arial"/>
          <w:b/>
          <w:bCs/>
          <w:color w:val="1B2A4A"/>
          <w:sz w:val="21"/>
          <w:szCs w:val="21"/>
        </w:rPr>
        <w:t xml:space="preserve">In-App Chat: </w:t>
      </w:r>
      <w:r>
        <w:rPr>
          <w:rFonts w:ascii="Arial" w:cs="Arial" w:eastAsia="Arial" w:hAnsi="Arial"/>
          <w:color w:val="333333"/>
          <w:sz w:val="21"/>
          <w:szCs w:val="21"/>
        </w:rPr>
        <w:t xml:space="preserve">Intercom or similar for real-time support. AI-first triage: route simple questions to an AI assistant, escalate complex ones to humans.</w:t>
      </w:r>
    </w:p>
    <w:p>
      <w:pPr>
        <w:pStyle w:val="ListParagraph"/>
        <w:numPr>
          <w:ilvl w:val="0"/>
          <w:numId w:val="2"/>
        </w:numPr>
        <w:spacing w:after="80" w:line="280"/>
      </w:pPr>
      <w:r>
        <w:rPr>
          <w:rFonts w:ascii="Arial" w:cs="Arial" w:eastAsia="Arial" w:hAnsi="Arial"/>
          <w:b/>
          <w:bCs/>
          <w:color w:val="1B2A4A"/>
          <w:sz w:val="21"/>
          <w:szCs w:val="21"/>
        </w:rPr>
        <w:t xml:space="preserve">Ticket System: </w:t>
      </w:r>
      <w:r>
        <w:rPr>
          <w:rFonts w:ascii="Arial" w:cs="Arial" w:eastAsia="Arial" w:hAnsi="Arial"/>
          <w:color w:val="333333"/>
          <w:sz w:val="21"/>
          <w:szCs w:val="21"/>
        </w:rPr>
        <w:t xml:space="preserve">For Pro and Enterprise tiers. SLA-based response times. Priority levels (P1–P4).</w:t>
      </w:r>
    </w:p>
    <w:p>
      <w:pPr>
        <w:pStyle w:val="ListParagraph"/>
        <w:numPr>
          <w:ilvl w:val="0"/>
          <w:numId w:val="2"/>
        </w:numPr>
        <w:spacing w:after="80" w:line="280"/>
      </w:pPr>
      <w:r>
        <w:rPr>
          <w:rFonts w:ascii="Arial" w:cs="Arial" w:eastAsia="Arial" w:hAnsi="Arial"/>
          <w:b/>
          <w:bCs/>
          <w:color w:val="1B2A4A"/>
          <w:sz w:val="21"/>
          <w:szCs w:val="21"/>
        </w:rPr>
        <w:t xml:space="preserve">Community: </w:t>
      </w:r>
      <w:r>
        <w:rPr>
          <w:rFonts w:ascii="Arial" w:cs="Arial" w:eastAsia="Arial" w:hAnsi="Arial"/>
          <w:color w:val="333333"/>
          <w:sz w:val="21"/>
          <w:szCs w:val="21"/>
        </w:rPr>
        <w:t xml:space="preserve">Discord server or community forum for peer support, feature requests, and announcements.</w:t>
      </w:r>
    </w:p>
    <w:p>
      <w:pPr>
        <w:pStyle w:val="ListParagraph"/>
        <w:numPr>
          <w:ilvl w:val="0"/>
          <w:numId w:val="2"/>
        </w:numPr>
        <w:spacing w:after="80" w:line="280"/>
      </w:pPr>
      <w:r>
        <w:rPr>
          <w:rFonts w:ascii="Arial" w:cs="Arial" w:eastAsia="Arial" w:hAnsi="Arial"/>
          <w:b/>
          <w:bCs/>
          <w:color w:val="1B2A4A"/>
          <w:sz w:val="21"/>
          <w:szCs w:val="21"/>
        </w:rPr>
        <w:t xml:space="preserve">Status Page: </w:t>
      </w:r>
      <w:r>
        <w:rPr>
          <w:rFonts w:ascii="Arial" w:cs="Arial" w:eastAsia="Arial" w:hAnsi="Arial"/>
          <w:color w:val="333333"/>
          <w:sz w:val="21"/>
          <w:szCs w:val="21"/>
        </w:rPr>
        <w:t xml:space="preserve">Public status page (e.g., status.yourplatform.com) showing real-time health of all services, historical uptime, and incident reports.</w:t>
      </w:r>
    </w:p>
    <w:p>
      <w:r>
        <w:br w:type="page"/>
      </w:r>
    </w:p>
    <w:p>
      <w:pPr>
        <w:pStyle w:val="Heading1"/>
        <w:spacing w:after="200" w:before="480"/>
      </w:pPr>
      <w:r>
        <w:rPr>
          <w:rFonts w:ascii="Arial" w:cs="Arial" w:eastAsia="Arial" w:hAnsi="Arial"/>
          <w:b/>
          <w:bCs/>
          <w:color w:val="1B2A4A"/>
          <w:sz w:val="36"/>
          <w:szCs w:val="36"/>
        </w:rPr>
        <w:t xml:space="preserve">12. Settings, Administration &amp; Compliance</w:t>
      </w:r>
    </w:p>
    <w:p>
      <w:pPr>
        <w:pStyle w:val="Heading2"/>
        <w:spacing w:after="160" w:before="360"/>
      </w:pPr>
      <w:r>
        <w:rPr>
          <w:rFonts w:ascii="Arial" w:cs="Arial" w:eastAsia="Arial" w:hAnsi="Arial"/>
          <w:b/>
          <w:bCs/>
          <w:color w:val="2E75B6"/>
          <w:sz w:val="28"/>
          <w:szCs w:val="28"/>
        </w:rPr>
        <w:t xml:space="preserve">12.1 Organization Settings</w:t>
      </w:r>
    </w:p>
    <w:p>
      <w:pPr>
        <w:pStyle w:val="ListParagraph"/>
        <w:numPr>
          <w:ilvl w:val="0"/>
          <w:numId w:val="2"/>
        </w:numPr>
        <w:spacing w:after="80" w:line="280"/>
      </w:pPr>
      <w:r>
        <w:rPr>
          <w:rFonts w:ascii="Arial" w:cs="Arial" w:eastAsia="Arial" w:hAnsi="Arial"/>
          <w:b/>
          <w:bCs/>
          <w:color w:val="1B2A4A"/>
          <w:sz w:val="21"/>
          <w:szCs w:val="21"/>
        </w:rPr>
        <w:t xml:space="preserve">General: </w:t>
      </w:r>
      <w:r>
        <w:rPr>
          <w:rFonts w:ascii="Arial" w:cs="Arial" w:eastAsia="Arial" w:hAnsi="Arial"/>
          <w:color w:val="333333"/>
          <w:sz w:val="21"/>
          <w:szCs w:val="21"/>
        </w:rPr>
        <w:t xml:space="preserve">Org name, logo (displayed in dashboard and invoices), default timezone, and billing email.</w:t>
      </w:r>
    </w:p>
    <w:p>
      <w:pPr>
        <w:pStyle w:val="ListParagraph"/>
        <w:numPr>
          <w:ilvl w:val="0"/>
          <w:numId w:val="2"/>
        </w:numPr>
        <w:spacing w:after="80" w:line="280"/>
      </w:pPr>
      <w:r>
        <w:rPr>
          <w:rFonts w:ascii="Arial" w:cs="Arial" w:eastAsia="Arial" w:hAnsi="Arial"/>
          <w:b/>
          <w:bCs/>
          <w:color w:val="1B2A4A"/>
          <w:sz w:val="21"/>
          <w:szCs w:val="21"/>
        </w:rPr>
        <w:t xml:space="preserve">Security Policies: </w:t>
      </w:r>
      <w:r>
        <w:rPr>
          <w:rFonts w:ascii="Arial" w:cs="Arial" w:eastAsia="Arial" w:hAnsi="Arial"/>
          <w:color w:val="333333"/>
          <w:sz w:val="21"/>
          <w:szCs w:val="21"/>
        </w:rPr>
        <w:t xml:space="preserve">Enforce MFA for all members, set session timeout duration (default 24h, configurable to 1h for high-security orgs), IP allowlisting for dashboard access (not just API keys).</w:t>
      </w:r>
    </w:p>
    <w:p>
      <w:pPr>
        <w:pStyle w:val="ListParagraph"/>
        <w:numPr>
          <w:ilvl w:val="0"/>
          <w:numId w:val="2"/>
        </w:numPr>
        <w:spacing w:after="80" w:line="280"/>
      </w:pPr>
      <w:r>
        <w:rPr>
          <w:rFonts w:ascii="Arial" w:cs="Arial" w:eastAsia="Arial" w:hAnsi="Arial"/>
          <w:b/>
          <w:bCs/>
          <w:color w:val="1B2A4A"/>
          <w:sz w:val="21"/>
          <w:szCs w:val="21"/>
        </w:rPr>
        <w:t xml:space="preserve">API Defaults: </w:t>
      </w:r>
      <w:r>
        <w:rPr>
          <w:rFonts w:ascii="Arial" w:cs="Arial" w:eastAsia="Arial" w:hAnsi="Arial"/>
          <w:color w:val="333333"/>
          <w:sz w:val="21"/>
          <w:szCs w:val="21"/>
        </w:rPr>
        <w:t xml:space="preserve">Default rate limits for new keys, default model for new playground sessions, default response format.</w:t>
      </w:r>
    </w:p>
    <w:p>
      <w:pPr>
        <w:pStyle w:val="Heading2"/>
        <w:spacing w:after="160" w:before="360"/>
      </w:pPr>
      <w:r>
        <w:rPr>
          <w:rFonts w:ascii="Arial" w:cs="Arial" w:eastAsia="Arial" w:hAnsi="Arial"/>
          <w:b/>
          <w:bCs/>
          <w:color w:val="2E75B6"/>
          <w:sz w:val="28"/>
          <w:szCs w:val="28"/>
        </w:rPr>
        <w:t xml:space="preserve">12.2 Data &amp; Privacy Controls</w:t>
      </w:r>
    </w:p>
    <w:p>
      <w:pPr>
        <w:pStyle w:val="ListParagraph"/>
        <w:numPr>
          <w:ilvl w:val="0"/>
          <w:numId w:val="2"/>
        </w:numPr>
        <w:spacing w:after="80" w:line="280"/>
      </w:pPr>
      <w:r>
        <w:rPr>
          <w:rFonts w:ascii="Arial" w:cs="Arial" w:eastAsia="Arial" w:hAnsi="Arial"/>
          <w:b/>
          <w:bCs/>
          <w:color w:val="1B2A4A"/>
          <w:sz w:val="21"/>
          <w:szCs w:val="21"/>
        </w:rPr>
        <w:t xml:space="preserve">Request Logging: </w:t>
      </w:r>
      <w:r>
        <w:rPr>
          <w:rFonts w:ascii="Arial" w:cs="Arial" w:eastAsia="Arial" w:hAnsi="Arial"/>
          <w:color w:val="333333"/>
          <w:sz w:val="21"/>
          <w:szCs w:val="21"/>
        </w:rPr>
        <w:t xml:space="preserve">Global toggle to disable all request/response body logging. Per-workspace override.</w:t>
      </w:r>
    </w:p>
    <w:p>
      <w:pPr>
        <w:pStyle w:val="ListParagraph"/>
        <w:numPr>
          <w:ilvl w:val="0"/>
          <w:numId w:val="2"/>
        </w:numPr>
        <w:spacing w:after="80" w:line="280"/>
      </w:pPr>
      <w:r>
        <w:rPr>
          <w:rFonts w:ascii="Arial" w:cs="Arial" w:eastAsia="Arial" w:hAnsi="Arial"/>
          <w:b/>
          <w:bCs/>
          <w:color w:val="1B2A4A"/>
          <w:sz w:val="21"/>
          <w:szCs w:val="21"/>
        </w:rPr>
        <w:t xml:space="preserve">Data Retention: </w:t>
      </w:r>
      <w:r>
        <w:rPr>
          <w:rFonts w:ascii="Arial" w:cs="Arial" w:eastAsia="Arial" w:hAnsi="Arial"/>
          <w:color w:val="333333"/>
          <w:sz w:val="21"/>
          <w:szCs w:val="21"/>
        </w:rPr>
        <w:t xml:space="preserve">Configurable retention period for logs, analytics, and fine-tuning datasets. Auto-purge after expiry.</w:t>
      </w:r>
    </w:p>
    <w:p>
      <w:pPr>
        <w:pStyle w:val="ListParagraph"/>
        <w:numPr>
          <w:ilvl w:val="0"/>
          <w:numId w:val="2"/>
        </w:numPr>
        <w:spacing w:after="80" w:line="280"/>
      </w:pPr>
      <w:r>
        <w:rPr>
          <w:rFonts w:ascii="Arial" w:cs="Arial" w:eastAsia="Arial" w:hAnsi="Arial"/>
          <w:b/>
          <w:bCs/>
          <w:color w:val="1B2A4A"/>
          <w:sz w:val="21"/>
          <w:szCs w:val="21"/>
        </w:rPr>
        <w:t xml:space="preserve">Data Export: </w:t>
      </w:r>
      <w:r>
        <w:rPr>
          <w:rFonts w:ascii="Arial" w:cs="Arial" w:eastAsia="Arial" w:hAnsi="Arial"/>
          <w:color w:val="333333"/>
          <w:sz w:val="21"/>
          <w:szCs w:val="21"/>
        </w:rPr>
        <w:t xml:space="preserve">GDPR-compliant data export: download all data associated with the org/user as a ZIP file within 72 hours of request.</w:t>
      </w:r>
    </w:p>
    <w:p>
      <w:pPr>
        <w:pStyle w:val="ListParagraph"/>
        <w:numPr>
          <w:ilvl w:val="0"/>
          <w:numId w:val="2"/>
        </w:numPr>
        <w:spacing w:after="80" w:line="280"/>
      </w:pPr>
      <w:r>
        <w:rPr>
          <w:rFonts w:ascii="Arial" w:cs="Arial" w:eastAsia="Arial" w:hAnsi="Arial"/>
          <w:b/>
          <w:bCs/>
          <w:color w:val="1B2A4A"/>
          <w:sz w:val="21"/>
          <w:szCs w:val="21"/>
        </w:rPr>
        <w:t xml:space="preserve">Account Deletion: </w:t>
      </w:r>
      <w:r>
        <w:rPr>
          <w:rFonts w:ascii="Arial" w:cs="Arial" w:eastAsia="Arial" w:hAnsi="Arial"/>
          <w:color w:val="333333"/>
          <w:sz w:val="21"/>
          <w:szCs w:val="21"/>
        </w:rPr>
        <w:t xml:space="preserve">Self-service account deletion with a 30-day recovery window. After 30 days, all data is permanently deleted. Confirmation email required.</w:t>
      </w:r>
    </w:p>
    <w:p>
      <w:pPr>
        <w:pStyle w:val="ListParagraph"/>
        <w:numPr>
          <w:ilvl w:val="0"/>
          <w:numId w:val="2"/>
        </w:numPr>
        <w:spacing w:after="80" w:line="280"/>
      </w:pPr>
      <w:r>
        <w:rPr>
          <w:rFonts w:ascii="Arial" w:cs="Arial" w:eastAsia="Arial" w:hAnsi="Arial"/>
          <w:b/>
          <w:bCs/>
          <w:color w:val="1B2A4A"/>
          <w:sz w:val="21"/>
          <w:szCs w:val="21"/>
        </w:rPr>
        <w:t xml:space="preserve">Zero Data Retention (ZDR): </w:t>
      </w:r>
      <w:r>
        <w:rPr>
          <w:rFonts w:ascii="Arial" w:cs="Arial" w:eastAsia="Arial" w:hAnsi="Arial"/>
          <w:color w:val="333333"/>
          <w:sz w:val="21"/>
          <w:szCs w:val="21"/>
        </w:rPr>
        <w:t xml:space="preserve">Enterprise feature. No prompts, completions, or metadata are stored. Requests are processed and immediately discarded. Provably compliant — provide documentation and architecture diagrams for customer security reviews.</w:t>
      </w:r>
    </w:p>
    <w:p>
      <w:pPr>
        <w:pStyle w:val="Heading2"/>
        <w:spacing w:after="160" w:before="360"/>
      </w:pPr>
      <w:r>
        <w:rPr>
          <w:rFonts w:ascii="Arial" w:cs="Arial" w:eastAsia="Arial" w:hAnsi="Arial"/>
          <w:b/>
          <w:bCs/>
          <w:color w:val="2E75B6"/>
          <w:sz w:val="28"/>
          <w:szCs w:val="28"/>
        </w:rPr>
        <w:t xml:space="preserve">12.3 API Versioning</w:t>
      </w:r>
    </w:p>
    <w:p>
      <w:pPr>
        <w:pStyle w:val="ListParagraph"/>
        <w:numPr>
          <w:ilvl w:val="0"/>
          <w:numId w:val="2"/>
        </w:numPr>
        <w:spacing w:after="80" w:line="280"/>
      </w:pPr>
      <w:r>
        <w:rPr>
          <w:rFonts w:ascii="Arial" w:cs="Arial" w:eastAsia="Arial" w:hAnsi="Arial"/>
          <w:b/>
          <w:bCs/>
          <w:color w:val="1B2A4A"/>
          <w:sz w:val="21"/>
          <w:szCs w:val="21"/>
        </w:rPr>
        <w:t xml:space="preserve">Versioned API: </w:t>
      </w:r>
      <w:r>
        <w:rPr>
          <w:rFonts w:ascii="Arial" w:cs="Arial" w:eastAsia="Arial" w:hAnsi="Arial"/>
          <w:color w:val="333333"/>
          <w:sz w:val="21"/>
          <w:szCs w:val="21"/>
        </w:rPr>
        <w:t xml:space="preserve">Use date-based versioning (e.g., 2026-01-15). Include the API version in the URL or a header. Default to the latest version for new accounts.</w:t>
      </w:r>
    </w:p>
    <w:p>
      <w:pPr>
        <w:pStyle w:val="ListParagraph"/>
        <w:numPr>
          <w:ilvl w:val="0"/>
          <w:numId w:val="2"/>
        </w:numPr>
        <w:spacing w:after="80" w:line="280"/>
      </w:pPr>
      <w:r>
        <w:rPr>
          <w:rFonts w:ascii="Arial" w:cs="Arial" w:eastAsia="Arial" w:hAnsi="Arial"/>
          <w:b/>
          <w:bCs/>
          <w:color w:val="1B2A4A"/>
          <w:sz w:val="21"/>
          <w:szCs w:val="21"/>
        </w:rPr>
        <w:t xml:space="preserve">Version Pinning: </w:t>
      </w:r>
      <w:r>
        <w:rPr>
          <w:rFonts w:ascii="Arial" w:cs="Arial" w:eastAsia="Arial" w:hAnsi="Arial"/>
          <w:color w:val="333333"/>
          <w:sz w:val="21"/>
          <w:szCs w:val="21"/>
        </w:rPr>
        <w:t xml:space="preserve">Let users pin their org to a specific API version. When breaking changes are introduced, pinned orgs continue working on the old version.</w:t>
      </w:r>
    </w:p>
    <w:p>
      <w:pPr>
        <w:pStyle w:val="ListParagraph"/>
        <w:numPr>
          <w:ilvl w:val="0"/>
          <w:numId w:val="2"/>
        </w:numPr>
        <w:spacing w:after="80" w:line="280"/>
      </w:pPr>
      <w:r>
        <w:rPr>
          <w:rFonts w:ascii="Arial" w:cs="Arial" w:eastAsia="Arial" w:hAnsi="Arial"/>
          <w:b/>
          <w:bCs/>
          <w:color w:val="1B2A4A"/>
          <w:sz w:val="21"/>
          <w:szCs w:val="21"/>
        </w:rPr>
        <w:t xml:space="preserve">Deprecation Policy: </w:t>
      </w:r>
      <w:r>
        <w:rPr>
          <w:rFonts w:ascii="Arial" w:cs="Arial" w:eastAsia="Arial" w:hAnsi="Arial"/>
          <w:color w:val="333333"/>
          <w:sz w:val="21"/>
          <w:szCs w:val="21"/>
        </w:rPr>
        <w:t xml:space="preserve">Minimum 6 months support for each API version after a new version is released. Email notifications at 6 months, 3 months, 1 month, and 1 week before sunset.</w:t>
      </w:r>
    </w:p>
    <w:p>
      <w:pPr>
        <w:pStyle w:val="Heading2"/>
        <w:spacing w:after="160" w:before="360"/>
      </w:pPr>
      <w:r>
        <w:rPr>
          <w:rFonts w:ascii="Arial" w:cs="Arial" w:eastAsia="Arial" w:hAnsi="Arial"/>
          <w:b/>
          <w:bCs/>
          <w:color w:val="2E75B6"/>
          <w:sz w:val="28"/>
          <w:szCs w:val="28"/>
        </w:rPr>
        <w:t xml:space="preserve">12.4 Compliance &amp; Certifications</w:t>
      </w:r>
    </w:p>
    <w:p>
      <w:pPr>
        <w:spacing w:after="160" w:line="300"/>
      </w:pPr>
      <w:r>
        <w:rPr>
          <w:rFonts w:ascii="Arial" w:cs="Arial" w:eastAsia="Arial" w:hAnsi="Arial"/>
          <w:color w:val="333333"/>
          <w:sz w:val="21"/>
          <w:szCs w:val="21"/>
        </w:rPr>
        <w:t xml:space="preserve">For enterprise sales, you will need these certifications. Plan for them early — they take months to achieve: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Certification</w:t>
            </w:r>
          </w:p>
        </w:tc>
        <w:tc>
          <w:tcPr>
            <w:tcW w:type="dxa" w:w="4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c>
          <w:tcPr>
            <w:tcW w:type="dxa" w:w="2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SOC 2 Type II</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Security, availability, processing integrity, confidentiality, privacy controls over a 6-month observation period.</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9–12 months</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33333"/>
                <w:sz w:val="20"/>
                <w:szCs w:val="20"/>
              </w:rPr>
              <w:t xml:space="preserve">HIPAA</w:t>
            </w:r>
          </w:p>
        </w:tc>
        <w:tc>
          <w:tcPr>
            <w:tcW w:type="dxa" w:w="4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Healthcare data protection. Required to serve healthcare customers. Requires BAA (Business Associate Agreement).</w:t>
            </w:r>
          </w:p>
        </w:tc>
        <w:tc>
          <w:tcPr>
            <w:tcW w:type="dxa" w:w="2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6–9 months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GDPR</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EU data protection. Requires DPA (Data Processing Agreement), data residency options, right to erasure.</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3–6 months</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33333"/>
                <w:sz w:val="20"/>
                <w:szCs w:val="20"/>
              </w:rPr>
              <w:t xml:space="preserve">ISO 27001</w:t>
            </w:r>
          </w:p>
        </w:tc>
        <w:tc>
          <w:tcPr>
            <w:tcW w:type="dxa" w:w="4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Information security management system. International standard, recognized globally.</w:t>
            </w:r>
          </w:p>
        </w:tc>
        <w:tc>
          <w:tcPr>
            <w:tcW w:type="dxa" w:w="2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6–12 months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CSA STAR</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Cloud security. Builds on ISO 27001 with cloud-specific controls.</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3–6 months (after ISO 27001)</w:t>
            </w:r>
          </w:p>
        </w:tc>
      </w:tr>
    </w:tbl>
    <w:p>
      <w:pPr>
        <w:spacing w:after="100"/>
      </w:pPr>
    </w:p>
    <w:p>
      <w:r>
        <w:br w:type="page"/>
      </w:r>
    </w:p>
    <w:p>
      <w:pPr>
        <w:pStyle w:val="Heading1"/>
        <w:spacing w:after="200" w:before="480"/>
      </w:pPr>
      <w:r>
        <w:rPr>
          <w:rFonts w:ascii="Arial" w:cs="Arial" w:eastAsia="Arial" w:hAnsi="Arial"/>
          <w:b/>
          <w:bCs/>
          <w:color w:val="1B2A4A"/>
          <w:sz w:val="36"/>
          <w:szCs w:val="36"/>
        </w:rPr>
        <w:t xml:space="preserve">13.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c>
          <w:tcPr>
            <w:tcW w:type="dxa" w:w="33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Frontend</w:t>
            </w:r>
          </w:p>
        </w:tc>
        <w:tc>
          <w:tcPr>
            <w:tcW w:type="dxa" w:w="3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Next.js + TypeScript + Tailwind + shadcn/ui</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Fast iteration, great DX, beautiful defaults.</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33333"/>
                <w:sz w:val="20"/>
                <w:szCs w:val="20"/>
              </w:rPr>
              <w:t xml:space="preserve">API Gateway</w:t>
            </w:r>
          </w:p>
        </w:tc>
        <w:tc>
          <w:tcPr>
            <w:tcW w:type="dxa" w:w="3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Kong or custom Go service</w:t>
            </w:r>
          </w:p>
        </w:tc>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Rate limiting, auth, routing, observability.</w:t>
            </w:r>
          </w:p>
        </w:tc>
      </w:tr>
      <w:tr>
        <w:tc>
          <w:tcPr>
            <w:tcW w:type="dxa" w:w="2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Backend API</w:t>
            </w:r>
          </w:p>
        </w:tc>
        <w:tc>
          <w:tcPr>
            <w:tcW w:type="dxa" w:w="3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Go (Fiber/Echo) or Node (Fastify)</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High throughput, low latency. Go preferred for performance.</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33333"/>
                <w:sz w:val="20"/>
                <w:szCs w:val="20"/>
              </w:rPr>
              <w:t xml:space="preserve">Primary Database</w:t>
            </w:r>
          </w:p>
        </w:tc>
        <w:tc>
          <w:tcPr>
            <w:tcW w:type="dxa" w:w="3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PostgreSQL (via Supabase or RDS)</w:t>
            </w:r>
          </w:p>
        </w:tc>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Users, orgs, keys, settings. Mature, reliable.</w:t>
            </w:r>
          </w:p>
        </w:tc>
      </w:tr>
      <w:tr>
        <w:tc>
          <w:tcPr>
            <w:tcW w:type="dxa" w:w="2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Analytics Database</w:t>
            </w:r>
          </w:p>
        </w:tc>
        <w:tc>
          <w:tcPr>
            <w:tcW w:type="dxa" w:w="3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ClickHouse or TimescaleDB</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Time-series queries on billions of usage events. Columnar = fast.</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33333"/>
                <w:sz w:val="20"/>
                <w:szCs w:val="20"/>
              </w:rPr>
              <w:t xml:space="preserve">Cache / Rate Limiting</w:t>
            </w:r>
          </w:p>
        </w:tc>
        <w:tc>
          <w:tcPr>
            <w:tcW w:type="dxa" w:w="3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Redis Cluster or DragonflyDB</w:t>
            </w:r>
          </w:p>
        </w:tc>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Sub-ms latency for key validation and rate limit checks.</w:t>
            </w:r>
          </w:p>
        </w:tc>
      </w:tr>
      <w:tr>
        <w:tc>
          <w:tcPr>
            <w:tcW w:type="dxa" w:w="2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Message Queue</w:t>
            </w:r>
          </w:p>
        </w:tc>
        <w:tc>
          <w:tcPr>
            <w:tcW w:type="dxa" w:w="3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Apache Kafka or Redpanda</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Usage events, webhooks, async processing.</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33333"/>
                <w:sz w:val="20"/>
                <w:szCs w:val="20"/>
              </w:rPr>
              <w:t xml:space="preserve">Auth</w:t>
            </w:r>
          </w:p>
        </w:tc>
        <w:tc>
          <w:tcPr>
            <w:tcW w:type="dxa" w:w="3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Clerk, Auth0, or WorkOS</w:t>
            </w:r>
          </w:p>
        </w:tc>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SSO, MFA, RBAC out of the box. WorkOS for enterprise SSO.</w:t>
            </w:r>
          </w:p>
        </w:tc>
      </w:tr>
      <w:tr>
        <w:tc>
          <w:tcPr>
            <w:tcW w:type="dxa" w:w="2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Billing</w:t>
            </w:r>
          </w:p>
        </w:tc>
        <w:tc>
          <w:tcPr>
            <w:tcW w:type="dxa" w:w="3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Stripe + Orb (or Metronome)</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Stripe for payments, Orb/Metronome for usage-based metering.</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33333"/>
                <w:sz w:val="20"/>
                <w:szCs w:val="20"/>
              </w:rPr>
              <w:t xml:space="preserve">Observability</w:t>
            </w:r>
          </w:p>
        </w:tc>
        <w:tc>
          <w:tcPr>
            <w:tcW w:type="dxa" w:w="3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Grafana + Prometheus + OpenTelemetry</w:t>
            </w:r>
          </w:p>
        </w:tc>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Internal monitoring. Loki for logs. Tempo for traces.</w:t>
            </w:r>
          </w:p>
        </w:tc>
      </w:tr>
      <w:tr>
        <w:tc>
          <w:tcPr>
            <w:tcW w:type="dxa" w:w="2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CDN / Edge</w:t>
            </w:r>
          </w:p>
        </w:tc>
        <w:tc>
          <w:tcPr>
            <w:tcW w:type="dxa" w:w="3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Cloudflare</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DDoS protection, global caching, edge routing.</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33333"/>
                <w:sz w:val="20"/>
                <w:szCs w:val="20"/>
              </w:rPr>
              <w:t xml:space="preserve">Documentation</w:t>
            </w:r>
          </w:p>
        </w:tc>
        <w:tc>
          <w:tcPr>
            <w:tcW w:type="dxa" w:w="3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Mintlify, ReadMe, or GitBook</w:t>
            </w:r>
          </w:p>
        </w:tc>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Auto-generated API docs, interactive examples.</w:t>
            </w:r>
          </w:p>
        </w:tc>
      </w:tr>
      <w:tr>
        <w:tc>
          <w:tcPr>
            <w:tcW w:type="dxa" w:w="2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Status Page</w:t>
            </w:r>
          </w:p>
        </w:tc>
        <w:tc>
          <w:tcPr>
            <w:tcW w:type="dxa" w:w="3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Instatus or Atlassian Statuspage</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Public status page with incident management.</w:t>
            </w:r>
          </w:p>
        </w:tc>
      </w:tr>
    </w:tbl>
    <w:p>
      <w:pPr>
        <w:spacing w:after="200"/>
      </w:pPr>
    </w:p>
    <w:p>
      <w:pPr>
        <w:pBdr>
          <w:bottom w:val="single" w:color="D5E8F0" w:sz="4" w:space="8"/>
        </w:pBdr>
        <w:spacing w:after="200" w:before="200"/>
      </w:pPr>
    </w:p>
    <w:p>
      <w:pPr>
        <w:spacing w:after="200" w:before="200"/>
      </w:pPr>
      <w:r>
        <w:rPr>
          <w:rFonts w:ascii="Arial" w:cs="Arial" w:eastAsia="Arial" w:hAnsi="Arial"/>
          <w:i/>
          <w:iCs/>
          <w:color w:val="5A6577"/>
          <w:sz w:val="22"/>
          <w:szCs w:val="22"/>
        </w:rPr>
        <w:t xml:space="preserve">This blueprint covers the complete user-facing platform layer for an LLM API product. Each section can be expanded into its own PRD (Product Requirements Document) for engineering teams to implement. The recommended approach is to launch with Sections 1–5 as the MVP (auth, keys, dashboard, billing, playground), then add Sections 6–12 iteratively based on customer feedback and enterprise demand.</w:t>
      </w:r>
    </w:p>
    <w:p>
      <w:pPr>
        <w:spacing w:after="400"/>
      </w:pPr>
    </w:p>
    <w:p>
      <w:pPr>
        <w:jc w:val="center"/>
      </w:pPr>
      <w:r>
        <w:rPr>
          <w:rFonts w:ascii="Arial" w:cs="Arial" w:eastAsia="Arial" w:hAnsi="Arial"/>
          <w:color w:val="5A6577"/>
          <w:sz w:val="20"/>
          <w:szCs w:val="20"/>
        </w:rPr>
        <w:t xml:space="preserve">Prepared for Gagan | March 2026</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577"/>
        <w:sz w:val="16"/>
        <w:szCs w:val="16"/>
      </w:rPr>
      <w:t xml:space="preserve">Page </w:t>
    </w:r>
    <w:r>
      <w:rPr>
        <w:rFonts w:ascii="Arial" w:cs="Arial" w:eastAsia="Arial" w:hAnsi="Arial"/>
        <w:color w:val="5A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A6577"/>
        <w:sz w:val="16"/>
        <w:szCs w:val="16"/>
      </w:rPr>
      <w:t xml:space="preserve">LLM API Platform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75B6"/>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2026-03-18T06:02:01.228Z</dcterms:created>
  <dcterms:modified xsi:type="dcterms:W3CDTF">2026-03-18T06:02:01.229Z</dcterms:modified>
</cp:coreProperties>
</file>

<file path=docProps/custom.xml><?xml version="1.0" encoding="utf-8"?>
<Properties xmlns="http://schemas.openxmlformats.org/officeDocument/2006/custom-properties" xmlns:vt="http://schemas.openxmlformats.org/officeDocument/2006/docPropsVTypes"/>
</file>