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23.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GM%-grænser</w:t>
      </w:r>
    </w:p>
    <w:p>
      <w:pPr>
        <w:spacing w:after="140"/>
      </w:pPr>
      <w:r>
        <w:rPr>
          <w:b w:val="false"/>
          <w:bCs w:val="false"/>
          <w:i w:val="false"/>
          <w:iCs w:val="false"/>
          <w:sz w:val="22"/>
          <w:szCs w:val="22"/>
        </w:rPr>
        <w:t xml:space="preserve">Varer hvis margin ligger uden for et fast spænd sorteres fra, inden varerne lægges sammen til kundegruppe-niveau. Standarden er </w:t>
      </w:r>
      <w:r>
        <w:rPr>
          <w:b/>
          <w:bCs/>
          <w:i w:val="false"/>
          <w:iCs w:val="false"/>
          <w:sz w:val="22"/>
          <w:szCs w:val="22"/>
        </w:rPr>
        <w:t xml:space="preserve">under −50 %</w:t>
      </w:r>
      <w:r>
        <w:rPr>
          <w:b w:val="false"/>
          <w:bCs w:val="false"/>
          <w:i w:val="false"/>
          <w:iCs w:val="false"/>
          <w:sz w:val="22"/>
          <w:szCs w:val="22"/>
        </w:rPr>
        <w:t xml:space="preserve">, og der er ingen øvre grænse. Lader man et felt stå tomt, er der ingen grænse i den retning.</w:t>
      </w:r>
    </w:p>
    <w:p>
      <w:pPr>
        <w:spacing w:after="140"/>
      </w:pPr>
      <w:r>
        <w:rPr>
          <w:b w:val="false"/>
          <w:bCs w:val="false"/>
          <w:i w:val="false"/>
          <w:iCs w:val="false"/>
          <w:sz w:val="22"/>
          <w:szCs w:val="22"/>
        </w:rPr>
        <w:t xml:space="preserve">Den nedre standard fanger de rækker hvor omkostningen og omsætningen er landet i hver sin måned — en kreditnota eller en returvare — uden at røre ved varer der bare er solgt med tab. En øvre grænse omkring 100 % er værd at overveje: en GM over 100 % betyder at dækningsbidraget er større end omsætningen, hvilket ikke kan lade sig gøre ved et normalt salg.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En frasorteret vare tæller ikke med.  </w:t>
      </w:r>
      <w:r>
        <w:rPr>
          <w:sz w:val="21"/>
          <w:szCs w:val="21"/>
        </w:rPr>
        <w:t xml:space="preserve">Den ryger også ud af kundens samlede omsætning, GP og GM%. Ligger alle en kundes varer uden for spændet, beholdes de urørt, så kunden ikke forsvinder helt ud af analysen. De fjernede varer står på Excel-fanen Outliers med en årsag.</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Overskriften</w:t>
            </w:r>
          </w:p>
        </w:tc>
        <w:tc>
          <w:tcPr>
            <w:tcW w:type="pct" w:w="40%"/>
            <w:tcMar>
              <w:top w:type="dxa" w:w="90"/>
              <w:left w:type="dxa" w:w="130"/>
              <w:bottom w:type="dxa" w:w="90"/>
              <w:right w:type="dxa" w:w="130"/>
            </w:tcMar>
          </w:tcPr>
          <w:p>
            <w:pPr>
              <w:spacing w:after="0"/>
            </w:pPr>
            <w:r>
              <w:rPr>
                <w:b w:val="false"/>
                <w:bCs w:val="false"/>
                <w:sz w:val="21"/>
                <w:szCs w:val="21"/>
              </w:rPr>
              <w:t xml:space="preserve">Kundesegmentering – Kundegruppe – &lt;udsnit&gt;</w:t>
            </w:r>
          </w:p>
        </w:tc>
        <w:tc>
          <w:tcPr>
            <w:tcW w:type="pct" w:w="40%"/>
            <w:tcMar>
              <w:top w:type="dxa" w:w="90"/>
              <w:left w:type="dxa" w:w="130"/>
              <w:bottom w:type="dxa" w:w="90"/>
              <w:right w:type="dxa" w:w="130"/>
            </w:tcMar>
          </w:tcPr>
          <w:p>
            <w:pPr>
              <w:spacing w:after="0"/>
            </w:pPr>
            <w:r>
              <w:rPr>
                <w:b w:val="false"/>
                <w:bCs w:val="false"/>
                <w:sz w:val="21"/>
                <w:szCs w:val="21"/>
              </w:rPr>
              <w:t xml:space="preserve">Kundesegmentering – Item – &lt;udsnit&gt;</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Ét punkt 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én kundegruppe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tcMar>
              <w:top w:type="dxa" w:w="90"/>
              <w:left w:type="dxa" w:w="130"/>
              <w:bottom w:type="dxa" w:w="90"/>
              <w:right w:type="dxa" w:w="130"/>
            </w:tcMar>
          </w:tcPr>
          <w:p>
            <w:pPr>
              <w:spacing w:after="0"/>
            </w:pPr>
            <w:r>
              <w:rPr>
                <w:b w:val="false"/>
                <w:bCs w:val="false"/>
                <w:sz w:val="21"/>
                <w:szCs w:val="21"/>
              </w:rPr>
              <w:t xml:space="preserve">Farven følger</w:t>
            </w:r>
          </w:p>
        </w:tc>
        <w:tc>
          <w:tcPr>
            <w:tcW w:type="pct" w:w="40%"/>
            <w:tcMar>
              <w:top w:type="dxa" w:w="90"/>
              <w:left w:type="dxa" w:w="130"/>
              <w:bottom w:type="dxa" w:w="90"/>
              <w:right w:type="dxa" w:w="130"/>
            </w:tcMar>
          </w:tcPr>
          <w:p>
            <w:pPr>
              <w:spacing w:after="0"/>
            </w:pPr>
            <w:r>
              <w:rPr>
                <w:b w:val="false"/>
                <w:bCs w:val="false"/>
                <w:sz w:val="21"/>
                <w:szCs w:val="21"/>
              </w:rPr>
              <w:t xml:space="preserve">kundetypen</w:t>
            </w:r>
          </w:p>
        </w:tc>
        <w:tc>
          <w:tcPr>
            <w:tcW w:type="pct" w:w="40%"/>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Legenden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tcMar>
              <w:top w:type="dxa" w:w="90"/>
              <w:left w:type="dxa" w:w="130"/>
              <w:bottom w:type="dxa" w:w="90"/>
              <w:right w:type="dxa" w:w="130"/>
            </w:tcMar>
          </w:tcPr>
          <w:p>
            <w:pPr>
              <w:spacing w:after="0"/>
            </w:pPr>
            <w:r>
              <w:rPr>
                <w:b w:val="false"/>
                <w:bCs w:val="false"/>
                <w:sz w:val="21"/>
                <w:szCs w:val="21"/>
              </w:rPr>
              <w:t xml:space="preserve">Baggrunden viser</w:t>
            </w:r>
          </w:p>
        </w:tc>
        <w:tc>
          <w:tcPr>
            <w:tcW w:type="pct" w:w="40%"/>
            <w:tcMar>
              <w:top w:type="dxa" w:w="90"/>
              <w:left w:type="dxa" w:w="130"/>
              <w:bottom w:type="dxa" w:w="90"/>
              <w:right w:type="dxa" w:w="130"/>
            </w:tcMar>
          </w:tcPr>
          <w:p>
            <w:pPr>
              <w:spacing w:after="0"/>
            </w:pPr>
            <w:r>
              <w:rPr>
                <w:b w:val="false"/>
                <w:bCs w:val="false"/>
                <w:sz w:val="21"/>
                <w:szCs w:val="21"/>
              </w:rPr>
              <w:t xml:space="preserve">A/B/C/D-zonerne</w:t>
            </w:r>
          </w:p>
        </w:tc>
        <w:tc>
          <w:tcPr>
            <w:tcW w:type="pct" w:w="40%"/>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Bruges til</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pStyle w:val="Heading2"/>
        <w:spacing w:after="100" w:before="260"/>
      </w:pPr>
      <w:r>
        <w:rPr>
          <w:b/>
          <w:bCs/>
          <w:color w:val="2A5A8A"/>
          <w:sz w:val="24"/>
          <w:szCs w:val="24"/>
        </w:rPr>
        <w:t xml:space="preserve">Negativ omsætning</w:t>
      </w:r>
    </w:p>
    <w:p>
      <w:pPr>
        <w:spacing w:after="140"/>
      </w:pPr>
      <w:r>
        <w:rPr>
          <w:b w:val="false"/>
          <w:bCs w:val="false"/>
          <w:i w:val="false"/>
          <w:iCs w:val="false"/>
          <w:sz w:val="22"/>
          <w:szCs w:val="22"/>
        </w:rPr>
        <w:t xml:space="preserve">En logaritmisk akse kan ikke vise nul eller negative tal — logaritmen af dem findes ikke. Kunder og varer med negativ omsætning, altså kreditnotaer og returvarer, faldt derfor tidligere helt ud af grafen, selvom de talte med i kundens tal.</w:t>
      </w:r>
    </w:p>
    <w:p>
      <w:pPr>
        <w:spacing w:after="140"/>
      </w:pPr>
      <w:r>
        <w:rPr>
          <w:b w:val="false"/>
          <w:bCs w:val="false"/>
          <w:i w:val="false"/>
          <w:iCs w:val="false"/>
          <w:sz w:val="22"/>
          <w:szCs w:val="22"/>
        </w:rPr>
        <w:t xml:space="preserve">Er der nuller eller negative tal at vise, skifter Y-aksen nu til en </w:t>
      </w:r>
      <w:r>
        <w:rPr>
          <w:b/>
          <w:bCs/>
          <w:i w:val="false"/>
          <w:iCs w:val="false"/>
          <w:sz w:val="22"/>
          <w:szCs w:val="22"/>
        </w:rPr>
        <w:t xml:space="preserve">symlog-akse</w:t>
      </w:r>
      <w:r>
        <w:rPr>
          <w:b w:val="false"/>
          <w:bCs w:val="false"/>
          <w:i w:val="false"/>
          <w:iCs w:val="false"/>
          <w:sz w:val="22"/>
          <w:szCs w:val="22"/>
        </w:rPr>
        <w:t xml:space="preserve">: logaritmisk i begge retninger, med et lille lineært bælte omkring nul så tallene tæt på nul ikke breder sig ud i det uendelige. Mærkerne på aksen står stadig ved rigtige kronebeløb, og hover-boksen viser altid kroner. Er alt positivt, ser aksen ud præcis som før.</w:t>
      </w:r>
    </w:p>
    <w:p>
      <w:pPr>
        <w:spacing w:after="140"/>
      </w:pPr>
      <w:r>
        <w:rPr>
          <w:b w:val="false"/>
          <w:bCs w:val="false"/>
          <w:i w:val="false"/>
          <w:iCs w:val="false"/>
          <w:sz w:val="22"/>
          <w:szCs w:val="22"/>
        </w:rPr>
        <w:t xml:space="preserve">Under kundegruppe-grafen — mellem x-aksen og den første knaprække —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Under item-grafen, samme sted som farvekoden sidder på den anden graf,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Også filnavnene er oversat, så mappen kan sendes videre som den 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customer_segmentation_customer_group_sinter.html</w:t>
      </w:r>
      <w:r>
        <w:br/>
      </w:r>
      <w:r>
        <w:rPr>
          <w:rFonts w:ascii="Consolas" w:cs="Consolas" w:eastAsia="Consolas" w:hAnsi="Consolas"/>
          <w:sz w:val="19"/>
          <w:szCs w:val="19"/>
        </w:rPr>
        <w:t xml:space="preserve">    customer_segmentation_item_sinter.html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spacing w:after="140"/>
      </w:pPr>
      <w:r>
        <w:rPr>
          <w:b w:val="false"/>
          <w:bCs w:val="false"/>
          <w:i w:val="false"/>
          <w:iCs w:val="false"/>
          <w:sz w:val="22"/>
          <w:szCs w:val="22"/>
        </w:rPr>
        <w:t xml:space="preserve">Det samme gælder basisnavnet på filerne. Står feltet </w:t>
      </w:r>
      <w:r>
        <w:rPr>
          <w:b/>
          <w:bCs/>
          <w:i w:val="false"/>
          <w:iCs w:val="false"/>
          <w:sz w:val="22"/>
          <w:szCs w:val="22"/>
        </w:rPr>
        <w:t xml:space="preserve">Basisnavn (filer)</w:t>
      </w:r>
      <w:r>
        <w:rPr>
          <w:b w:val="false"/>
          <w:bCs w:val="false"/>
          <w:i w:val="false"/>
          <w:iCs w:val="false"/>
          <w:sz w:val="22"/>
          <w:szCs w:val="22"/>
        </w:rPr>
        <w:t xml:space="preserve"> på fabriksnavnet kunde_segmentering, er det vores eget ord, og det bliver til customer_segmentation. Har du selv skrevet et navn, er det dit, og det står uændret på begge sprog.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GM%-grænserne</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der sat en GM%-grænse,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og GM%-grænser</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En vare mangler på item-grafen</w:t>
            </w:r>
          </w:p>
        </w:tc>
        <w:tc>
          <w:tcPr>
            <w:tcW w:type="pct" w:w="62%"/>
            <w:tcMar>
              <w:top w:type="dxa" w:w="90"/>
              <w:left w:type="dxa" w:w="130"/>
              <w:bottom w:type="dxa" w:w="90"/>
              <w:right w:type="dxa" w:w="130"/>
            </w:tcMar>
          </w:tcPr>
          <w:p>
            <w:pPr>
              <w:spacing w:after="0"/>
            </w:pPr>
            <w:r>
              <w:rPr>
                <w:b w:val="false"/>
                <w:bCs w:val="false"/>
                <w:sz w:val="21"/>
                <w:szCs w:val="21"/>
              </w:rPr>
              <w:t xml:space="preserve">Enten mangler varen et turnover-tal i vinduet og kan derfor ikke placeres, eller også er den sorteret fra af GM%-grænsen. Fanen Outliers i Excel-rapporten viser hvilke varer der blev fjernet, og hvorfor.</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Y-aksen ser anderledes ud end sidst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Der er kommet kunder eller varer med negativ omsætning med. Så skifter aksen til symlog og får negative mærker — se kapitel 6.</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2026-09-23T14:59:34.198Z</dcterms:created>
  <dcterms:modified xsi:type="dcterms:W3CDTF">2026-09-23T14:59:34.198Z</dcterms:modified>
</cp:coreProperties>
</file>

<file path=docProps/custom.xml><?xml version="1.0" encoding="utf-8"?>
<Properties xmlns="http://schemas.openxmlformats.org/officeDocument/2006/custom-properties" xmlns:vt="http://schemas.openxmlformats.org/officeDocument/2006/docPropsVTypes"/>
</file>