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120" w:before="0"/>
      </w:pPr>
      <w:r>
        <w:rPr>
          <w:rFonts w:ascii="Calibri Light" w:cs="Calibri Light" w:eastAsia="Calibri Light" w:hAnsi="Calibri Light"/>
          <w:b/>
          <w:bCs/>
          <w:color w:val="1A4A7A"/>
          <w:sz w:val="56"/>
          <w:szCs w:val="56"/>
        </w:rPr>
        <w:t xml:space="preserve">Kundesegmentering</w:t>
      </w:r>
    </w:p>
    <w:p>
      <w:pPr>
        <w:spacing w:after="400"/>
      </w:pPr>
      <w:r>
        <w:rPr>
          <w:rFonts w:ascii="Calibri Light" w:cs="Calibri Light" w:eastAsia="Calibri Light" w:hAnsi="Calibri Light"/>
          <w:color w:val="555555"/>
          <w:sz w:val="28"/>
          <w:szCs w:val="28"/>
        </w:rPr>
        <w:t xml:space="preserve">En introduktion til hvordan analysen virker</w:t>
      </w:r>
    </w:p>
    <w:p>
      <w:pPr>
        <w:spacing w:after="140"/>
      </w:pPr>
      <w:r>
        <w:rPr>
          <w:b w:val="false"/>
          <w:bCs w:val="false"/>
          <w:i w:val="false"/>
          <w:iCs w:val="false"/>
          <w:sz w:val="22"/>
          <w:szCs w:val="22"/>
        </w:rPr>
        <w:t xml:space="preserve">Dette dokument beskriver hvad segmenteringsværktøjet gør, hvilke data det bygger på, og hvordan resultatet skal læses. Det er skrevet til dig der skal overtage værktøjet — ikke til den der skal rette i koden.</w:t>
      </w:r>
    </w:p>
    <w:p>
      <w:pPr>
        <w:spacing w:after="600"/>
      </w:pPr>
      <w:r>
        <w:t xml:space="preserve"/>
      </w:r>
    </w:p>
    <w:p>
      <w:pPr>
        <w:spacing w:after="140"/>
      </w:pPr>
      <w:r>
        <w:rPr>
          <w:b w:val="false"/>
          <w:bCs w:val="false"/>
          <w:i w:val="false"/>
          <w:iCs w:val="false"/>
          <w:color w:val="555555"/>
          <w:sz w:val="22"/>
          <w:szCs w:val="22"/>
        </w:rPr>
        <w:t xml:space="preserve">Version af 29. oktober 2026</w:t>
      </w:r>
    </w:p>
    <w:p>
      <w:r>
        <w:br w:type="page"/>
      </w:r>
    </w:p>
    <w:p>
      <w:pPr>
        <w:pStyle w:val="Heading1"/>
        <w:spacing w:after="160" w:before="360"/>
      </w:pPr>
      <w:r>
        <w:rPr>
          <w:b/>
          <w:bCs/>
          <w:color w:val="1A4A7A"/>
          <w:sz w:val="32"/>
          <w:szCs w:val="32"/>
        </w:rPr>
        <w:t xml:space="preserve">Indhold</w:t>
      </w:r>
    </w:p>
    <w:p>
      <w:pPr>
        <w:spacing w:after="90"/>
      </w:pPr>
      <w:r>
        <w:rPr>
          <w:b w:val="false"/>
          <w:bCs w:val="false"/>
          <w:i w:val="false"/>
          <w:iCs w:val="false"/>
          <w:sz w:val="22"/>
          <w:szCs w:val="22"/>
        </w:rPr>
        <w:t xml:space="preserve">1  Hvad værktøjet er til for</w:t>
      </w:r>
    </w:p>
    <w:p>
      <w:pPr>
        <w:spacing w:after="90"/>
      </w:pPr>
      <w:r>
        <w:rPr>
          <w:b w:val="false"/>
          <w:bCs w:val="false"/>
          <w:i w:val="false"/>
          <w:iCs w:val="false"/>
          <w:sz w:val="22"/>
          <w:szCs w:val="22"/>
        </w:rPr>
        <w:t xml:space="preserve">2  Sådan starter du programmet</w:t>
      </w:r>
    </w:p>
    <w:p>
      <w:pPr>
        <w:spacing w:after="90"/>
      </w:pPr>
      <w:r>
        <w:rPr>
          <w:b w:val="false"/>
          <w:bCs w:val="false"/>
          <w:i w:val="false"/>
          <w:iCs w:val="false"/>
          <w:sz w:val="22"/>
          <w:szCs w:val="22"/>
        </w:rPr>
        <w:t xml:space="preserve">3  Excel-filen programmet læser</w:t>
      </w:r>
    </w:p>
    <w:p>
      <w:pPr>
        <w:spacing w:after="90"/>
      </w:pPr>
      <w:r>
        <w:rPr>
          <w:b w:val="false"/>
          <w:bCs w:val="false"/>
          <w:i w:val="false"/>
          <w:iCs w:val="false"/>
          <w:sz w:val="22"/>
          <w:szCs w:val="22"/>
        </w:rPr>
        <w:t xml:space="preserve">4  Sådan behandles data, trin for trin</w:t>
      </w:r>
    </w:p>
    <w:p>
      <w:pPr>
        <w:spacing w:after="90"/>
      </w:pPr>
      <w:r>
        <w:rPr>
          <w:b w:val="false"/>
          <w:bCs w:val="false"/>
          <w:i w:val="false"/>
          <w:iCs w:val="false"/>
          <w:sz w:val="22"/>
          <w:szCs w:val="22"/>
        </w:rPr>
        <w:t xml:space="preserve">5  Et gennemgående regneeksempel</w:t>
      </w:r>
    </w:p>
    <w:p>
      <w:pPr>
        <w:spacing w:after="90"/>
      </w:pPr>
      <w:r>
        <w:rPr>
          <w:b w:val="false"/>
          <w:bCs w:val="false"/>
          <w:i w:val="false"/>
          <w:iCs w:val="false"/>
          <w:sz w:val="22"/>
          <w:szCs w:val="22"/>
        </w:rPr>
        <w:t xml:space="preserve">6  De to grafer</w:t>
      </w:r>
    </w:p>
    <w:p>
      <w:pPr>
        <w:spacing w:after="90"/>
      </w:pPr>
      <w:r>
        <w:rPr>
          <w:b w:val="false"/>
          <w:bCs w:val="false"/>
          <w:i w:val="false"/>
          <w:iCs w:val="false"/>
          <w:sz w:val="22"/>
          <w:szCs w:val="22"/>
        </w:rPr>
        <w:t xml:space="preserve">7  Knapperne under graferne</w:t>
      </w:r>
    </w:p>
    <w:p>
      <w:pPr>
        <w:spacing w:after="90"/>
      </w:pPr>
      <w:r>
        <w:rPr>
          <w:b w:val="false"/>
          <w:bCs w:val="false"/>
          <w:i w:val="false"/>
          <w:iCs w:val="false"/>
          <w:sz w:val="22"/>
          <w:szCs w:val="22"/>
        </w:rPr>
        <w:t xml:space="preserve">8  Udsnit, filnavne og hvor resultatet havner</w:t>
      </w:r>
    </w:p>
    <w:p>
      <w:pPr>
        <w:spacing w:after="90"/>
      </w:pPr>
      <w:r>
        <w:rPr>
          <w:b w:val="false"/>
          <w:bCs w:val="false"/>
          <w:i w:val="false"/>
          <w:iCs w:val="false"/>
          <w:sz w:val="22"/>
          <w:szCs w:val="22"/>
        </w:rPr>
        <w:t xml:space="preserve">9  Excel-rapporten</w:t>
      </w:r>
    </w:p>
    <w:p>
      <w:pPr>
        <w:spacing w:after="90"/>
      </w:pPr>
      <w:r>
        <w:rPr>
          <w:b w:val="false"/>
          <w:bCs w:val="false"/>
          <w:i w:val="false"/>
          <w:iCs w:val="false"/>
          <w:sz w:val="22"/>
          <w:szCs w:val="22"/>
        </w:rPr>
        <w:t xml:space="preserve">10  Indstillinger og egne standardværdier</w:t>
      </w:r>
    </w:p>
    <w:p>
      <w:pPr>
        <w:spacing w:after="90"/>
      </w:pPr>
      <w:r>
        <w:rPr>
          <w:b w:val="false"/>
          <w:bCs w:val="false"/>
          <w:i w:val="false"/>
          <w:iCs w:val="false"/>
          <w:sz w:val="22"/>
          <w:szCs w:val="22"/>
        </w:rPr>
        <w:t xml:space="preserve">11  Når noget går galt</w:t>
      </w:r>
    </w:p>
    <w:p>
      <w:pPr>
        <w:spacing w:after="90"/>
      </w:pPr>
      <w:r>
        <w:rPr>
          <w:b w:val="false"/>
          <w:bCs w:val="false"/>
          <w:i w:val="false"/>
          <w:iCs w:val="false"/>
          <w:sz w:val="22"/>
          <w:szCs w:val="22"/>
        </w:rPr>
        <w:t xml:space="preserve">12  Ordliste</w:t>
      </w:r>
    </w:p>
    <w:p>
      <w:pPr>
        <w:spacing w:after="90"/>
      </w:pPr>
      <w:r>
        <w:rPr>
          <w:b w:val="false"/>
          <w:bCs w:val="false"/>
          <w:i w:val="false"/>
          <w:iCs w:val="false"/>
          <w:sz w:val="22"/>
          <w:szCs w:val="22"/>
        </w:rPr>
        <w:t xml:space="preserve">13  Sådan bygges programmet igen</w:t>
      </w:r>
    </w:p>
    <w:p>
      <w:r>
        <w:br w:type="page"/>
      </w:r>
    </w:p>
    <w:p>
      <w:pPr>
        <w:pStyle w:val="Heading1"/>
        <w:spacing w:after="160" w:before="360"/>
      </w:pPr>
      <w:r>
        <w:rPr>
          <w:b/>
          <w:bCs/>
          <w:color w:val="1A4A7A"/>
          <w:sz w:val="32"/>
          <w:szCs w:val="32"/>
        </w:rPr>
        <w:t xml:space="preserve">1  Hvad værktøjet er til for</w:t>
      </w:r>
    </w:p>
    <w:p>
      <w:pPr>
        <w:spacing w:after="140"/>
      </w:pPr>
      <w:r>
        <w:rPr>
          <w:b w:val="false"/>
          <w:bCs w:val="false"/>
          <w:i w:val="false"/>
          <w:iCs w:val="false"/>
          <w:sz w:val="22"/>
          <w:szCs w:val="22"/>
        </w:rPr>
        <w:t xml:space="preserve">Værktøjet placerer hver kunde i et koordinatsystem med to akser, så det kan ses på ét blik hvem der fylder meget, og hvem der tjenes penge på:</w:t>
      </w:r>
    </w:p>
    <w:p>
      <w:pPr>
        <w:pStyle w:val="ListParagraph"/>
        <w:numPr>
          <w:ilvl w:val="0"/>
          <w:numId w:val="1"/>
        </w:numPr>
        <w:spacing w:after="60"/>
      </w:pPr>
      <w:r>
        <w:rPr>
          <w:b/>
          <w:bCs/>
          <w:sz w:val="22"/>
          <w:szCs w:val="22"/>
        </w:rPr>
        <w:t xml:space="preserve">X-aksen: Gross Margin %</w:t>
      </w:r>
      <w:r>
        <w:rPr>
          <w:b w:val="false"/>
          <w:bCs w:val="false"/>
          <w:sz w:val="22"/>
          <w:szCs w:val="22"/>
        </w:rPr>
        <w:t xml:space="preserve"> — hvor stor en del af omsætningen der bliver til dækningsbidrag.</w:t>
      </w:r>
    </w:p>
    <w:p>
      <w:pPr>
        <w:pStyle w:val="ListParagraph"/>
        <w:numPr>
          <w:ilvl w:val="0"/>
          <w:numId w:val="1"/>
        </w:numPr>
        <w:spacing w:after="60"/>
      </w:pPr>
      <w:r>
        <w:rPr>
          <w:b/>
          <w:bCs/>
          <w:sz w:val="22"/>
          <w:szCs w:val="22"/>
        </w:rPr>
        <w:t xml:space="preserve">Y-aksen: Turnover</w:t>
      </w:r>
      <w:r>
        <w:rPr>
          <w:b w:val="false"/>
          <w:bCs w:val="false"/>
          <w:sz w:val="22"/>
          <w:szCs w:val="22"/>
        </w:rPr>
        <w:t xml:space="preserve"> — hvor meget kunden har omsat for i et rullende vindue på typisk 12 måneder.</w:t>
      </w:r>
    </w:p>
    <w:p>
      <w:pPr>
        <w:spacing w:after="200"/>
      </w:pPr>
      <w:r>
        <w:rPr>
          <w:b w:val="false"/>
          <w:bCs w:val="false"/>
          <w:i w:val="false"/>
          <w:iCs w:val="false"/>
          <w:sz w:val="22"/>
          <w:szCs w:val="22"/>
        </w:rPr>
        <w:t xml:space="preserve">Ud fra placeringen får hver kunde en </w:t>
      </w:r>
      <w:r>
        <w:rPr>
          <w:b/>
          <w:bCs/>
          <w:i w:val="false"/>
          <w:iCs w:val="false"/>
          <w:sz w:val="22"/>
          <w:szCs w:val="22"/>
        </w:rPr>
        <w:t xml:space="preserve">kundekategori</w:t>
      </w:r>
      <w:r>
        <w:rPr>
          <w:b w:val="false"/>
          <w:bCs w:val="false"/>
          <w:i w:val="false"/>
          <w:iCs w:val="false"/>
          <w:sz w:val="22"/>
          <w:szCs w:val="22"/>
        </w:rPr>
        <w:t xml:space="preserve"> — A+, A-, B+, B- og så videre. Bogstavet fortæller om volumen, og plus eller minus fortæller om marginen lever op til kravet for netop den volumen. En stor kunde med lav margin er altså ikke det samme som en lille kunde med lav margin.</w:t>
      </w:r>
    </w:p>
    <w:p>
      <w:pPr>
        <w:spacing w:after="140"/>
      </w:pPr>
      <w:r>
        <w:rPr>
          <w:b w:val="false"/>
          <w:bCs w:val="false"/>
          <w:i w:val="false"/>
          <w:iCs w:val="false"/>
          <w:sz w:val="22"/>
          <w:szCs w:val="22"/>
        </w:rPr>
        <w:t xml:space="preserve">Resultatet er to ting:</w:t>
      </w:r>
    </w:p>
    <w:p>
      <w:pPr>
        <w:pStyle w:val="ListParagraph"/>
        <w:numPr>
          <w:ilvl w:val="0"/>
          <w:numId w:val="1"/>
        </w:numPr>
        <w:spacing w:after="60"/>
      </w:pPr>
      <w:r>
        <w:rPr>
          <w:b w:val="false"/>
          <w:bCs w:val="false"/>
          <w:sz w:val="22"/>
          <w:szCs w:val="22"/>
        </w:rPr>
        <w:t xml:space="preserve">Interaktive </w:t>
      </w:r>
      <w:r>
        <w:rPr>
          <w:b/>
          <w:bCs/>
          <w:sz w:val="22"/>
          <w:szCs w:val="22"/>
        </w:rPr>
        <w:t xml:space="preserve">grafer</w:t>
      </w:r>
      <w:r>
        <w:rPr>
          <w:b w:val="false"/>
          <w:bCs w:val="false"/>
          <w:sz w:val="22"/>
          <w:szCs w:val="22"/>
        </w:rPr>
        <w:t xml:space="preserve"> (HTML-filer der åbnes i en browser).</w:t>
      </w:r>
    </w:p>
    <w:p>
      <w:pPr>
        <w:pStyle w:val="ListParagraph"/>
        <w:numPr>
          <w:ilvl w:val="0"/>
          <w:numId w:val="1"/>
        </w:numPr>
        <w:spacing w:after="60"/>
      </w:pPr>
      <w:r>
        <w:rPr>
          <w:b w:val="false"/>
          <w:bCs w:val="false"/>
          <w:sz w:val="22"/>
          <w:szCs w:val="22"/>
        </w:rPr>
        <w:t xml:space="preserve">En </w:t>
      </w:r>
      <w:r>
        <w:rPr>
          <w:b/>
          <w:bCs/>
          <w:sz w:val="22"/>
          <w:szCs w:val="22"/>
        </w:rPr>
        <w:t xml:space="preserve">Excel-rapport</w:t>
      </w:r>
      <w:r>
        <w:rPr>
          <w:b w:val="false"/>
          <w:bCs w:val="false"/>
          <w:sz w:val="22"/>
          <w:szCs w:val="22"/>
        </w:rPr>
        <w:t xml:space="preserve"> med tallene bag hvert punkt.</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Kort sagt:  </w:t>
      </w:r>
      <w:r>
        <w:rPr>
          <w:sz w:val="21"/>
          <w:szCs w:val="21"/>
        </w:rPr>
        <w:t xml:space="preserve">programmet regner ikke noget nyt ud som ikke allerede står i salgsudtrækket. Det samler tallene op på kunde-niveau, skærer de perioder fra der ikke skal tælle med, og tegner resultatet.</w:t>
      </w:r>
    </w:p>
    <w:p>
      <w:pPr>
        <w:pStyle w:val="Heading1"/>
        <w:spacing w:after="160" w:before="360"/>
      </w:pPr>
      <w:r>
        <w:rPr>
          <w:b/>
          <w:bCs/>
          <w:color w:val="1A4A7A"/>
          <w:sz w:val="32"/>
          <w:szCs w:val="32"/>
        </w:rPr>
        <w:t xml:space="preserve">2  Sådan starter du programmet</w:t>
      </w:r>
    </w:p>
    <w:p>
      <w:pPr>
        <w:spacing w:after="140"/>
      </w:pPr>
      <w:r>
        <w:rPr>
          <w:b w:val="false"/>
          <w:bCs w:val="false"/>
          <w:i w:val="false"/>
          <w:iCs w:val="false"/>
          <w:sz w:val="22"/>
          <w:szCs w:val="22"/>
        </w:rPr>
        <w:t xml:space="preserve">Programmet er én enkelt fil — </w:t>
      </w:r>
      <w:r>
        <w:rPr>
          <w:b/>
          <w:bCs/>
          <w:i w:val="false"/>
          <w:iCs w:val="false"/>
          <w:sz w:val="22"/>
          <w:szCs w:val="22"/>
        </w:rPr>
        <w:t xml:space="preserve">Kundesegmentering.exe</w:t>
      </w:r>
      <w:r>
        <w:rPr>
          <w:b w:val="false"/>
          <w:bCs w:val="false"/>
          <w:i w:val="false"/>
          <w:iCs w:val="false"/>
          <w:sz w:val="22"/>
          <w:szCs w:val="22"/>
        </w:rPr>
        <w:t xml:space="preserve">. Den indeholder alt hvad der skal bruges, så der skal ikke installeres Python eller andet. Dobbeltklik på filen, og vinduet åbner.</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Første start:  </w:t>
      </w:r>
      <w:r>
        <w:rPr>
          <w:sz w:val="21"/>
          <w:szCs w:val="21"/>
        </w:rPr>
        <w:t xml:space="preserve">tager typisk 5–15 sekunder, fordi filen pakker sig selv ud. Der sker ikke noget på skærmen imens. Bagefter går det hurtigt.</w:t>
      </w:r>
    </w:p>
    <w:p>
      <w:pPr>
        <w:pStyle w:val="Heading2"/>
        <w:spacing w:after="100" w:before="260"/>
      </w:pPr>
      <w:r>
        <w:rPr>
          <w:b/>
          <w:bCs/>
          <w:color w:val="2A5A8A"/>
          <w:sz w:val="24"/>
          <w:szCs w:val="24"/>
        </w:rPr>
        <w:t xml:space="preserve">Adgangskoden</w:t>
      </w:r>
    </w:p>
    <w:p>
      <w:pPr>
        <w:spacing w:after="140"/>
      </w:pPr>
      <w:r>
        <w:rPr>
          <w:b w:val="false"/>
          <w:bCs w:val="false"/>
          <w:i w:val="false"/>
          <w:iCs w:val="false"/>
          <w:sz w:val="22"/>
          <w:szCs w:val="22"/>
        </w:rPr>
        <w:t xml:space="preserve">Først kommer en lille boks der beder om en adgangskode. Tastes den rigtigt, åbner programmet; ellers lukker det efter tre forsøg. Koden får du af den der har givet dig programmet. Store og små bogstaver er uden betydning.</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Hvad koden er — og ikke er:  </w:t>
      </w:r>
      <w:r>
        <w:rPr>
          <w:sz w:val="21"/>
          <w:szCs w:val="21"/>
        </w:rPr>
        <w:t xml:space="preserve">den holder programmet fra at blive åbnet af nogen der ikke skal bruge det. Den beskytter ikke data: selve Excel-filen og de mapper programmet skriver i er ikke låst, og den der kan køre programmet kan også prøve sig frem. Betragt den som en dørklokke, ikke som en lås.</w:t>
      </w:r>
    </w:p>
    <w:p>
      <w:pPr>
        <w:spacing w:after="140"/>
      </w:pPr>
      <w:r>
        <w:rPr>
          <w:b w:val="false"/>
          <w:bCs w:val="false"/>
          <w:i w:val="false"/>
          <w:iCs w:val="false"/>
          <w:sz w:val="22"/>
          <w:szCs w:val="22"/>
        </w:rPr>
        <w:t xml:space="preserve">Læg filen et sted hvor der må skrives — skrivebordet eller et fællesdrev. Programmet lægger nemlig sit resultat i en </w:t>
      </w:r>
      <w:r>
        <w:rPr>
          <w:b/>
          <w:bCs/>
          <w:i w:val="false"/>
          <w:iCs w:val="false"/>
          <w:sz w:val="22"/>
          <w:szCs w:val="22"/>
        </w:rPr>
        <w:t xml:space="preserve">dateret mappe ved siden af sig selv</w:t>
      </w:r>
      <w:r>
        <w:rPr>
          <w:b w:val="false"/>
          <w:bCs w:val="false"/>
          <w:i w:val="false"/>
          <w:iCs w:val="false"/>
          <w:sz w:val="22"/>
          <w:szCs w:val="22"/>
        </w:rPr>
        <w:t xml:space="preserve">:</w:t>
      </w:r>
    </w:p>
    <w:p>
      <w:pPr>
        <w:shd w:fill="F2F2F2" w:val="clear"/>
        <w:spacing w:after="160" w:before="100"/>
        <w:ind w:left="288"/>
      </w:pPr>
      <w:r>
        <w:rPr>
          <w:rFonts w:ascii="Consolas" w:cs="Consolas" w:eastAsia="Consolas" w:hAnsi="Consolas"/>
          <w:sz w:val="19"/>
          <w:szCs w:val="19"/>
        </w:rPr>
        <w:t xml:space="preserve">Kundesegmentering.exe</w:t>
      </w:r>
      <w:r>
        <w:br/>
      </w:r>
      <w:r>
        <w:rPr>
          <w:rFonts w:ascii="Consolas" w:cs="Consolas" w:eastAsia="Consolas" w:hAnsi="Consolas"/>
          <w:sz w:val="19"/>
          <w:szCs w:val="19"/>
        </w:rPr>
        <w:t xml:space="preserve">Kundesegmentering 2026-09-15\</w:t>
      </w:r>
      <w:r>
        <w:br/>
      </w:r>
      <w:r>
        <w:rPr>
          <w:rFonts w:ascii="Consolas" w:cs="Consolas" w:eastAsia="Consolas" w:hAnsi="Consolas"/>
          <w:sz w:val="19"/>
          <w:szCs w:val="19"/>
        </w:rPr>
        <w:t xml:space="preserve">    customer_price_matrix_kundegruppe.html</w:t>
      </w:r>
      <w:r>
        <w:br/>
      </w:r>
      <w:r>
        <w:rPr>
          <w:rFonts w:ascii="Consolas" w:cs="Consolas" w:eastAsia="Consolas" w:hAnsi="Consolas"/>
          <w:sz w:val="19"/>
          <w:szCs w:val="19"/>
        </w:rPr>
        <w:t xml:space="preserve">    customer_price_matrix_item.html</w:t>
      </w:r>
      <w:r>
        <w:br/>
      </w:r>
      <w:r>
        <w:rPr>
          <w:rFonts w:ascii="Consolas" w:cs="Consolas" w:eastAsia="Consolas" w:hAnsi="Consolas"/>
          <w:sz w:val="19"/>
          <w:szCs w:val="19"/>
        </w:rPr>
        <w:t xml:space="preserve">    customer_price_matrix.xlsx</w:t>
      </w:r>
    </w:p>
    <w:p>
      <w:pPr>
        <w:spacing w:after="200"/>
      </w:pPr>
      <w:r>
        <w:rPr>
          <w:b w:val="false"/>
          <w:bCs w:val="false"/>
          <w:i w:val="false"/>
          <w:iCs w:val="false"/>
          <w:sz w:val="22"/>
          <w:szCs w:val="22"/>
        </w:rPr>
        <w:t xml:space="preserve">Ligger programmet i en mappe der er skrivebeskyttet — for eksempel C:\Program Files — kan det ikke gemme noget, og du får en fejlbesked om det.</w:t>
      </w:r>
    </w:p>
    <w:p>
      <w:pPr>
        <w:pStyle w:val="Heading2"/>
        <w:spacing w:after="100" w:before="260"/>
      </w:pPr>
      <w:r>
        <w:rPr>
          <w:b/>
          <w:bCs/>
          <w:color w:val="2A5A8A"/>
          <w:sz w:val="24"/>
          <w:szCs w:val="24"/>
        </w:rPr>
        <w:t xml:space="preserve">Vinduet</w:t>
      </w:r>
    </w:p>
    <w:p>
      <w:pPr>
        <w:spacing w:after="140"/>
      </w:pPr>
      <w:r>
        <w:rPr>
          <w:b w:val="false"/>
          <w:bCs w:val="false"/>
          <w:i w:val="false"/>
          <w:iCs w:val="false"/>
          <w:sz w:val="22"/>
          <w:szCs w:val="22"/>
        </w:rPr>
        <w:t xml:space="preserve">Forsiden er bevidst kort. Der er tre felter du skal forholde dig til:</w:t>
      </w:r>
    </w:p>
    <w:tbl>
      <w:tblPr>
        <w:tblW w:type="pct" w:w="5000"/>
        <w:tblBorders>
          <w:top w:val="single" w:color="C8D4E0" w:sz="1"/>
          <w:left w:val="single" w:color="C8D4E0" w:sz="1"/>
          <w:bottom w:val="single" w:color="C8D4E0" w:sz="1"/>
          <w:right w:val="single" w:color="C8D4E0" w:sz="1"/>
          <w:insideH w:val="single" w:color="C8D4E0" w:sz="1"/>
          <w:insideV w:val="single" w:color="C8D4E0" w:sz="1"/>
        </w:tblBorders>
      </w:tblPr>
      <w:tblGrid>
        <w:gridCol w:w="2347"/>
        <w:gridCol w:w="6679"/>
      </w:tblGrid>
      <w:tr>
        <w:trPr>
          <w:tblHeader/>
        </w:trPr>
        <w:tc>
          <w:tcPr>
            <w:tcW w:type="pct" w:w="1300"/>
            <w:shd w:fill="1A4A7A" w:val="clear"/>
            <w:tcMar>
              <w:top w:type="dxa" w:w="90"/>
              <w:left w:type="dxa" w:w="130"/>
              <w:bottom w:type="dxa" w:w="90"/>
              <w:right w:type="dxa" w:w="130"/>
            </w:tcMar>
          </w:tcPr>
          <w:p>
            <w:pPr>
              <w:spacing w:after="0"/>
            </w:pPr>
            <w:r>
              <w:rPr>
                <w:b/>
                <w:bCs/>
                <w:color w:val="FFFFFF"/>
                <w:sz w:val="21"/>
                <w:szCs w:val="21"/>
              </w:rPr>
              <w:t xml:space="preserve">Felt</w:t>
            </w:r>
          </w:p>
        </w:tc>
        <w:tc>
          <w:tcPr>
            <w:tcW w:type="pct" w:w="3700"/>
            <w:shd w:fill="1A4A7A" w:val="clear"/>
            <w:tcMar>
              <w:top w:type="dxa" w:w="90"/>
              <w:left w:type="dxa" w:w="130"/>
              <w:bottom w:type="dxa" w:w="90"/>
              <w:right w:type="dxa" w:w="130"/>
            </w:tcMar>
          </w:tcPr>
          <w:p>
            <w:pPr>
              <w:spacing w:after="0"/>
            </w:pPr>
            <w:r>
              <w:rPr>
                <w:b/>
                <w:bCs/>
                <w:color w:val="FFFFFF"/>
                <w:sz w:val="21"/>
                <w:szCs w:val="21"/>
              </w:rPr>
              <w:t xml:space="preserve">Hvad det er</w:t>
            </w:r>
          </w:p>
        </w:tc>
      </w:tr>
      <w:tr>
        <w:tc>
          <w:tcPr>
            <w:tcW w:type="pct" w:w="1300"/>
            <w:tcMar>
              <w:top w:type="dxa" w:w="90"/>
              <w:left w:type="dxa" w:w="130"/>
              <w:bottom w:type="dxa" w:w="90"/>
              <w:right w:type="dxa" w:w="130"/>
            </w:tcMar>
          </w:tcPr>
          <w:p>
            <w:pPr>
              <w:spacing w:after="0"/>
            </w:pPr>
            <w:r>
              <w:rPr>
                <w:b w:val="false"/>
                <w:bCs w:val="false"/>
                <w:sz w:val="21"/>
                <w:szCs w:val="21"/>
              </w:rPr>
              <w:t xml:space="preserve">Excel-fil</w:t>
            </w:r>
          </w:p>
        </w:tc>
        <w:tc>
          <w:tcPr>
            <w:tcW w:type="pct" w:w="3700"/>
            <w:tcMar>
              <w:top w:type="dxa" w:w="90"/>
              <w:left w:type="dxa" w:w="130"/>
              <w:bottom w:type="dxa" w:w="90"/>
              <w:right w:type="dxa" w:w="130"/>
            </w:tcMar>
          </w:tcPr>
          <w:p>
            <w:pPr>
              <w:spacing w:after="0"/>
            </w:pPr>
            <w:r>
              <w:rPr>
                <w:b w:val="false"/>
                <w:bCs w:val="false"/>
                <w:sz w:val="21"/>
                <w:szCs w:val="21"/>
              </w:rPr>
              <w:t xml:space="preserve">Salgsudtrækket. Tryk “Vælg…” og find filen. Både .xlsx, .xlsm og .xls kan bruges.</w:t>
            </w:r>
          </w:p>
        </w:tc>
      </w:tr>
      <w:tr>
        <w:tc>
          <w:tcPr>
            <w:tcW w:type="pct" w:w="1300"/>
            <w:shd w:fill="F5F8FB" w:val="clear"/>
            <w:tcMar>
              <w:top w:type="dxa" w:w="90"/>
              <w:left w:type="dxa" w:w="130"/>
              <w:bottom w:type="dxa" w:w="90"/>
              <w:right w:type="dxa" w:w="130"/>
            </w:tcMar>
          </w:tcPr>
          <w:p>
            <w:pPr>
              <w:spacing w:after="0"/>
            </w:pPr>
            <w:r>
              <w:rPr>
                <w:b w:val="false"/>
                <w:bCs w:val="false"/>
                <w:sz w:val="21"/>
                <w:szCs w:val="21"/>
              </w:rPr>
              <w:t xml:space="preserve">Dags dato</w:t>
            </w:r>
          </w:p>
        </w:tc>
        <w:tc>
          <w:tcPr>
            <w:tcW w:type="pct" w:w="3700"/>
            <w:shd w:fill="F5F8FB" w:val="clear"/>
            <w:tcMar>
              <w:top w:type="dxa" w:w="90"/>
              <w:left w:type="dxa" w:w="130"/>
              <w:bottom w:type="dxa" w:w="90"/>
              <w:right w:type="dxa" w:w="130"/>
            </w:tcMar>
          </w:tcPr>
          <w:p>
            <w:pPr>
              <w:spacing w:after="0"/>
            </w:pPr>
            <w:r>
              <w:rPr>
                <w:b w:val="false"/>
                <w:bCs w:val="false"/>
                <w:sz w:val="21"/>
                <w:szCs w:val="21"/>
              </w:rPr>
              <w:t xml:space="preserve">Skæringsdatoen for hele analysen, på formen MM-ÅÅÅÅ. Udfyldes automatisk med indeværende måned.</w:t>
            </w:r>
          </w:p>
        </w:tc>
      </w:tr>
      <w:tr>
        <w:tc>
          <w:tcPr>
            <w:tcW w:type="pct" w:w="1300"/>
            <w:tcMar>
              <w:top w:type="dxa" w:w="90"/>
              <w:left w:type="dxa" w:w="130"/>
              <w:bottom w:type="dxa" w:w="90"/>
              <w:right w:type="dxa" w:w="130"/>
            </w:tcMar>
          </w:tcPr>
          <w:p>
            <w:pPr>
              <w:spacing w:after="0"/>
            </w:pPr>
            <w:r>
              <w:rPr>
                <w:b w:val="false"/>
                <w:bCs w:val="false"/>
                <w:sz w:val="21"/>
                <w:szCs w:val="21"/>
              </w:rPr>
              <w:t xml:space="preserve">Ny-regnskabsår</w:t>
            </w:r>
          </w:p>
        </w:tc>
        <w:tc>
          <w:tcPr>
            <w:tcW w:type="pct" w:w="3700"/>
            <w:tcMar>
              <w:top w:type="dxa" w:w="90"/>
              <w:left w:type="dxa" w:w="130"/>
              <w:bottom w:type="dxa" w:w="90"/>
              <w:right w:type="dxa" w:w="130"/>
            </w:tcMar>
          </w:tcPr>
          <w:p>
            <w:pPr>
              <w:spacing w:after="0"/>
            </w:pPr>
            <w:r>
              <w:rPr>
                <w:b w:val="false"/>
                <w:bCs w:val="false"/>
                <w:sz w:val="21"/>
                <w:szCs w:val="21"/>
              </w:rPr>
              <w:t xml:space="preserve">Regnskabsåret der bruges til at finde NYE kunder, på formen ÅÅÅÅ/ÅÅ. Udfyldes automatisk.</w:t>
            </w:r>
          </w:p>
        </w:tc>
      </w:tr>
    </w:tbl>
    <w:p>
      <w:pPr>
        <w:spacing w:after="160"/>
      </w:pPr>
      <w:r>
        <w:t xml:space="preserve"/>
      </w:r>
    </w:p>
    <w:p>
      <w:pPr>
        <w:spacing w:after="140"/>
      </w:pPr>
      <w:r>
        <w:rPr>
          <w:b w:val="false"/>
          <w:bCs w:val="false"/>
          <w:i w:val="false"/>
          <w:iCs w:val="false"/>
          <w:sz w:val="22"/>
          <w:szCs w:val="22"/>
        </w:rPr>
        <w:t xml:space="preserve">Alt andet ligger bag knappen </w:t>
      </w:r>
      <w:r>
        <w:rPr>
          <w:b/>
          <w:bCs/>
          <w:i w:val="false"/>
          <w:iCs w:val="false"/>
          <w:sz w:val="22"/>
          <w:szCs w:val="22"/>
        </w:rPr>
        <w:t xml:space="preserve">Indstillinger</w:t>
      </w:r>
      <w:r>
        <w:rPr>
          <w:b w:val="false"/>
          <w:bCs w:val="false"/>
          <w:i w:val="false"/>
          <w:iCs w:val="false"/>
          <w:sz w:val="22"/>
          <w:szCs w:val="22"/>
        </w:rPr>
        <w:t xml:space="preserve">. Tryk </w:t>
      </w:r>
      <w:r>
        <w:rPr>
          <w:b/>
          <w:bCs/>
          <w:i w:val="false"/>
          <w:iCs w:val="false"/>
          <w:sz w:val="22"/>
          <w:szCs w:val="22"/>
        </w:rPr>
        <w:t xml:space="preserve">Kør analyse</w:t>
      </w:r>
      <w:r>
        <w:rPr>
          <w:b w:val="false"/>
          <w:bCs w:val="false"/>
          <w:i w:val="false"/>
          <w:iCs w:val="false"/>
          <w:sz w:val="22"/>
          <w:szCs w:val="22"/>
        </w:rPr>
        <w:t xml:space="preserve"> når felterne er udfyldt. Mens analysen kører, vises en bjælke der bevæger sig, og nederst står hvilket trin der er i gang. Når den er færdig, står der ✅ og stien til mappen med resultatet.</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Hjælp undervejs:  </w:t>
      </w:r>
      <w:r>
        <w:rPr>
          <w:sz w:val="21"/>
          <w:szCs w:val="21"/>
        </w:rPr>
        <w:t xml:space="preserve">det lille blå spørgsmålstegn ved hvert felt forklarer feltet. Knappen øverst — “Hjælp – hvordan behandles data?” — åbner den samme gennemgang som kapitel 4 og 5 i dette dokument.</w:t>
      </w:r>
    </w:p>
    <w:p>
      <w:r>
        <w:br w:type="page"/>
      </w:r>
    </w:p>
    <w:p>
      <w:pPr>
        <w:pStyle w:val="Heading1"/>
        <w:spacing w:after="160" w:before="360"/>
      </w:pPr>
      <w:r>
        <w:rPr>
          <w:b/>
          <w:bCs/>
          <w:color w:val="1A4A7A"/>
          <w:sz w:val="32"/>
          <w:szCs w:val="32"/>
        </w:rPr>
        <w:t xml:space="preserve">3  Excel-filen programmet læser</w:t>
      </w:r>
    </w:p>
    <w:p>
      <w:pPr>
        <w:spacing w:after="140"/>
      </w:pPr>
      <w:r>
        <w:rPr>
          <w:b w:val="false"/>
          <w:bCs w:val="false"/>
          <w:i w:val="false"/>
          <w:iCs w:val="false"/>
          <w:sz w:val="22"/>
          <w:szCs w:val="22"/>
        </w:rPr>
        <w:t xml:space="preserve">Programmet leder selv efter overskriftsrækken, så tabellen må gerne starte længere nede i arket. En forside, et logo eller nogle nøgletal ovenover gør ingen skade — den første række der indeholder samtlige påkrævede kolonnenavne bliver brugt som overskrift.</w:t>
      </w:r>
    </w:p>
    <w:p>
      <w:pPr>
        <w:pStyle w:val="Heading2"/>
        <w:spacing w:after="100" w:before="260"/>
      </w:pPr>
      <w:r>
        <w:rPr>
          <w:b/>
          <w:bCs/>
          <w:color w:val="2A5A8A"/>
          <w:sz w:val="24"/>
          <w:szCs w:val="24"/>
        </w:rPr>
        <w:t xml:space="preserve">Påkrævede kolonner</w:t>
      </w:r>
    </w:p>
    <w:p>
      <w:pPr>
        <w:spacing w:after="140"/>
      </w:pPr>
      <w:r>
        <w:rPr>
          <w:b w:val="false"/>
          <w:bCs w:val="false"/>
          <w:i w:val="false"/>
          <w:iCs w:val="false"/>
          <w:sz w:val="22"/>
          <w:szCs w:val="22"/>
        </w:rPr>
        <w:t xml:space="preserve">Uden disse kan analysen ikke køre. Navnene matches uafhængigt af store og små bogstaver.</w:t>
      </w:r>
    </w:p>
    <w:tbl>
      <w:tblPr>
        <w:tblW w:type="pct" w:w="5000"/>
        <w:tblBorders>
          <w:top w:val="single" w:color="C8D4E0" w:sz="1"/>
          <w:left w:val="single" w:color="C8D4E0" w:sz="1"/>
          <w:bottom w:val="single" w:color="C8D4E0" w:sz="1"/>
          <w:right w:val="single" w:color="C8D4E0" w:sz="1"/>
          <w:insideH w:val="single" w:color="C8D4E0" w:sz="1"/>
          <w:insideV w:val="single" w:color="C8D4E0" w:sz="1"/>
        </w:tblBorders>
      </w:tblPr>
      <w:tblGrid>
        <w:gridCol w:w="2708"/>
        <w:gridCol w:w="6318"/>
      </w:tblGrid>
      <w:tr>
        <w:trPr>
          <w:tblHeader/>
        </w:trPr>
        <w:tc>
          <w:tcPr>
            <w:tcW w:type="pct" w:w="1500"/>
            <w:shd w:fill="1A4A7A" w:val="clear"/>
            <w:tcMar>
              <w:top w:type="dxa" w:w="90"/>
              <w:left w:type="dxa" w:w="130"/>
              <w:bottom w:type="dxa" w:w="90"/>
              <w:right w:type="dxa" w:w="130"/>
            </w:tcMar>
          </w:tcPr>
          <w:p>
            <w:pPr>
              <w:spacing w:after="0"/>
            </w:pPr>
            <w:r>
              <w:rPr>
                <w:b/>
                <w:bCs/>
                <w:color w:val="FFFFFF"/>
                <w:sz w:val="21"/>
                <w:szCs w:val="21"/>
              </w:rPr>
              <w:t xml:space="preserve">Kolonne</w:t>
            </w:r>
          </w:p>
        </w:tc>
        <w:tc>
          <w:tcPr>
            <w:tcW w:type="pct" w:w="3500"/>
            <w:shd w:fill="1A4A7A" w:val="clear"/>
            <w:tcMar>
              <w:top w:type="dxa" w:w="90"/>
              <w:left w:type="dxa" w:w="130"/>
              <w:bottom w:type="dxa" w:w="90"/>
              <w:right w:type="dxa" w:w="130"/>
            </w:tcMar>
          </w:tcPr>
          <w:p>
            <w:pPr>
              <w:spacing w:after="0"/>
            </w:pPr>
            <w:r>
              <w:rPr>
                <w:b/>
                <w:bCs/>
                <w:color w:val="FFFFFF"/>
                <w:sz w:val="21"/>
                <w:szCs w:val="21"/>
              </w:rPr>
              <w:t xml:space="preserve">Indhold</w:t>
            </w:r>
          </w:p>
        </w:tc>
      </w:tr>
      <w:tr>
        <w:tc>
          <w:tcPr>
            <w:tcW w:type="pct" w:w="1500"/>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Statistics group</w:t>
            </w:r>
          </w:p>
        </w:tc>
        <w:tc>
          <w:tcPr>
            <w:tcW w:type="pct" w:w="3500"/>
            <w:tcMar>
              <w:top w:type="dxa" w:w="90"/>
              <w:left w:type="dxa" w:w="130"/>
              <w:bottom w:type="dxa" w:w="90"/>
              <w:right w:type="dxa" w:w="130"/>
            </w:tcMar>
          </w:tcPr>
          <w:p>
            <w:pPr>
              <w:spacing w:after="0"/>
            </w:pPr>
            <w:r>
              <w:rPr>
                <w:b w:val="false"/>
                <w:bCs w:val="false"/>
                <w:sz w:val="21"/>
                <w:szCs w:val="21"/>
              </w:rPr>
              <w:t xml:space="preserve">Kundegruppen — det der bliver til ét punkt på kundegruppe-plottet.</w:t>
            </w:r>
          </w:p>
        </w:tc>
      </w:tr>
      <w:tr>
        <w:tc>
          <w:tcPr>
            <w:tcW w:type="pct" w:w="1500"/>
            <w:shd w:fill="F5F8FB" w:val="clear"/>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Item no.</w:t>
            </w:r>
          </w:p>
        </w:tc>
        <w:tc>
          <w:tcPr>
            <w:tcW w:type="pct" w:w="3500"/>
            <w:shd w:fill="F5F8FB" w:val="clear"/>
            <w:tcMar>
              <w:top w:type="dxa" w:w="90"/>
              <w:left w:type="dxa" w:w="130"/>
              <w:bottom w:type="dxa" w:w="90"/>
              <w:right w:type="dxa" w:w="130"/>
            </w:tcMar>
          </w:tcPr>
          <w:p>
            <w:pPr>
              <w:spacing w:after="0"/>
            </w:pPr>
            <w:r>
              <w:rPr>
                <w:b w:val="false"/>
                <w:bCs w:val="false"/>
                <w:sz w:val="21"/>
                <w:szCs w:val="21"/>
              </w:rPr>
              <w:t xml:space="preserve">Varenummeret.</w:t>
            </w:r>
          </w:p>
        </w:tc>
      </w:tr>
      <w:tr>
        <w:tc>
          <w:tcPr>
            <w:tcW w:type="pct" w:w="1500"/>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Year-mo</w:t>
            </w:r>
          </w:p>
        </w:tc>
        <w:tc>
          <w:tcPr>
            <w:tcW w:type="pct" w:w="3500"/>
            <w:tcMar>
              <w:top w:type="dxa" w:w="90"/>
              <w:left w:type="dxa" w:w="130"/>
              <w:bottom w:type="dxa" w:w="90"/>
              <w:right w:type="dxa" w:w="130"/>
            </w:tcMar>
          </w:tcPr>
          <w:p>
            <w:pPr>
              <w:spacing w:after="0"/>
            </w:pPr>
            <w:r>
              <w:rPr>
                <w:b w:val="false"/>
                <w:bCs w:val="false"/>
                <w:sz w:val="21"/>
                <w:szCs w:val="21"/>
              </w:rPr>
              <w:t xml:space="preserve">Perioden, fx 2026-05.</w:t>
            </w:r>
          </w:p>
        </w:tc>
      </w:tr>
      <w:tr>
        <w:tc>
          <w:tcPr>
            <w:tcW w:type="pct" w:w="1500"/>
            <w:shd w:fill="F5F8FB" w:val="clear"/>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Turnover DKK</w:t>
            </w:r>
          </w:p>
        </w:tc>
        <w:tc>
          <w:tcPr>
            <w:tcW w:type="pct" w:w="3500"/>
            <w:shd w:fill="F5F8FB" w:val="clear"/>
            <w:tcMar>
              <w:top w:type="dxa" w:w="90"/>
              <w:left w:type="dxa" w:w="130"/>
              <w:bottom w:type="dxa" w:w="90"/>
              <w:right w:type="dxa" w:w="130"/>
            </w:tcMar>
          </w:tcPr>
          <w:p>
            <w:pPr>
              <w:spacing w:after="0"/>
            </w:pPr>
            <w:r>
              <w:rPr>
                <w:b w:val="false"/>
                <w:bCs w:val="false"/>
                <w:sz w:val="21"/>
                <w:szCs w:val="21"/>
              </w:rPr>
              <w:t xml:space="preserve">Omsætning i kroner.</w:t>
            </w:r>
          </w:p>
        </w:tc>
      </w:tr>
      <w:tr>
        <w:tc>
          <w:tcPr>
            <w:tcW w:type="pct" w:w="1500"/>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Local_COGS_DKK</w:t>
            </w:r>
          </w:p>
        </w:tc>
        <w:tc>
          <w:tcPr>
            <w:tcW w:type="pct" w:w="3500"/>
            <w:tcMar>
              <w:top w:type="dxa" w:w="90"/>
              <w:left w:type="dxa" w:w="130"/>
              <w:bottom w:type="dxa" w:w="90"/>
              <w:right w:type="dxa" w:w="130"/>
            </w:tcMar>
          </w:tcPr>
          <w:p>
            <w:pPr>
              <w:spacing w:after="0"/>
            </w:pPr>
            <w:r>
              <w:rPr>
                <w:b w:val="false"/>
                <w:bCs w:val="false"/>
                <w:sz w:val="21"/>
                <w:szCs w:val="21"/>
              </w:rPr>
              <w:t xml:space="preserve">Vareforbrug i kroner.</w:t>
            </w:r>
          </w:p>
        </w:tc>
      </w:tr>
      <w:tr>
        <w:tc>
          <w:tcPr>
            <w:tcW w:type="pct" w:w="1500"/>
            <w:shd w:fill="F5F8FB" w:val="clear"/>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Cons_GP_DKK</w:t>
            </w:r>
          </w:p>
        </w:tc>
        <w:tc>
          <w:tcPr>
            <w:tcW w:type="pct" w:w="3500"/>
            <w:shd w:fill="F5F8FB" w:val="clear"/>
            <w:tcMar>
              <w:top w:type="dxa" w:w="90"/>
              <w:left w:type="dxa" w:w="130"/>
              <w:bottom w:type="dxa" w:w="90"/>
              <w:right w:type="dxa" w:w="130"/>
            </w:tcMar>
          </w:tcPr>
          <w:p>
            <w:pPr>
              <w:spacing w:after="0"/>
            </w:pPr>
            <w:r>
              <w:rPr>
                <w:b w:val="false"/>
                <w:bCs w:val="false"/>
                <w:sz w:val="21"/>
                <w:szCs w:val="21"/>
              </w:rPr>
              <w:t xml:space="preserve">Dækningsbidrag i kroner, konsolideret. Bruges som standard.</w:t>
            </w:r>
          </w:p>
        </w:tc>
      </w:tr>
      <w:tr>
        <w:tc>
          <w:tcPr>
            <w:tcW w:type="pct" w:w="1500"/>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Local_GP_DKK</w:t>
            </w:r>
          </w:p>
        </w:tc>
        <w:tc>
          <w:tcPr>
            <w:tcW w:type="pct" w:w="3500"/>
            <w:tcMar>
              <w:top w:type="dxa" w:w="90"/>
              <w:left w:type="dxa" w:w="130"/>
              <w:bottom w:type="dxa" w:w="90"/>
              <w:right w:type="dxa" w:w="130"/>
            </w:tcMar>
          </w:tcPr>
          <w:p>
            <w:pPr>
              <w:spacing w:after="0"/>
            </w:pPr>
            <w:r>
              <w:rPr>
                <w:b w:val="false"/>
                <w:bCs w:val="false"/>
                <w:sz w:val="21"/>
                <w:szCs w:val="21"/>
              </w:rPr>
              <w:t xml:space="preserve">Dækningsbidrag i kroner, lokal opgørelse. Kan vælges i stedet.</w:t>
            </w:r>
          </w:p>
        </w:tc>
      </w:tr>
      <w:tr>
        <w:tc>
          <w:tcPr>
            <w:tcW w:type="pct" w:w="1500"/>
            <w:shd w:fill="F5F8FB" w:val="clear"/>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Cost</w:t>
            </w:r>
          </w:p>
        </w:tc>
        <w:tc>
          <w:tcPr>
            <w:tcW w:type="pct" w:w="3500"/>
            <w:shd w:fill="F5F8FB" w:val="clear"/>
            <w:tcMar>
              <w:top w:type="dxa" w:w="90"/>
              <w:left w:type="dxa" w:w="130"/>
              <w:bottom w:type="dxa" w:w="90"/>
              <w:right w:type="dxa" w:w="130"/>
            </w:tcMar>
          </w:tcPr>
          <w:p>
            <w:pPr>
              <w:spacing w:after="0"/>
            </w:pPr>
            <w:r>
              <w:rPr>
                <w:b w:val="false"/>
                <w:bCs w:val="false"/>
                <w:sz w:val="21"/>
                <w:szCs w:val="21"/>
              </w:rPr>
              <w:t xml:space="preserve">Kostpris.</w:t>
            </w:r>
          </w:p>
        </w:tc>
      </w:tr>
      <w:tr>
        <w:tc>
          <w:tcPr>
            <w:tcW w:type="pct" w:w="1500"/>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Qty.</w:t>
            </w:r>
          </w:p>
        </w:tc>
        <w:tc>
          <w:tcPr>
            <w:tcW w:type="pct" w:w="3500"/>
            <w:tcMar>
              <w:top w:type="dxa" w:w="90"/>
              <w:left w:type="dxa" w:w="130"/>
              <w:bottom w:type="dxa" w:w="90"/>
              <w:right w:type="dxa" w:w="130"/>
            </w:tcMar>
          </w:tcPr>
          <w:p>
            <w:pPr>
              <w:spacing w:after="0"/>
            </w:pPr>
            <w:r>
              <w:rPr>
                <w:b w:val="false"/>
                <w:bCs w:val="false"/>
                <w:sz w:val="21"/>
                <w:szCs w:val="21"/>
              </w:rPr>
              <w:t xml:space="preserve">Antal.</w:t>
            </w:r>
          </w:p>
        </w:tc>
      </w:tr>
    </w:tbl>
    <w:p>
      <w:pPr>
        <w:spacing w:after="160"/>
      </w:pPr>
      <w:r>
        <w:t xml:space="preserve"/>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Mangler en kolonne?  </w:t>
      </w:r>
      <w:r>
        <w:rPr>
          <w:sz w:val="21"/>
          <w:szCs w:val="21"/>
        </w:rPr>
        <w:t xml:space="preserve">så stopper programmet med det samme og skriver præcis hvilke der mangler — og hvad der faktisk stod i overskriftsrækken. Så er det som regel et navn der er blevet stavet om i udtrækket.</w:t>
      </w:r>
    </w:p>
    <w:p>
      <w:pPr>
        <w:pStyle w:val="Heading2"/>
        <w:spacing w:after="100" w:before="260"/>
      </w:pPr>
      <w:r>
        <w:rPr>
          <w:b/>
          <w:bCs/>
          <w:color w:val="2A5A8A"/>
          <w:sz w:val="24"/>
          <w:szCs w:val="24"/>
        </w:rPr>
        <w:t xml:space="preserve">Valgfrie kolonner</w:t>
      </w:r>
    </w:p>
    <w:p>
      <w:pPr>
        <w:spacing w:after="140"/>
      </w:pPr>
      <w:r>
        <w:rPr>
          <w:b w:val="false"/>
          <w:bCs w:val="false"/>
          <w:i w:val="false"/>
          <w:iCs w:val="false"/>
          <w:sz w:val="22"/>
          <w:szCs w:val="22"/>
        </w:rPr>
        <w:t xml:space="preserve">Hver af disse låser en ekstra funktion op. Mangler de, kører analysen bare uden.</w:t>
      </w:r>
    </w:p>
    <w:tbl>
      <w:tblPr>
        <w:tblW w:type="pct" w:w="5000"/>
        <w:tblBorders>
          <w:top w:val="single" w:color="C8D4E0" w:sz="1"/>
          <w:left w:val="single" w:color="C8D4E0" w:sz="1"/>
          <w:bottom w:val="single" w:color="C8D4E0" w:sz="1"/>
          <w:right w:val="single" w:color="C8D4E0" w:sz="1"/>
          <w:insideH w:val="single" w:color="C8D4E0" w:sz="1"/>
          <w:insideV w:val="single" w:color="C8D4E0" w:sz="1"/>
        </w:tblBorders>
      </w:tblPr>
      <w:tblGrid>
        <w:gridCol w:w="2708"/>
        <w:gridCol w:w="6318"/>
      </w:tblGrid>
      <w:tr>
        <w:trPr>
          <w:tblHeader/>
        </w:trPr>
        <w:tc>
          <w:tcPr>
            <w:tcW w:type="pct" w:w="1500"/>
            <w:shd w:fill="1A4A7A" w:val="clear"/>
            <w:tcMar>
              <w:top w:type="dxa" w:w="90"/>
              <w:left w:type="dxa" w:w="130"/>
              <w:bottom w:type="dxa" w:w="90"/>
              <w:right w:type="dxa" w:w="130"/>
            </w:tcMar>
          </w:tcPr>
          <w:p>
            <w:pPr>
              <w:spacing w:after="0"/>
            </w:pPr>
            <w:r>
              <w:rPr>
                <w:b/>
                <w:bCs/>
                <w:color w:val="FFFFFF"/>
                <w:sz w:val="21"/>
                <w:szCs w:val="21"/>
              </w:rPr>
              <w:t xml:space="preserve">Kolonne</w:t>
            </w:r>
          </w:p>
        </w:tc>
        <w:tc>
          <w:tcPr>
            <w:tcW w:type="pct" w:w="3500"/>
            <w:shd w:fill="1A4A7A" w:val="clear"/>
            <w:tcMar>
              <w:top w:type="dxa" w:w="90"/>
              <w:left w:type="dxa" w:w="130"/>
              <w:bottom w:type="dxa" w:w="90"/>
              <w:right w:type="dxa" w:w="130"/>
            </w:tcMar>
          </w:tcPr>
          <w:p>
            <w:pPr>
              <w:spacing w:after="0"/>
            </w:pPr>
            <w:r>
              <w:rPr>
                <w:b/>
                <w:bCs/>
                <w:color w:val="FFFFFF"/>
                <w:sz w:val="21"/>
                <w:szCs w:val="21"/>
              </w:rPr>
              <w:t xml:space="preserve">Låser op for</w:t>
            </w:r>
          </w:p>
        </w:tc>
      </w:tr>
      <w:tr>
        <w:tc>
          <w:tcPr>
            <w:tcW w:type="pct" w:w="1500"/>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Turnover type</w:t>
            </w:r>
          </w:p>
        </w:tc>
        <w:tc>
          <w:tcPr>
            <w:tcW w:type="pct" w:w="3500"/>
            <w:tcMar>
              <w:top w:type="dxa" w:w="90"/>
              <w:left w:type="dxa" w:w="130"/>
              <w:bottom w:type="dxa" w:w="90"/>
              <w:right w:type="dxa" w:w="130"/>
            </w:tcMar>
          </w:tcPr>
          <w:p>
            <w:pPr>
              <w:spacing w:after="0"/>
            </w:pPr>
            <w:r>
              <w:rPr>
                <w:b w:val="false"/>
                <w:bCs w:val="false"/>
                <w:sz w:val="21"/>
                <w:szCs w:val="21"/>
              </w:rPr>
              <w:t xml:space="preserve">Frasortering af bestemte typer, og opdelingen i DK og CN.</w:t>
            </w:r>
          </w:p>
        </w:tc>
      </w:tr>
      <w:tr>
        <w:tc>
          <w:tcPr>
            <w:tcW w:type="pct" w:w="1500"/>
            <w:shd w:fill="F5F8FB" w:val="clear"/>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Fiscal year</w:t>
            </w:r>
          </w:p>
        </w:tc>
        <w:tc>
          <w:tcPr>
            <w:tcW w:type="pct" w:w="3500"/>
            <w:shd w:fill="F5F8FB" w:val="clear"/>
            <w:tcMar>
              <w:top w:type="dxa" w:w="90"/>
              <w:left w:type="dxa" w:w="130"/>
              <w:bottom w:type="dxa" w:w="90"/>
              <w:right w:type="dxa" w:w="130"/>
            </w:tcMar>
          </w:tcPr>
          <w:p>
            <w:pPr>
              <w:spacing w:after="0"/>
            </w:pPr>
            <w:r>
              <w:rPr>
                <w:b w:val="false"/>
                <w:bCs w:val="false"/>
                <w:sz w:val="21"/>
                <w:szCs w:val="21"/>
              </w:rPr>
              <w:t xml:space="preserve">Identifikation af nye kunder.</w:t>
            </w:r>
          </w:p>
        </w:tc>
      </w:tr>
      <w:tr>
        <w:tc>
          <w:tcPr>
            <w:tcW w:type="pct" w:w="1500"/>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Industry_segment</w:t>
            </w:r>
          </w:p>
        </w:tc>
        <w:tc>
          <w:tcPr>
            <w:tcW w:type="pct" w:w="3500"/>
            <w:tcMar>
              <w:top w:type="dxa" w:w="90"/>
              <w:left w:type="dxa" w:w="130"/>
              <w:bottom w:type="dxa" w:w="90"/>
              <w:right w:type="dxa" w:w="130"/>
            </w:tcMar>
          </w:tcPr>
          <w:p>
            <w:pPr>
              <w:spacing w:after="0"/>
            </w:pPr>
            <w:r>
              <w:rPr>
                <w:b w:val="false"/>
                <w:bCs w:val="false"/>
                <w:sz w:val="21"/>
                <w:szCs w:val="21"/>
              </w:rPr>
              <w:t xml:space="preserve">Farvet kant på kundegruppe-plottet og en fremhæv-knap pr. branche.</w:t>
            </w:r>
          </w:p>
        </w:tc>
      </w:tr>
      <w:tr>
        <w:tc>
          <w:tcPr>
            <w:tcW w:type="pct" w:w="1500"/>
            <w:shd w:fill="F5F8FB" w:val="clear"/>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KAM</w:t>
            </w:r>
          </w:p>
        </w:tc>
        <w:tc>
          <w:tcPr>
            <w:tcW w:type="pct" w:w="3500"/>
            <w:shd w:fill="F5F8FB" w:val="clear"/>
            <w:tcMar>
              <w:top w:type="dxa" w:w="90"/>
              <w:left w:type="dxa" w:w="130"/>
              <w:bottom w:type="dxa" w:w="90"/>
              <w:right w:type="dxa" w:w="130"/>
            </w:tcMar>
          </w:tcPr>
          <w:p>
            <w:pPr>
              <w:spacing w:after="0"/>
            </w:pPr>
            <w:r>
              <w:rPr>
                <w:b w:val="false"/>
                <w:bCs w:val="false"/>
                <w:sz w:val="21"/>
                <w:szCs w:val="21"/>
              </w:rPr>
              <w:t xml:space="preserve">Tænd/sluk-knapper pr. key account manager på begge grafer.</w:t>
            </w:r>
          </w:p>
        </w:tc>
      </w:tr>
    </w:tbl>
    <w:p>
      <w:r>
        <w:br w:type="page"/>
      </w:r>
    </w:p>
    <w:p>
      <w:pPr>
        <w:pStyle w:val="Heading1"/>
        <w:spacing w:after="160" w:before="360"/>
      </w:pPr>
      <w:r>
        <w:rPr>
          <w:b/>
          <w:bCs/>
          <w:color w:val="1A4A7A"/>
          <w:sz w:val="32"/>
          <w:szCs w:val="32"/>
        </w:rPr>
        <w:t xml:space="preserve">4  Sådan behandles data, trin for trin</w:t>
      </w:r>
    </w:p>
    <w:p>
      <w:pPr>
        <w:spacing w:after="140"/>
      </w:pPr>
      <w:r>
        <w:rPr>
          <w:b w:val="false"/>
          <w:bCs w:val="false"/>
          <w:i w:val="false"/>
          <w:iCs w:val="false"/>
          <w:sz w:val="22"/>
          <w:szCs w:val="22"/>
        </w:rPr>
        <w:t xml:space="preserve">Rækkefølgen betyder noget: frasorteringen sker først, så alle beregninger bygger på nøjagtig det samme grundlag.</w:t>
      </w:r>
    </w:p>
    <w:p>
      <w:pPr>
        <w:pStyle w:val="Heading2"/>
        <w:spacing w:after="100" w:before="260"/>
      </w:pPr>
      <w:r>
        <w:rPr>
          <w:b/>
          <w:bCs/>
          <w:color w:val="2A5A8A"/>
          <w:sz w:val="24"/>
          <w:szCs w:val="24"/>
        </w:rPr>
        <w:t xml:space="preserve">Trin 1 — Frasortering</w:t>
      </w:r>
    </w:p>
    <w:p>
      <w:pPr>
        <w:spacing w:after="140"/>
      </w:pPr>
      <w:r>
        <w:rPr>
          <w:b w:val="false"/>
          <w:bCs w:val="false"/>
          <w:i w:val="false"/>
          <w:iCs w:val="false"/>
          <w:sz w:val="22"/>
          <w:szCs w:val="22"/>
        </w:rPr>
        <w:t xml:space="preserve">Følgende rækker fjernes, inden der regnes:</w:t>
      </w:r>
    </w:p>
    <w:p>
      <w:pPr>
        <w:pStyle w:val="ListParagraph"/>
        <w:numPr>
          <w:ilvl w:val="0"/>
          <w:numId w:val="1"/>
        </w:numPr>
        <w:spacing w:after="60"/>
      </w:pPr>
      <w:r>
        <w:rPr>
          <w:b/>
          <w:bCs/>
          <w:sz w:val="22"/>
          <w:szCs w:val="22"/>
        </w:rPr>
        <w:t xml:space="preserve">Perioder efter dags dato.</w:t>
      </w:r>
      <w:r>
        <w:rPr>
          <w:b w:val="false"/>
          <w:bCs w:val="false"/>
          <w:sz w:val="22"/>
          <w:szCs w:val="22"/>
        </w:rPr>
        <w:t xml:space="preserve"> De regnes som budgettal. Er dags dato 06-2026, tæller 06-2026 med, mens 07-2026 og frem falder fra.</w:t>
      </w:r>
    </w:p>
    <w:p>
      <w:pPr>
        <w:pStyle w:val="ListParagraph"/>
        <w:numPr>
          <w:ilvl w:val="0"/>
          <w:numId w:val="1"/>
        </w:numPr>
        <w:spacing w:after="60"/>
      </w:pPr>
      <w:r>
        <w:rPr>
          <w:b/>
          <w:bCs/>
          <w:sz w:val="22"/>
          <w:szCs w:val="22"/>
        </w:rPr>
        <w:t xml:space="preserve">Ekskluderede kundegrupper</w:t>
      </w:r>
      <w:r>
        <w:rPr>
          <w:b w:val="false"/>
          <w:bCs w:val="false"/>
          <w:sz w:val="22"/>
          <w:szCs w:val="22"/>
        </w:rPr>
        <w:t xml:space="preserve"> — fx interne konti og testkunder.</w:t>
      </w:r>
    </w:p>
    <w:p>
      <w:pPr>
        <w:pStyle w:val="ListParagraph"/>
        <w:numPr>
          <w:ilvl w:val="0"/>
          <w:numId w:val="1"/>
        </w:numPr>
        <w:spacing w:after="60"/>
      </w:pPr>
      <w:r>
        <w:rPr>
          <w:b/>
          <w:bCs/>
          <w:sz w:val="22"/>
          <w:szCs w:val="22"/>
        </w:rPr>
        <w:t xml:space="preserve">Ekskluderede turnover-typer.</w:t>
      </w:r>
    </w:p>
    <w:p>
      <w:pPr>
        <w:pStyle w:val="ListParagraph"/>
        <w:numPr>
          <w:ilvl w:val="0"/>
          <w:numId w:val="1"/>
        </w:numPr>
        <w:spacing w:after="60"/>
      </w:pPr>
      <w:r>
        <w:rPr>
          <w:b/>
          <w:bCs/>
          <w:sz w:val="22"/>
          <w:szCs w:val="22"/>
        </w:rPr>
        <w:t xml:space="preserve">Rækker med turnover 0</w:t>
      </w:r>
      <w:r>
        <w:rPr>
          <w:b w:val="false"/>
          <w:bCs w:val="false"/>
          <w:sz w:val="22"/>
          <w:szCs w:val="22"/>
        </w:rPr>
        <w:t xml:space="preserve">, der ellers forvrænger margin-beregningen.</w:t>
      </w:r>
    </w:p>
    <w:p>
      <w:pPr>
        <w:pStyle w:val="ListParagraph"/>
        <w:numPr>
          <w:ilvl w:val="0"/>
          <w:numId w:val="1"/>
        </w:numPr>
        <w:spacing w:after="60"/>
      </w:pPr>
      <w:r>
        <w:rPr>
          <w:b/>
          <w:bCs/>
          <w:sz w:val="22"/>
          <w:szCs w:val="22"/>
        </w:rPr>
        <w:t xml:space="preserve">Døde items</w:t>
      </w:r>
      <w:r>
        <w:rPr>
          <w:b w:val="false"/>
          <w:bCs w:val="false"/>
          <w:sz w:val="22"/>
          <w:szCs w:val="22"/>
        </w:rPr>
        <w:t xml:space="preserve"> — varer uden aktivitet inden for kundens turnover-vindue. En vare der sidst blev solgt for to år siden skal ikke trække kundens margin i nogen retning i dag.</w:t>
      </w:r>
    </w:p>
    <w:p>
      <w:pPr>
        <w:spacing w:after="60" w:before="200"/>
        <w:jc w:val="center"/>
      </w:pPr>
      <w:r>
        <w:drawing>
          <wp:inline distT="0" distB="0" distL="0" distR="0">
            <wp:extent cx="5600700" cy="15049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00700" cy="1504950"/>
                    </a:xfrm>
                    <a:prstGeom prst="rect">
                      <a:avLst/>
                    </a:prstGeom>
                  </pic:spPr>
                </pic:pic>
              </a:graphicData>
            </a:graphic>
          </wp:inline>
        </w:drawing>
      </w:r>
    </w:p>
    <w:p>
      <w:pPr>
        <w:spacing w:after="220"/>
        <w:jc w:val="center"/>
      </w:pPr>
      <w:r>
        <w:rPr>
          <w:i/>
          <w:iCs/>
          <w:color w:val="555555"/>
          <w:sz w:val="19"/>
          <w:szCs w:val="19"/>
        </w:rPr>
        <w:t xml:space="preserve">Figur 1 — Måneder efter dags dato er endnu ikke realiseret og tælles ikke med.</w:t>
      </w:r>
    </w:p>
    <w:p>
      <w:pPr>
        <w:pStyle w:val="Heading2"/>
        <w:spacing w:after="100" w:before="260"/>
      </w:pPr>
      <w:r>
        <w:rPr>
          <w:b/>
          <w:bCs/>
          <w:color w:val="2A5A8A"/>
          <w:sz w:val="24"/>
          <w:szCs w:val="24"/>
        </w:rPr>
        <w:t xml:space="preserve">Døde items — den frasortering der flytter mest</w:t>
      </w:r>
    </w:p>
    <w:p>
      <w:pPr>
        <w:spacing w:after="140"/>
      </w:pPr>
      <w:r>
        <w:rPr>
          <w:b w:val="false"/>
          <w:bCs w:val="false"/>
          <w:i w:val="false"/>
          <w:iCs w:val="false"/>
          <w:sz w:val="22"/>
          <w:szCs w:val="22"/>
        </w:rPr>
        <w:t xml:space="preserve">Den sidste af de fem er værd at dvæle ved, for den er den eneste der fjerner noget som faktisk ER solgt. Reglen er enkel: </w:t>
      </w:r>
      <w:r>
        <w:rPr>
          <w:b/>
          <w:bCs/>
          <w:i w:val="false"/>
          <w:iCs w:val="false"/>
          <w:sz w:val="22"/>
          <w:szCs w:val="22"/>
        </w:rPr>
        <w:t xml:space="preserve">har en vare ingen aktivitet inden for kundens turnover-vindue, ryger den helt ud af analysen</w:t>
      </w:r>
      <w:r>
        <w:rPr>
          <w:b w:val="false"/>
          <w:bCs w:val="false"/>
          <w:i w:val="false"/>
          <w:iCs w:val="false"/>
          <w:sz w:val="22"/>
          <w:szCs w:val="22"/>
        </w:rPr>
        <w:t xml:space="preserve"> — også ud af margin-beregningen på X-aksen.</w:t>
      </w:r>
    </w:p>
    <w:p>
      <w:pPr>
        <w:spacing w:after="60" w:before="200"/>
        <w:jc w:val="center"/>
      </w:pPr>
      <w:r>
        <w:drawing>
          <wp:inline distT="0" distB="0" distL="0" distR="0">
            <wp:extent cx="5600700" cy="32670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00700" cy="3267075"/>
                    </a:xfrm>
                    <a:prstGeom prst="rect">
                      <a:avLst/>
                    </a:prstGeom>
                  </pic:spPr>
                </pic:pic>
              </a:graphicData>
            </a:graphic>
          </wp:inline>
        </w:drawing>
      </w:r>
    </w:p>
    <w:p>
      <w:pPr>
        <w:spacing w:after="220"/>
        <w:jc w:val="center"/>
      </w:pPr>
      <w:r>
        <w:rPr>
          <w:i/>
          <w:iCs/>
          <w:color w:val="555555"/>
          <w:sz w:val="19"/>
          <w:szCs w:val="19"/>
        </w:rPr>
        <w:t xml:space="preserve">Figur 2 — Kundens vindue går 12 måneder bagud fra dens seneste aktivitet. 712347 blev sidst handlet længe før og falder ud.</w:t>
      </w:r>
    </w:p>
    <w:p>
      <w:pPr>
        <w:spacing w:after="140"/>
      </w:pPr>
      <w:r>
        <w:rPr>
          <w:b w:val="false"/>
          <w:bCs w:val="false"/>
          <w:i w:val="false"/>
          <w:iCs w:val="false"/>
          <w:sz w:val="22"/>
          <w:szCs w:val="22"/>
        </w:rPr>
        <w:t xml:space="preserve">Uden den regel ville en gammel handel hænge ved i det uendelige. I eksemplet ovenfor blev 712347 sidst solgt i 2023-11 til 10 % margin. Tælles den med, ser Eksempel A/S ud til at ligge på 34 % — regnes der kun på det kunden faktisk handler i dag, er tallet 44 %. Det er forskellen på en kunde man vil have flere af, og en man skal se på.</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Bemærk:  </w:t>
      </w:r>
      <w:r>
        <w:rPr>
          <w:sz w:val="21"/>
          <w:szCs w:val="21"/>
        </w:rPr>
        <w:t xml:space="preserve">vinduet regnes altid fra KUNDENS seneste aktivitet, uanset hvad forankringen er sat til under Beregning. Ellers ville en vare kunne holde sig selv i live.</w:t>
      </w:r>
    </w:p>
    <w:p>
      <w:pPr>
        <w:pStyle w:val="Heading2"/>
        <w:spacing w:after="100" w:before="260"/>
      </w:pPr>
      <w:r>
        <w:rPr>
          <w:b/>
          <w:bCs/>
          <w:color w:val="2A5A8A"/>
          <w:sz w:val="24"/>
          <w:szCs w:val="24"/>
        </w:rPr>
        <w:t xml:space="preserve">Rammer det så de tidligere kunder?</w:t>
      </w:r>
    </w:p>
    <w:p>
      <w:pPr>
        <w:spacing w:after="140"/>
      </w:pPr>
      <w:r>
        <w:rPr>
          <w:b w:val="false"/>
          <w:bCs w:val="false"/>
          <w:i w:val="false"/>
          <w:iCs w:val="false"/>
          <w:sz w:val="22"/>
          <w:szCs w:val="22"/>
        </w:rPr>
        <w:t xml:space="preserve">Nej. Det er det første man frygter, når man hører at gamle varer sorteres fra — for en tidligere kunde er jo netop en hvis handel ligger tilbage i tiden. Men vinduet er </w:t>
      </w:r>
      <w:r>
        <w:rPr>
          <w:b/>
          <w:bCs/>
          <w:i w:val="false"/>
          <w:iCs w:val="false"/>
          <w:sz w:val="22"/>
          <w:szCs w:val="22"/>
        </w:rPr>
        <w:t xml:space="preserve">ikke</w:t>
      </w:r>
      <w:r>
        <w:rPr>
          <w:b w:val="false"/>
          <w:bCs w:val="false"/>
          <w:i w:val="false"/>
          <w:iCs w:val="false"/>
          <w:sz w:val="22"/>
          <w:szCs w:val="22"/>
        </w:rPr>
        <w:t xml:space="preserve"> låst til kalenderen. Det lægges 12 måneder bagud fra </w:t>
      </w:r>
      <w:r>
        <w:rPr>
          <w:b/>
          <w:bCs/>
          <w:i w:val="false"/>
          <w:iCs w:val="false"/>
          <w:sz w:val="22"/>
          <w:szCs w:val="22"/>
        </w:rPr>
        <w:t xml:space="preserve">den enkelte kundes egen seneste aktivitet</w:t>
      </w:r>
      <w:r>
        <w:rPr>
          <w:b w:val="false"/>
          <w:bCs w:val="false"/>
          <w:i w:val="false"/>
          <w:iCs w:val="false"/>
          <w:sz w:val="22"/>
          <w:szCs w:val="22"/>
        </w:rPr>
        <w:t xml:space="preserve">, og det gælder alle kunder, uanset type.</w:t>
      </w:r>
    </w:p>
    <w:p>
      <w:pPr>
        <w:spacing w:after="60" w:before="200"/>
        <w:jc w:val="center"/>
      </w:pPr>
      <w:r>
        <w:drawing>
          <wp:inline distT="0" distB="0" distL="0" distR="0">
            <wp:extent cx="5600700" cy="42767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00700" cy="4276725"/>
                    </a:xfrm>
                    <a:prstGeom prst="rect">
                      <a:avLst/>
                    </a:prstGeom>
                  </pic:spPr>
                </pic:pic>
              </a:graphicData>
            </a:graphic>
          </wp:inline>
        </w:drawing>
      </w:r>
    </w:p>
    <w:p>
      <w:pPr>
        <w:spacing w:after="220"/>
        <w:jc w:val="center"/>
      </w:pPr>
      <w:r>
        <w:rPr>
          <w:i/>
          <w:iCs/>
          <w:color w:val="555555"/>
          <w:sz w:val="19"/>
          <w:szCs w:val="19"/>
        </w:rPr>
        <w:t xml:space="preserve">Figur 3 — Hver kunde får sit eget vindue. Nederst ses hvad der ville ske hvis vinduet i stedet lå fast på dags dato.</w:t>
      </w:r>
    </w:p>
    <w:p>
      <w:pPr>
        <w:spacing w:after="140"/>
      </w:pPr>
      <w:r>
        <w:rPr>
          <w:b w:val="false"/>
          <w:bCs w:val="false"/>
          <w:i w:val="false"/>
          <w:iCs w:val="false"/>
          <w:sz w:val="22"/>
          <w:szCs w:val="22"/>
        </w:rPr>
        <w:t xml:space="preserve">En tidligere kunde bliver altså målt på sine egne sidste 12 handelsmåneder, præcis som en aktiv kunde bliver målt på sine. Begge mister det de handlede før det — samme regel, samme udfald.</w:t>
      </w:r>
    </w:p>
    <w:p>
      <w:pPr>
        <w:spacing w:after="140"/>
      </w:pPr>
      <w:r>
        <w:rPr>
          <w:b w:val="false"/>
          <w:bCs w:val="false"/>
          <w:i w:val="false"/>
          <w:iCs w:val="false"/>
          <w:sz w:val="22"/>
          <w:szCs w:val="22"/>
        </w:rPr>
        <w:t xml:space="preserve">Havde vinduet ligget fast på dags dato, ville billedet være et helt andet: så ville en kunde der stoppede for fire år siden ikke have en eneste vare inden for vinduet, og hele kunden ville forsvinde ud af analysen. Det er lige netop dét, forankringen i kunden forhindrer.</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Og kundetypen flytter sig ikke:  </w:t>
      </w:r>
      <w:r>
        <w:rPr>
          <w:sz w:val="21"/>
          <w:szCs w:val="21"/>
        </w:rPr>
        <w:t xml:space="preserve">den vare der bærer kundens seneste aktivitet er per definition inde i kundens eget vindue, så den overlever altid filteret. Derfor kan frasorteringen aldrig ændre hvornår en kunde sidst handlede — og dermed heller ikke om den er Eksisterende, Ny eller Tidligere.</w:t>
      </w:r>
    </w:p>
    <w:p>
      <w:pPr>
        <w:pStyle w:val="Heading2"/>
        <w:spacing w:after="100" w:before="260"/>
      </w:pPr>
      <w:r>
        <w:rPr>
          <w:b/>
          <w:bCs/>
          <w:color w:val="2A5A8A"/>
          <w:sz w:val="24"/>
          <w:szCs w:val="24"/>
        </w:rPr>
        <w:t xml:space="preserve">Trin 2 — Item-type: sinter eller støb</w:t>
      </w:r>
    </w:p>
    <w:p>
      <w:pPr>
        <w:spacing w:after="140"/>
      </w:pPr>
      <w:r>
        <w:rPr>
          <w:b w:val="false"/>
          <w:bCs w:val="false"/>
          <w:i w:val="false"/>
          <w:iCs w:val="false"/>
          <w:sz w:val="22"/>
          <w:szCs w:val="22"/>
        </w:rPr>
        <w:t xml:space="preserve">Varenummeret afgør typen ud fra de to første cifre:</w:t>
      </w:r>
    </w:p>
    <w:p>
      <w:pPr>
        <w:shd w:fill="F2F2F2" w:val="clear"/>
        <w:spacing w:after="160" w:before="100"/>
        <w:ind w:left="288"/>
      </w:pPr>
      <w:r>
        <w:rPr>
          <w:rFonts w:ascii="Consolas" w:cs="Consolas" w:eastAsia="Consolas" w:hAnsi="Consolas"/>
          <w:sz w:val="19"/>
          <w:szCs w:val="19"/>
        </w:rPr>
        <w:t xml:space="preserve">60-67 + mindst 6 cifre   →  Støbe</w:t>
      </w:r>
      <w:r>
        <w:br/>
      </w:r>
      <w:r>
        <w:rPr>
          <w:rFonts w:ascii="Consolas" w:cs="Consolas" w:eastAsia="Consolas" w:hAnsi="Consolas"/>
          <w:sz w:val="19"/>
          <w:szCs w:val="19"/>
        </w:rPr>
        <w:t xml:space="preserve">70-77 + mindst 6 cifre   →  Sinter</w:t>
      </w:r>
      <w:r>
        <w:br/>
      </w:r>
      <w:r>
        <w:rPr>
          <w:rFonts w:ascii="Consolas" w:cs="Consolas" w:eastAsia="Consolas" w:hAnsi="Consolas"/>
          <w:sz w:val="19"/>
          <w:szCs w:val="19"/>
        </w:rPr>
        <w:t xml:space="preserve">alt andet                →  frasorteres</w:t>
      </w:r>
    </w:p>
    <w:p>
      <w:pPr>
        <w:spacing w:after="140"/>
      </w:pPr>
      <w:r>
        <w:rPr>
          <w:b w:val="false"/>
          <w:bCs w:val="false"/>
          <w:i w:val="false"/>
          <w:iCs w:val="false"/>
          <w:sz w:val="22"/>
          <w:szCs w:val="22"/>
        </w:rPr>
        <w:t xml:space="preserve">Et suffix på varenummeret overruler reglen:</w:t>
      </w:r>
    </w:p>
    <w:p>
      <w:pPr>
        <w:shd w:fill="F2F2F2" w:val="clear"/>
        <w:spacing w:after="160" w:before="100"/>
        <w:ind w:left="288"/>
      </w:pPr>
      <w:r>
        <w:rPr>
          <w:rFonts w:ascii="Consolas" w:cs="Consolas" w:eastAsia="Consolas" w:hAnsi="Consolas"/>
          <w:sz w:val="19"/>
          <w:szCs w:val="19"/>
        </w:rPr>
        <w:t xml:space="preserve">-S1  →  Sinter</w:t>
      </w:r>
      <w:r>
        <w:br/>
      </w:r>
      <w:r>
        <w:rPr>
          <w:rFonts w:ascii="Consolas" w:cs="Consolas" w:eastAsia="Consolas" w:hAnsi="Consolas"/>
          <w:sz w:val="19"/>
          <w:szCs w:val="19"/>
        </w:rPr>
        <w:t xml:space="preserve">-S2  →  Støbe</w:t>
      </w:r>
      <w:r>
        <w:br/>
      </w:r>
      <w:r>
        <w:rPr>
          <w:rFonts w:ascii="Consolas" w:cs="Consolas" w:eastAsia="Consolas" w:hAnsi="Consolas"/>
          <w:sz w:val="19"/>
          <w:szCs w:val="19"/>
        </w:rPr>
        <w:t xml:space="preserve">-S0  →  fjern fra segmenteringen</w:t>
      </w:r>
    </w:p>
    <w:p>
      <w:pPr>
        <w:pStyle w:val="Heading2"/>
        <w:spacing w:after="100" w:before="260"/>
      </w:pPr>
      <w:r>
        <w:rPr>
          <w:b/>
          <w:bCs/>
          <w:color w:val="2A5A8A"/>
          <w:sz w:val="24"/>
          <w:szCs w:val="24"/>
        </w:rPr>
        <w:t xml:space="preserve">Trin 3 — Kundetype</w:t>
      </w:r>
    </w:p>
    <w:p>
      <w:pPr>
        <w:spacing w:after="140"/>
      </w:pPr>
      <w:r>
        <w:rPr>
          <w:b w:val="false"/>
          <w:bCs w:val="false"/>
          <w:i w:val="false"/>
          <w:iCs w:val="false"/>
          <w:sz w:val="22"/>
          <w:szCs w:val="22"/>
        </w:rPr>
        <w:t xml:space="preserve">To perioder afgør det hele, og begge regnes ud fra </w:t>
      </w:r>
      <w:r>
        <w:rPr>
          <w:b/>
          <w:bCs/>
          <w:i w:val="false"/>
          <w:iCs w:val="false"/>
          <w:sz w:val="22"/>
          <w:szCs w:val="22"/>
        </w:rPr>
        <w:t xml:space="preserve">datoerne i data</w:t>
      </w:r>
      <w:r>
        <w:rPr>
          <w:b w:val="false"/>
          <w:bCs w:val="false"/>
          <w:i w:val="false"/>
          <w:iCs w:val="false"/>
          <w:sz w:val="22"/>
          <w:szCs w:val="22"/>
        </w:rPr>
        <w:t xml:space="preserve">. Kolonnen “Fiscal year” bruges ikke længere: den kunne være skrevet “2026/27” ét sted og “2026/2027” et andet, og så faldt en ny kunde stiltiende ned i “Eksisterende”.</w:t>
      </w:r>
    </w:p>
    <w:p>
      <w:pPr>
        <w:pStyle w:val="ListParagraph"/>
        <w:numPr>
          <w:ilvl w:val="0"/>
          <w:numId w:val="1"/>
        </w:numPr>
        <w:spacing w:after="60"/>
      </w:pPr>
      <w:r>
        <w:rPr>
          <w:b/>
          <w:bCs/>
          <w:sz w:val="22"/>
          <w:szCs w:val="22"/>
        </w:rPr>
        <w:t xml:space="preserve">Ny-regnskabsåret</w:t>
      </w:r>
      <w:r>
        <w:rPr>
          <w:b w:val="false"/>
          <w:bCs w:val="false"/>
          <w:sz w:val="22"/>
          <w:szCs w:val="22"/>
        </w:rPr>
        <w:t xml:space="preserve"> løber fra sin startmåned og tolv måneder frem. Begynder året i maj, er 2026/27 altså 05-2026 til og med 04-2027.</w:t>
      </w:r>
    </w:p>
    <w:p>
      <w:pPr>
        <w:pStyle w:val="ListParagraph"/>
        <w:numPr>
          <w:ilvl w:val="0"/>
          <w:numId w:val="1"/>
        </w:numPr>
        <w:spacing w:after="60"/>
      </w:pPr>
      <w:r>
        <w:rPr>
          <w:b/>
          <w:bCs/>
          <w:sz w:val="22"/>
          <w:szCs w:val="22"/>
        </w:rPr>
        <w:t xml:space="preserve">Eksisterende-vinduet</w:t>
      </w:r>
      <w:r>
        <w:rPr>
          <w:b w:val="false"/>
          <w:bCs w:val="false"/>
          <w:sz w:val="22"/>
          <w:szCs w:val="22"/>
        </w:rPr>
        <w:t xml:space="preserve"> er N måneder bagud fra dags dato, typisk 24. Med dags dato 09-2026 er det 09-2024 til og med 09-2026.</w:t>
      </w:r>
    </w:p>
    <w:p>
      <w:pPr>
        <w:spacing w:after="140"/>
      </w:pPr>
      <w:r>
        <w:rPr>
          <w:b w:val="false"/>
          <w:bCs w:val="false"/>
          <w:i w:val="false"/>
          <w:iCs w:val="false"/>
          <w:sz w:val="22"/>
          <w:szCs w:val="22"/>
        </w:rPr>
        <w:t xml:space="preserve">De to perioder </w:t>
      </w:r>
      <w:r>
        <w:rPr>
          <w:b/>
          <w:bCs/>
          <w:i w:val="false"/>
          <w:iCs w:val="false"/>
          <w:sz w:val="22"/>
          <w:szCs w:val="22"/>
        </w:rPr>
        <w:t xml:space="preserve">overlapper</w:t>
      </w:r>
      <w:r>
        <w:rPr>
          <w:b w:val="false"/>
          <w:bCs w:val="false"/>
          <w:i w:val="false"/>
          <w:iCs w:val="false"/>
          <w:sz w:val="22"/>
          <w:szCs w:val="22"/>
        </w:rPr>
        <w:t xml:space="preserve"> — her fra 05-2026 og frem. Derfor afgøres typen i en fast rækkefølge:</w:t>
      </w:r>
    </w:p>
    <w:tbl>
      <w:tblPr>
        <w:tblW w:type="pct" w:w="5000"/>
        <w:tblBorders>
          <w:top w:val="single" w:color="C8D4E0" w:sz="1"/>
          <w:left w:val="single" w:color="C8D4E0" w:sz="1"/>
          <w:bottom w:val="single" w:color="C8D4E0" w:sz="1"/>
          <w:right w:val="single" w:color="C8D4E0" w:sz="1"/>
          <w:insideH w:val="single" w:color="C8D4E0" w:sz="1"/>
          <w:insideV w:val="single" w:color="C8D4E0" w:sz="1"/>
        </w:tblBorders>
      </w:tblPr>
      <w:tblGrid>
        <w:gridCol w:w="1986"/>
        <w:gridCol w:w="7040"/>
      </w:tblGrid>
      <w:tr>
        <w:trPr>
          <w:tblHeader/>
        </w:trPr>
        <w:tc>
          <w:tcPr>
            <w:tcW w:type="pct" w:w="1100"/>
            <w:shd w:fill="1A4A7A" w:val="clear"/>
            <w:tcMar>
              <w:top w:type="dxa" w:w="90"/>
              <w:left w:type="dxa" w:w="130"/>
              <w:bottom w:type="dxa" w:w="90"/>
              <w:right w:type="dxa" w:w="130"/>
            </w:tcMar>
          </w:tcPr>
          <w:p>
            <w:pPr>
              <w:spacing w:after="0"/>
            </w:pPr>
            <w:r>
              <w:rPr>
                <w:b/>
                <w:bCs/>
                <w:color w:val="FFFFFF"/>
                <w:sz w:val="21"/>
                <w:szCs w:val="21"/>
              </w:rPr>
              <w:t xml:space="preserve">Type</w:t>
            </w:r>
          </w:p>
        </w:tc>
        <w:tc>
          <w:tcPr>
            <w:tcW w:type="pct" w:w="3900"/>
            <w:shd w:fill="1A4A7A" w:val="clear"/>
            <w:tcMar>
              <w:top w:type="dxa" w:w="90"/>
              <w:left w:type="dxa" w:w="130"/>
              <w:bottom w:type="dxa" w:w="90"/>
              <w:right w:type="dxa" w:w="130"/>
            </w:tcMar>
          </w:tcPr>
          <w:p>
            <w:pPr>
              <w:spacing w:after="0"/>
            </w:pPr>
            <w:r>
              <w:rPr>
                <w:b/>
                <w:bCs/>
                <w:color w:val="FFFFFF"/>
                <w:sz w:val="21"/>
                <w:szCs w:val="21"/>
              </w:rPr>
              <w:t xml:space="preserve">Betyder</w:t>
            </w:r>
          </w:p>
        </w:tc>
      </w:tr>
      <w:tr>
        <w:tc>
          <w:tcPr>
            <w:tcW w:type="pct" w:w="1100"/>
            <w:tcMar>
              <w:top w:type="dxa" w:w="90"/>
              <w:left w:type="dxa" w:w="130"/>
              <w:bottom w:type="dxa" w:w="90"/>
              <w:right w:type="dxa" w:w="130"/>
            </w:tcMar>
          </w:tcPr>
          <w:p>
            <w:pPr>
              <w:spacing w:after="0"/>
            </w:pPr>
            <w:r>
              <w:rPr>
                <w:b w:val="false"/>
                <w:bCs w:val="false"/>
                <w:sz w:val="21"/>
                <w:szCs w:val="21"/>
              </w:rPr>
              <w:t xml:space="preserve">Ny</w:t>
            </w:r>
          </w:p>
        </w:tc>
        <w:tc>
          <w:tcPr>
            <w:tcW w:type="pct" w:w="3900"/>
            <w:tcMar>
              <w:top w:type="dxa" w:w="90"/>
              <w:left w:type="dxa" w:w="130"/>
              <w:bottom w:type="dxa" w:w="90"/>
              <w:right w:type="dxa" w:w="130"/>
            </w:tcMar>
          </w:tcPr>
          <w:p>
            <w:pPr>
              <w:spacing w:after="0"/>
            </w:pPr>
            <w:r>
              <w:rPr>
                <w:b w:val="false"/>
                <w:bCs w:val="false"/>
                <w:sz w:val="21"/>
                <w:szCs w:val="21"/>
              </w:rPr>
              <w:t xml:space="preserve">HELE kundens historik ligger inden for ny-regnskabsåret. Det er ikke nok at den seneste handel gør det.</w:t>
            </w:r>
          </w:p>
        </w:tc>
      </w:tr>
      <w:tr>
        <w:tc>
          <w:tcPr>
            <w:tcW w:type="pct" w:w="1100"/>
            <w:shd w:fill="F5F8FB" w:val="clear"/>
            <w:tcMar>
              <w:top w:type="dxa" w:w="90"/>
              <w:left w:type="dxa" w:w="130"/>
              <w:bottom w:type="dxa" w:w="90"/>
              <w:right w:type="dxa" w:w="130"/>
            </w:tcMar>
          </w:tcPr>
          <w:p>
            <w:pPr>
              <w:spacing w:after="0"/>
            </w:pPr>
            <w:r>
              <w:rPr>
                <w:b w:val="false"/>
                <w:bCs w:val="false"/>
                <w:sz w:val="21"/>
                <w:szCs w:val="21"/>
              </w:rPr>
              <w:t xml:space="preserve">Genopstået</w:t>
            </w:r>
          </w:p>
        </w:tc>
        <w:tc>
          <w:tcPr>
            <w:tcW w:type="pct" w:w="3900"/>
            <w:shd w:fill="F5F8FB" w:val="clear"/>
            <w:tcMar>
              <w:top w:type="dxa" w:w="90"/>
              <w:left w:type="dxa" w:w="130"/>
              <w:bottom w:type="dxa" w:w="90"/>
              <w:right w:type="dxa" w:w="130"/>
            </w:tcMar>
          </w:tcPr>
          <w:p>
            <w:pPr>
              <w:spacing w:after="0"/>
            </w:pPr>
            <w:r>
              <w:rPr>
                <w:b w:val="false"/>
                <w:bCs w:val="false"/>
                <w:sz w:val="21"/>
                <w:szCs w:val="21"/>
              </w:rPr>
              <w:t xml:space="preserve">Handler i ny-året, men har ikke handlet i vinduet i tiden op til året begyndte. Kunden har ligget stille og er tilbage.</w:t>
            </w:r>
          </w:p>
        </w:tc>
      </w:tr>
      <w:tr>
        <w:tc>
          <w:tcPr>
            <w:tcW w:type="pct" w:w="1100"/>
            <w:tcMar>
              <w:top w:type="dxa" w:w="90"/>
              <w:left w:type="dxa" w:w="130"/>
              <w:bottom w:type="dxa" w:w="90"/>
              <w:right w:type="dxa" w:w="130"/>
            </w:tcMar>
          </w:tcPr>
          <w:p>
            <w:pPr>
              <w:spacing w:after="0"/>
            </w:pPr>
            <w:r>
              <w:rPr>
                <w:b w:val="false"/>
                <w:bCs w:val="false"/>
                <w:sz w:val="21"/>
                <w:szCs w:val="21"/>
              </w:rPr>
              <w:t xml:space="preserve">Eksisterende</w:t>
            </w:r>
          </w:p>
        </w:tc>
        <w:tc>
          <w:tcPr>
            <w:tcW w:type="pct" w:w="3900"/>
            <w:tcMar>
              <w:top w:type="dxa" w:w="90"/>
              <w:left w:type="dxa" w:w="130"/>
              <w:bottom w:type="dxa" w:w="90"/>
              <w:right w:type="dxa" w:w="130"/>
            </w:tcMar>
          </w:tcPr>
          <w:p>
            <w:pPr>
              <w:spacing w:after="0"/>
            </w:pPr>
            <w:r>
              <w:rPr>
                <w:b w:val="false"/>
                <w:bCs w:val="false"/>
                <w:sz w:val="21"/>
                <w:szCs w:val="21"/>
              </w:rPr>
              <w:t xml:space="preserve">Ikke ny eller genopstået, men mindst én handel ligger inden for eksisterende-vinduet.</w:t>
            </w:r>
          </w:p>
        </w:tc>
      </w:tr>
      <w:tr>
        <w:tc>
          <w:tcPr>
            <w:tcW w:type="pct" w:w="1100"/>
            <w:shd w:fill="F5F8FB" w:val="clear"/>
            <w:tcMar>
              <w:top w:type="dxa" w:w="90"/>
              <w:left w:type="dxa" w:w="130"/>
              <w:bottom w:type="dxa" w:w="90"/>
              <w:right w:type="dxa" w:w="130"/>
            </w:tcMar>
          </w:tcPr>
          <w:p>
            <w:pPr>
              <w:spacing w:after="0"/>
            </w:pPr>
            <w:r>
              <w:rPr>
                <w:b w:val="false"/>
                <w:bCs w:val="false"/>
                <w:sz w:val="21"/>
                <w:szCs w:val="21"/>
              </w:rPr>
              <w:t xml:space="preserve">Tidligere</w:t>
            </w:r>
          </w:p>
        </w:tc>
        <w:tc>
          <w:tcPr>
            <w:tcW w:type="pct" w:w="3900"/>
            <w:shd w:fill="F5F8FB" w:val="clear"/>
            <w:tcMar>
              <w:top w:type="dxa" w:w="90"/>
              <w:left w:type="dxa" w:w="130"/>
              <w:bottom w:type="dxa" w:w="90"/>
              <w:right w:type="dxa" w:w="130"/>
            </w:tcMar>
          </w:tcPr>
          <w:p>
            <w:pPr>
              <w:spacing w:after="0"/>
            </w:pPr>
            <w:r>
              <w:rPr>
                <w:b w:val="false"/>
                <w:bCs w:val="false"/>
                <w:sz w:val="21"/>
                <w:szCs w:val="21"/>
              </w:rPr>
              <w:t xml:space="preserve">Al aktivitet ligger før vinduet.</w:t>
            </w:r>
          </w:p>
        </w:tc>
      </w:tr>
    </w:tbl>
    <w:p>
      <w:pPr>
        <w:spacing w:after="60" w:before="200"/>
        <w:jc w:val="center"/>
      </w:pPr>
      <w:r>
        <w:drawing>
          <wp:inline distT="0" distB="0" distL="0" distR="0">
            <wp:extent cx="5600700" cy="35814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00700" cy="3581400"/>
                    </a:xfrm>
                    <a:prstGeom prst="rect">
                      <a:avLst/>
                    </a:prstGeom>
                  </pic:spPr>
                </pic:pic>
              </a:graphicData>
            </a:graphic>
          </wp:inline>
        </w:drawing>
      </w:r>
    </w:p>
    <w:p>
      <w:pPr>
        <w:spacing w:after="220"/>
        <w:jc w:val="center"/>
      </w:pPr>
      <w:r>
        <w:rPr>
          <w:i/>
          <w:iCs/>
          <w:color w:val="555555"/>
          <w:sz w:val="19"/>
          <w:szCs w:val="19"/>
        </w:rPr>
        <w:t xml:space="preserve">Figur 4 — De fem tilfælde. De to perioder overlapper, og rækkefølgen af reglerne afgør hvad der sker i overlappet.</w:t>
      </w:r>
    </w:p>
    <w:p>
      <w:pPr>
        <w:spacing w:after="140"/>
      </w:pPr>
      <w:r>
        <w:rPr>
          <w:b w:val="false"/>
          <w:bCs w:val="false"/>
          <w:i w:val="false"/>
          <w:iCs w:val="false"/>
          <w:sz w:val="22"/>
          <w:szCs w:val="22"/>
        </w:rPr>
        <w:t xml:space="preserve">Kunde C er den genopståede. Den handlede i 2023 og igen i 2026, altså med tre års pause. Den er </w:t>
      </w:r>
      <w:r>
        <w:rPr>
          <w:b/>
          <w:bCs/>
          <w:i w:val="false"/>
          <w:iCs w:val="false"/>
          <w:sz w:val="22"/>
          <w:szCs w:val="22"/>
        </w:rPr>
        <w:t xml:space="preserve">ikke</w:t>
      </w:r>
      <w:r>
        <w:rPr>
          <w:b w:val="false"/>
          <w:bCs w:val="false"/>
          <w:i w:val="false"/>
          <w:iCs w:val="false"/>
          <w:sz w:val="22"/>
          <w:szCs w:val="22"/>
        </w:rPr>
        <w:t xml:space="preserve"> ny — en kunde man har handlet med før er ikke en ny kunde — og den er heller ikke tidligere, for den handler jo igen.</w:t>
      </w:r>
    </w:p>
    <w:p>
      <w:pPr>
        <w:spacing w:after="140"/>
      </w:pPr>
      <w:r>
        <w:rPr>
          <w:b w:val="false"/>
          <w:bCs w:val="false"/>
          <w:i w:val="false"/>
          <w:iCs w:val="false"/>
          <w:sz w:val="22"/>
          <w:szCs w:val="22"/>
        </w:rPr>
        <w:t xml:space="preserve">Forskellen på </w:t>
      </w:r>
      <w:r>
        <w:rPr>
          <w:b/>
          <w:bCs/>
          <w:i w:val="false"/>
          <w:iCs w:val="false"/>
          <w:sz w:val="22"/>
          <w:szCs w:val="22"/>
        </w:rPr>
        <w:t xml:space="preserve">Genopstået</w:t>
      </w:r>
      <w:r>
        <w:rPr>
          <w:b w:val="false"/>
          <w:bCs w:val="false"/>
          <w:i w:val="false"/>
          <w:iCs w:val="false"/>
          <w:sz w:val="22"/>
          <w:szCs w:val="22"/>
        </w:rPr>
        <w:t xml:space="preserve"> og </w:t>
      </w:r>
      <w:r>
        <w:rPr>
          <w:b/>
          <w:bCs/>
          <w:i w:val="false"/>
          <w:iCs w:val="false"/>
          <w:sz w:val="22"/>
          <w:szCs w:val="22"/>
        </w:rPr>
        <w:t xml:space="preserve">Eksisterende</w:t>
      </w:r>
      <w:r>
        <w:rPr>
          <w:b w:val="false"/>
          <w:bCs w:val="false"/>
          <w:i w:val="false"/>
          <w:iCs w:val="false"/>
          <w:sz w:val="22"/>
          <w:szCs w:val="22"/>
        </w:rPr>
        <w:t xml:space="preserve"> er hullet. To kunder kan begge have handlet i sidste måned og begge have gammel historik; den ene har handlet støt hele vejen, den anden har ikke rørt os i årevis. Det er to forskellige situationer for en sælger, og de har derfor hver sin farve på kundegruppe-grafen.</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I praksis:  </w:t>
      </w:r>
      <w:r>
        <w:rPr>
          <w:sz w:val="21"/>
          <w:szCs w:val="21"/>
        </w:rPr>
        <w:t xml:space="preserve">måneder efter dags dato er budgettal og sorteres fra i trin 1. Den del af ny-regnskabsåret der ligger ude i fremtiden kan derfor ikke gøre nogen til en ny kunde — reelt er ny-året 05-2026 til 09-2026.</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Pas på formatet:  </w:t>
      </w:r>
      <w:r>
        <w:rPr>
          <w:sz w:val="21"/>
          <w:szCs w:val="21"/>
        </w:rPr>
        <w:t xml:space="preserve">ny-regnskabsåret skrives ÅÅÅÅ/ÅÅ, fx 2026/27 — samme form som salgsudtrækket bruger. Hvilken måned året begynder i sættes under Indstillinger → Kundetyper; som udgangspunkt er det maj.</w:t>
      </w:r>
    </w:p>
    <w:p>
      <w:pPr>
        <w:pStyle w:val="Heading2"/>
        <w:spacing w:after="100" w:before="260"/>
      </w:pPr>
      <w:r>
        <w:rPr>
          <w:b/>
          <w:bCs/>
          <w:color w:val="2A5A8A"/>
          <w:sz w:val="24"/>
          <w:szCs w:val="24"/>
        </w:rPr>
        <w:t xml:space="preserve">Trin 4 — Gross Margin % pr. vare</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Hvilket dækningsbidrag?  </w:t>
      </w:r>
      <w:r>
        <w:rPr>
          <w:sz w:val="21"/>
          <w:szCs w:val="21"/>
        </w:rPr>
        <w:t xml:space="preserve">Som standard bruges kolonnen Cons_GP_DKK, det konsoliderede dækningsbidrag. Vil man i stedet regne på den lokale opgørelse, vælges Local_GP_DKK under Indstillinger → Beregning → Dækningsbidrag. Valget slår igennem både på GM% og på GP-tallene i rapporten. Kun den valgte kolonne skal findes i filen — den anden må gerne stå der og bliver bare ikke brugt.</w:t>
      </w:r>
    </w:p>
    <w:p>
      <w:pPr>
        <w:spacing w:after="140"/>
      </w:pPr>
      <w:r>
        <w:rPr>
          <w:b w:val="false"/>
          <w:bCs w:val="false"/>
          <w:i w:val="false"/>
          <w:iCs w:val="false"/>
          <w:sz w:val="22"/>
          <w:szCs w:val="22"/>
        </w:rPr>
        <w:t xml:space="preserve">For hvert par af kundegruppe og varenummer findes den seneste måned med aktivitet. Som standard er det kun den måned der tæller med i margin-beregningen; ældre måneder ignoreres.</w:t>
      </w:r>
    </w:p>
    <w:p>
      <w:pPr>
        <w:spacing w:after="140"/>
      </w:pPr>
      <w:r>
        <w:rPr>
          <w:b w:val="false"/>
          <w:bCs w:val="false"/>
          <w:i w:val="false"/>
          <w:iCs w:val="false"/>
          <w:sz w:val="22"/>
          <w:szCs w:val="22"/>
        </w:rPr>
        <w:t xml:space="preserve">Slås </w:t>
      </w:r>
      <w:r>
        <w:rPr>
          <w:b/>
          <w:bCs/>
          <w:i w:val="false"/>
          <w:iCs w:val="false"/>
          <w:sz w:val="22"/>
          <w:szCs w:val="22"/>
        </w:rPr>
        <w:t xml:space="preserve">vægtet GM%</w:t>
      </w:r>
      <w:r>
        <w:rPr>
          <w:b w:val="false"/>
          <w:bCs w:val="false"/>
          <w:i w:val="false"/>
          <w:iCs w:val="false"/>
          <w:sz w:val="22"/>
          <w:szCs w:val="22"/>
        </w:rPr>
        <w:t xml:space="preserve"> til, summeres de N seneste aktivitetsmåneder i stedet, og marginen regnes som SUM(GP) delt med SUM(Turnover) over hele perioden. Det dæmper støj fra enkeltmåneder — kampagnepriser, engangsrabatter, valutaudsving.</w:t>
      </w:r>
    </w:p>
    <w:p>
      <w:pPr>
        <w:pStyle w:val="Heading2"/>
        <w:spacing w:after="100" w:before="260"/>
      </w:pPr>
      <w:r>
        <w:rPr>
          <w:b/>
          <w:bCs/>
          <w:color w:val="2A5A8A"/>
          <w:sz w:val="24"/>
          <w:szCs w:val="24"/>
        </w:rPr>
        <w:t xml:space="preserve">Trin 5 — Turnover-vindue</w:t>
      </w:r>
    </w:p>
    <w:p>
      <w:pPr>
        <w:spacing w:after="140"/>
      </w:pPr>
      <w:r>
        <w:rPr>
          <w:b w:val="false"/>
          <w:bCs w:val="false"/>
          <w:i w:val="false"/>
          <w:iCs w:val="false"/>
          <w:sz w:val="22"/>
          <w:szCs w:val="22"/>
        </w:rPr>
        <w:t xml:space="preserve">Y-aksen er summen af omsætningen i et rullende vindue på N måneder. Vinduet kan forankres to steder, og de to grafer må gerne have hver sin:</w:t>
      </w:r>
    </w:p>
    <w:p>
      <w:pPr>
        <w:pStyle w:val="ListParagraph"/>
        <w:numPr>
          <w:ilvl w:val="0"/>
          <w:numId w:val="1"/>
        </w:numPr>
        <w:spacing w:after="60"/>
      </w:pPr>
      <w:r>
        <w:rPr>
          <w:b/>
          <w:bCs/>
          <w:sz w:val="22"/>
          <w:szCs w:val="22"/>
        </w:rPr>
        <w:t xml:space="preserve">Kunden</w:t>
      </w:r>
      <w:r>
        <w:rPr>
          <w:b w:val="false"/>
          <w:bCs w:val="false"/>
          <w:sz w:val="22"/>
          <w:szCs w:val="22"/>
        </w:rPr>
        <w:t xml:space="preserve"> — vinduet regnes bagud fra kundegruppens seneste aktivitet. Alle varer under samme kunde dækker præcis samme kalenderperiode.</w:t>
      </w:r>
    </w:p>
    <w:p>
      <w:pPr>
        <w:pStyle w:val="ListParagraph"/>
        <w:numPr>
          <w:ilvl w:val="0"/>
          <w:numId w:val="1"/>
        </w:numPr>
        <w:spacing w:after="60"/>
      </w:pPr>
      <w:r>
        <w:rPr>
          <w:b/>
          <w:bCs/>
          <w:sz w:val="22"/>
          <w:szCs w:val="22"/>
        </w:rPr>
        <w:t xml:space="preserve">Item</w:t>
      </w:r>
      <w:r>
        <w:rPr>
          <w:b w:val="false"/>
          <w:bCs w:val="false"/>
          <w:sz w:val="22"/>
          <w:szCs w:val="22"/>
        </w:rPr>
        <w:t xml:space="preserve"> — vinduet regnes bagud fra hver vares egen seneste aktivitet. To varer hos samme kunde kan have forskudte perioder.</w:t>
      </w:r>
    </w:p>
    <w:p>
      <w:pPr>
        <w:spacing w:after="60" w:before="200"/>
        <w:jc w:val="center"/>
      </w:pPr>
      <w:r>
        <w:drawing>
          <wp:inline distT="0" distB="0" distL="0" distR="0">
            <wp:extent cx="5600700" cy="28098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00700" cy="2809875"/>
                    </a:xfrm>
                    <a:prstGeom prst="rect">
                      <a:avLst/>
                    </a:prstGeom>
                  </pic:spPr>
                </pic:pic>
              </a:graphicData>
            </a:graphic>
          </wp:inline>
        </w:drawing>
      </w:r>
    </w:p>
    <w:p>
      <w:pPr>
        <w:spacing w:after="220"/>
        <w:jc w:val="center"/>
      </w:pPr>
      <w:r>
        <w:rPr>
          <w:i/>
          <w:iCs/>
          <w:color w:val="555555"/>
          <w:sz w:val="19"/>
          <w:szCs w:val="19"/>
        </w:rPr>
        <w:t xml:space="preserve">Figur 5 — Samme to varer, samme data. Forankringen afgør hvilken periode hver vare måles over.</w:t>
      </w:r>
    </w:p>
    <w:p>
      <w:pPr>
        <w:pStyle w:val="Heading2"/>
        <w:spacing w:after="100" w:before="260"/>
      </w:pPr>
      <w:r>
        <w:rPr>
          <w:b/>
          <w:bCs/>
          <w:color w:val="2A5A8A"/>
          <w:sz w:val="24"/>
          <w:szCs w:val="24"/>
        </w:rPr>
        <w:t xml:space="preserve">Trin 6 — GM%-grænser</w:t>
      </w:r>
    </w:p>
    <w:p>
      <w:pPr>
        <w:spacing w:after="140"/>
      </w:pPr>
      <w:r>
        <w:rPr>
          <w:b w:val="false"/>
          <w:bCs w:val="false"/>
          <w:i w:val="false"/>
          <w:iCs w:val="false"/>
          <w:sz w:val="22"/>
          <w:szCs w:val="22"/>
        </w:rPr>
        <w:t xml:space="preserve">Varer hvis margin ligger uden for et fast spænd sorteres fra, inden varerne lægges sammen til kundegruppe-niveau. Standarden er </w:t>
      </w:r>
      <w:r>
        <w:rPr>
          <w:b/>
          <w:bCs/>
          <w:i w:val="false"/>
          <w:iCs w:val="false"/>
          <w:sz w:val="22"/>
          <w:szCs w:val="22"/>
        </w:rPr>
        <w:t xml:space="preserve">under −50 %</w:t>
      </w:r>
      <w:r>
        <w:rPr>
          <w:b w:val="false"/>
          <w:bCs w:val="false"/>
          <w:i w:val="false"/>
          <w:iCs w:val="false"/>
          <w:sz w:val="22"/>
          <w:szCs w:val="22"/>
        </w:rPr>
        <w:t xml:space="preserve">, og der er ingen øvre grænse. Lader man et felt stå tomt, er der ingen grænse i den retning.</w:t>
      </w:r>
    </w:p>
    <w:p>
      <w:pPr>
        <w:spacing w:after="140"/>
      </w:pPr>
      <w:r>
        <w:rPr>
          <w:b w:val="false"/>
          <w:bCs w:val="false"/>
          <w:i w:val="false"/>
          <w:iCs w:val="false"/>
          <w:sz w:val="22"/>
          <w:szCs w:val="22"/>
        </w:rPr>
        <w:t xml:space="preserve">Den nedre standard fanger de rækker hvor omkostningen og omsætningen er landet i hver sin måned — en kreditnota eller en returvare — uden at røre ved varer der bare er solgt med tab. En øvre grænse omkring 100 % er værd at overveje: en GM over 100 % betyder at dækningsbidraget er større end omsætningen, hvilket ikke kan lade sig gøre ved et normalt salg.</w:t>
      </w:r>
    </w:p>
    <w:p>
      <w:pPr>
        <w:spacing w:after="140"/>
      </w:pPr>
      <w:r>
        <w:rPr>
          <w:b w:val="false"/>
          <w:bCs w:val="false"/>
          <w:i w:val="false"/>
          <w:iCs w:val="false"/>
          <w:sz w:val="22"/>
          <w:szCs w:val="22"/>
        </w:rPr>
        <w:t xml:space="preserve">Grænsen kender ikke til kundens størrelse. En kunde med én vare under grænsen mister den vare, ligesom en kunde med halvtreds ville.</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En frasorteret vare tæller ikke med.  </w:t>
      </w:r>
      <w:r>
        <w:rPr>
          <w:sz w:val="21"/>
          <w:szCs w:val="21"/>
        </w:rPr>
        <w:t xml:space="preserve">Den ryger også ud af kundens samlede omsætning, GP og GM%. Mister en kunde alle sine varer, forsvinder den derfor helt ud af analysen — har den kun urimelige tal tilbage, ville den blive tegnet et meningsløst sted. Kunden nævnes ved navn undervejs, og dens varer står stadig på Excel-fanen Outliers med en årsag.</w:t>
      </w:r>
    </w:p>
    <w:p>
      <w:pPr>
        <w:pStyle w:val="Heading2"/>
        <w:spacing w:after="100" w:before="260"/>
      </w:pPr>
      <w:r>
        <w:rPr>
          <w:b/>
          <w:bCs/>
          <w:color w:val="2A5A8A"/>
          <w:sz w:val="24"/>
          <w:szCs w:val="24"/>
        </w:rPr>
        <w:t xml:space="preserve">Trin 7 — Kundekategori</w:t>
      </w:r>
    </w:p>
    <w:p>
      <w:pPr>
        <w:spacing w:after="140"/>
      </w:pPr>
      <w:r>
        <w:rPr>
          <w:b w:val="false"/>
          <w:bCs w:val="false"/>
          <w:i w:val="false"/>
          <w:iCs w:val="false"/>
          <w:sz w:val="22"/>
          <w:szCs w:val="22"/>
        </w:rPr>
        <w:t xml:space="preserve">Kunden placeres i et turnover-bånd — A, B, C eller D — og får derefter et plus eller et minus alt efter om marginen når båndets krav.</w:t>
      </w:r>
    </w:p>
    <w:p>
      <w:pPr>
        <w:shd w:fill="F2F2F2" w:val="clear"/>
        <w:spacing w:after="160" w:before="100"/>
        <w:ind w:left="288"/>
      </w:pPr>
      <w:r>
        <w:rPr>
          <w:rFonts w:ascii="Consolas" w:cs="Consolas" w:eastAsia="Consolas" w:hAnsi="Consolas"/>
          <w:sz w:val="19"/>
          <w:szCs w:val="19"/>
        </w:rPr>
        <w:t xml:space="preserve">A:  over 5 mio.        krav 20 %      →  A+ hvis GM% &gt; 20, ellers A-</w:t>
      </w:r>
      <w:r>
        <w:br/>
      </w:r>
      <w:r>
        <w:rPr>
          <w:rFonts w:ascii="Consolas" w:cs="Consolas" w:eastAsia="Consolas" w:hAnsi="Consolas"/>
          <w:sz w:val="19"/>
          <w:szCs w:val="19"/>
        </w:rPr>
        <w:t xml:space="preserve">B:  1 – 5 mio.         krav 22 %      →  B+ / B-</w:t>
      </w:r>
      <w:r>
        <w:br/>
      </w:r>
      <w:r>
        <w:rPr>
          <w:rFonts w:ascii="Consolas" w:cs="Consolas" w:eastAsia="Consolas" w:hAnsi="Consolas"/>
          <w:sz w:val="19"/>
          <w:szCs w:val="19"/>
        </w:rPr>
        <w:t xml:space="preserve">C:  0,5 – 1 mio.       krav 25 %      →  C+ / C-</w:t>
      </w:r>
      <w:r>
        <w:br/>
      </w:r>
      <w:r>
        <w:rPr>
          <w:rFonts w:ascii="Consolas" w:cs="Consolas" w:eastAsia="Consolas" w:hAnsi="Consolas"/>
          <w:sz w:val="19"/>
          <w:szCs w:val="19"/>
        </w:rPr>
        <w:t xml:space="preserve">D:  under 0,5 mio.     krav 30 %      →  D+ / D-</w:t>
      </w:r>
    </w:p>
    <w:p>
      <w:pPr>
        <w:spacing w:after="200"/>
      </w:pPr>
      <w:r>
        <w:rPr>
          <w:b w:val="false"/>
          <w:bCs w:val="false"/>
          <w:i w:val="false"/>
          <w:iCs w:val="false"/>
          <w:sz w:val="22"/>
          <w:szCs w:val="22"/>
        </w:rPr>
        <w:t xml:space="preserve">Grænserne og kravene kan ændres i indstillingerne. Bemærk at kravet stiger jo mindre kunden er: en lille ordre skal tjene mere hjem i procent for at være lige så interessant.</w:t>
      </w:r>
    </w:p>
    <w:p>
      <w:pPr>
        <w:pStyle w:val="Heading2"/>
        <w:spacing w:after="100" w:before="260"/>
      </w:pPr>
      <w:r>
        <w:rPr>
          <w:b/>
          <w:bCs/>
          <w:color w:val="2A5A8A"/>
          <w:sz w:val="24"/>
          <w:szCs w:val="24"/>
        </w:rPr>
        <w:t xml:space="preserve">Trin 8 — KAM</w:t>
      </w:r>
    </w:p>
    <w:p>
      <w:pPr>
        <w:spacing w:after="140"/>
      </w:pPr>
      <w:r>
        <w:rPr>
          <w:b w:val="false"/>
          <w:bCs w:val="false"/>
          <w:i w:val="false"/>
          <w:iCs w:val="false"/>
          <w:sz w:val="22"/>
          <w:szCs w:val="22"/>
        </w:rPr>
        <w:t xml:space="preserve">Kunden tildeles den key account manager der står på den </w:t>
      </w:r>
      <w:r>
        <w:rPr>
          <w:b/>
          <w:bCs/>
          <w:i w:val="false"/>
          <w:iCs w:val="false"/>
          <w:sz w:val="22"/>
          <w:szCs w:val="22"/>
        </w:rPr>
        <w:t xml:space="preserve">seneste</w:t>
      </w:r>
      <w:r>
        <w:rPr>
          <w:b w:val="false"/>
          <w:bCs w:val="false"/>
          <w:i w:val="false"/>
          <w:iCs w:val="false"/>
          <w:sz w:val="22"/>
          <w:szCs w:val="22"/>
        </w:rPr>
        <w:t xml:space="preserve"> aktivitet, så et skift undervejs slår igennem. Store og små bogstaver er uden betydning — PHA og pHA er samme person — og kunder uden KAM samles under </w:t>
      </w:r>
      <w:r>
        <w:rPr>
          <w:b/>
          <w:bCs/>
          <w:i w:val="false"/>
          <w:iCs w:val="false"/>
          <w:sz w:val="22"/>
          <w:szCs w:val="22"/>
        </w:rPr>
        <w:t xml:space="preserve">(Blank)</w:t>
      </w:r>
      <w:r>
        <w:rPr>
          <w:b w:val="false"/>
          <w:bCs w:val="false"/>
          <w:i w:val="false"/>
          <w:iCs w:val="false"/>
          <w:sz w:val="22"/>
          <w:szCs w:val="22"/>
        </w:rPr>
        <w:t xml:space="preserve">.</w:t>
      </w:r>
    </w:p>
    <w:p>
      <w:pPr>
        <w:pStyle w:val="Heading2"/>
        <w:spacing w:after="100" w:before="260"/>
      </w:pPr>
      <w:r>
        <w:rPr>
          <w:b/>
          <w:bCs/>
          <w:color w:val="2A5A8A"/>
          <w:sz w:val="24"/>
          <w:szCs w:val="24"/>
        </w:rPr>
        <w:t xml:space="preserve">Trin 9 — Output</w:t>
      </w:r>
    </w:p>
    <w:p>
      <w:pPr>
        <w:spacing w:after="140"/>
      </w:pPr>
      <w:r>
        <w:rPr>
          <w:b w:val="false"/>
          <w:bCs w:val="false"/>
          <w:i w:val="false"/>
          <w:iCs w:val="false"/>
          <w:sz w:val="22"/>
          <w:szCs w:val="22"/>
        </w:rPr>
        <w:t xml:space="preserve">Graferne og Excel-rapporten skrives til den daterede mappe.</w:t>
      </w:r>
    </w:p>
    <w:p>
      <w:r>
        <w:br w:type="page"/>
      </w:r>
    </w:p>
    <w:p>
      <w:pPr>
        <w:pStyle w:val="Heading1"/>
        <w:spacing w:after="160" w:before="360"/>
      </w:pPr>
      <w:r>
        <w:rPr>
          <w:b/>
          <w:bCs/>
          <w:color w:val="1A4A7A"/>
          <w:sz w:val="32"/>
          <w:szCs w:val="32"/>
        </w:rPr>
        <w:t xml:space="preserve">5  Et gennemgående regneeksempel</w:t>
      </w:r>
    </w:p>
    <w:p>
      <w:pPr>
        <w:spacing w:after="140"/>
      </w:pPr>
      <w:r>
        <w:rPr>
          <w:b w:val="false"/>
          <w:bCs w:val="false"/>
          <w:i w:val="false"/>
          <w:iCs w:val="false"/>
          <w:sz w:val="22"/>
          <w:szCs w:val="22"/>
        </w:rPr>
        <w:t xml:space="preserve">Eksempel A/S har handlet på tre varenumre. Turnover-vinduet er 12 måneder, og kundens seneste aktivitet er 2025-08. Vinduet dækker derfor 2024-09 til 2025-08.</w:t>
      </w:r>
    </w:p>
    <w:tbl>
      <w:tblPr>
        <w:tblW w:type="pct" w:w="5000"/>
        <w:tblBorders>
          <w:top w:val="single" w:color="C8D4E0" w:sz="1"/>
          <w:left w:val="single" w:color="C8D4E0" w:sz="1"/>
          <w:bottom w:val="single" w:color="C8D4E0" w:sz="1"/>
          <w:right w:val="single" w:color="C8D4E0" w:sz="1"/>
          <w:insideH w:val="single" w:color="C8D4E0" w:sz="1"/>
          <w:insideV w:val="single" w:color="C8D4E0" w:sz="1"/>
        </w:tblBorders>
      </w:tblPr>
      <w:tblGrid>
        <w:gridCol w:w="1444"/>
        <w:gridCol w:w="2166"/>
        <w:gridCol w:w="2166"/>
        <w:gridCol w:w="1625"/>
        <w:gridCol w:w="1625"/>
      </w:tblGrid>
      <w:tr>
        <w:trPr>
          <w:tblHeader/>
        </w:trPr>
        <w:tc>
          <w:tcPr>
            <w:tcW w:type="pct" w:w="800"/>
            <w:shd w:fill="1A4A7A" w:val="clear"/>
            <w:tcMar>
              <w:top w:type="dxa" w:w="90"/>
              <w:left w:type="dxa" w:w="130"/>
              <w:bottom w:type="dxa" w:w="90"/>
              <w:right w:type="dxa" w:w="130"/>
            </w:tcMar>
          </w:tcPr>
          <w:p>
            <w:pPr>
              <w:spacing w:after="0"/>
            </w:pPr>
            <w:r>
              <w:rPr>
                <w:b/>
                <w:bCs/>
                <w:color w:val="FFFFFF"/>
                <w:sz w:val="21"/>
                <w:szCs w:val="21"/>
              </w:rPr>
              <w:t xml:space="preserve">Item</w:t>
            </w:r>
          </w:p>
        </w:tc>
        <w:tc>
          <w:tcPr>
            <w:tcW w:type="pct" w:w="1200"/>
            <w:shd w:fill="1A4A7A" w:val="clear"/>
            <w:tcMar>
              <w:top w:type="dxa" w:w="90"/>
              <w:left w:type="dxa" w:w="130"/>
              <w:bottom w:type="dxa" w:w="90"/>
              <w:right w:type="dxa" w:w="130"/>
            </w:tcMar>
          </w:tcPr>
          <w:p>
            <w:pPr>
              <w:spacing w:after="0"/>
            </w:pPr>
            <w:r>
              <w:rPr>
                <w:b/>
                <w:bCs/>
                <w:color w:val="FFFFFF"/>
                <w:sz w:val="21"/>
                <w:szCs w:val="21"/>
              </w:rPr>
              <w:t xml:space="preserve">Seneste aktivitet</w:t>
            </w:r>
          </w:p>
        </w:tc>
        <w:tc>
          <w:tcPr>
            <w:tcW w:type="pct" w:w="1200"/>
            <w:shd w:fill="1A4A7A" w:val="clear"/>
            <w:tcMar>
              <w:top w:type="dxa" w:w="90"/>
              <w:left w:type="dxa" w:w="130"/>
              <w:bottom w:type="dxa" w:w="90"/>
              <w:right w:type="dxa" w:w="130"/>
            </w:tcMar>
          </w:tcPr>
          <w:p>
            <w:pPr>
              <w:spacing w:after="0"/>
            </w:pPr>
            <w:r>
              <w:rPr>
                <w:b/>
                <w:bCs/>
                <w:color w:val="FFFFFF"/>
                <w:sz w:val="21"/>
                <w:szCs w:val="21"/>
              </w:rPr>
              <w:t xml:space="preserve">I vinduet?</w:t>
            </w:r>
          </w:p>
        </w:tc>
        <w:tc>
          <w:tcPr>
            <w:tcW w:type="pct" w:w="900"/>
            <w:shd w:fill="1A4A7A" w:val="clear"/>
            <w:tcMar>
              <w:top w:type="dxa" w:w="90"/>
              <w:left w:type="dxa" w:w="130"/>
              <w:bottom w:type="dxa" w:w="90"/>
              <w:right w:type="dxa" w:w="130"/>
            </w:tcMar>
          </w:tcPr>
          <w:p>
            <w:pPr>
              <w:spacing w:after="0"/>
            </w:pPr>
            <w:r>
              <w:rPr>
                <w:b/>
                <w:bCs/>
                <w:color w:val="FFFFFF"/>
                <w:sz w:val="21"/>
                <w:szCs w:val="21"/>
              </w:rPr>
              <w:t xml:space="preserve">Turnover</w:t>
            </w:r>
          </w:p>
        </w:tc>
        <w:tc>
          <w:tcPr>
            <w:tcW w:type="pct" w:w="900"/>
            <w:shd w:fill="1A4A7A" w:val="clear"/>
            <w:tcMar>
              <w:top w:type="dxa" w:w="90"/>
              <w:left w:type="dxa" w:w="130"/>
              <w:bottom w:type="dxa" w:w="90"/>
              <w:right w:type="dxa" w:w="130"/>
            </w:tcMar>
          </w:tcPr>
          <w:p>
            <w:pPr>
              <w:spacing w:after="0"/>
            </w:pPr>
            <w:r>
              <w:rPr>
                <w:b/>
                <w:bCs/>
                <w:color w:val="FFFFFF"/>
                <w:sz w:val="21"/>
                <w:szCs w:val="21"/>
              </w:rPr>
              <w:t xml:space="preserve">GP</w:t>
            </w:r>
          </w:p>
        </w:tc>
      </w:tr>
      <w:tr>
        <w:tc>
          <w:tcPr>
            <w:tcW w:type="pct" w:w="800"/>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712345</w:t>
            </w:r>
          </w:p>
        </w:tc>
        <w:tc>
          <w:tcPr>
            <w:tcW w:type="pct" w:w="1200"/>
            <w:tcMar>
              <w:top w:type="dxa" w:w="90"/>
              <w:left w:type="dxa" w:w="130"/>
              <w:bottom w:type="dxa" w:w="90"/>
              <w:right w:type="dxa" w:w="130"/>
            </w:tcMar>
          </w:tcPr>
          <w:p>
            <w:pPr>
              <w:spacing w:after="0"/>
            </w:pPr>
            <w:r>
              <w:rPr>
                <w:b w:val="false"/>
                <w:bCs w:val="false"/>
                <w:sz w:val="21"/>
                <w:szCs w:val="21"/>
              </w:rPr>
              <w:t xml:space="preserve">2025-05</w:t>
            </w:r>
          </w:p>
        </w:tc>
        <w:tc>
          <w:tcPr>
            <w:tcW w:type="pct" w:w="1200"/>
            <w:tcMar>
              <w:top w:type="dxa" w:w="90"/>
              <w:left w:type="dxa" w:w="130"/>
              <w:bottom w:type="dxa" w:w="90"/>
              <w:right w:type="dxa" w:w="130"/>
            </w:tcMar>
          </w:tcPr>
          <w:p>
            <w:pPr>
              <w:spacing w:after="0"/>
            </w:pPr>
            <w:r>
              <w:rPr>
                <w:b w:val="false"/>
                <w:bCs w:val="false"/>
                <w:sz w:val="21"/>
                <w:szCs w:val="21"/>
              </w:rPr>
              <w:t xml:space="preserve">Ja</w:t>
            </w:r>
          </w:p>
        </w:tc>
        <w:tc>
          <w:tcPr>
            <w:tcW w:type="pct" w:w="900"/>
            <w:tcMar>
              <w:top w:type="dxa" w:w="90"/>
              <w:left w:type="dxa" w:w="130"/>
              <w:bottom w:type="dxa" w:w="90"/>
              <w:right w:type="dxa" w:w="130"/>
            </w:tcMar>
          </w:tcPr>
          <w:p>
            <w:pPr>
              <w:spacing w:after="0"/>
            </w:pPr>
            <w:r>
              <w:rPr>
                <w:b w:val="false"/>
                <w:bCs w:val="false"/>
                <w:sz w:val="21"/>
                <w:szCs w:val="21"/>
              </w:rPr>
              <w:t xml:space="preserve">8.000</w:t>
            </w:r>
          </w:p>
        </w:tc>
        <w:tc>
          <w:tcPr>
            <w:tcW w:type="pct" w:w="900"/>
            <w:tcMar>
              <w:top w:type="dxa" w:w="90"/>
              <w:left w:type="dxa" w:w="130"/>
              <w:bottom w:type="dxa" w:w="90"/>
              <w:right w:type="dxa" w:w="130"/>
            </w:tcMar>
          </w:tcPr>
          <w:p>
            <w:pPr>
              <w:spacing w:after="0"/>
            </w:pPr>
            <w:r>
              <w:rPr>
                <w:b w:val="false"/>
                <w:bCs w:val="false"/>
                <w:sz w:val="21"/>
                <w:szCs w:val="21"/>
              </w:rPr>
              <w:t xml:space="preserve">2.400</w:t>
            </w:r>
          </w:p>
        </w:tc>
      </w:tr>
      <w:tr>
        <w:tc>
          <w:tcPr>
            <w:tcW w:type="pct" w:w="800"/>
            <w:shd w:fill="F5F8FB" w:val="clear"/>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712346</w:t>
            </w:r>
          </w:p>
        </w:tc>
        <w:tc>
          <w:tcPr>
            <w:tcW w:type="pct" w:w="1200"/>
            <w:shd w:fill="F5F8FB" w:val="clear"/>
            <w:tcMar>
              <w:top w:type="dxa" w:w="90"/>
              <w:left w:type="dxa" w:w="130"/>
              <w:bottom w:type="dxa" w:w="90"/>
              <w:right w:type="dxa" w:w="130"/>
            </w:tcMar>
          </w:tcPr>
          <w:p>
            <w:pPr>
              <w:spacing w:after="0"/>
            </w:pPr>
            <w:r>
              <w:rPr>
                <w:b w:val="false"/>
                <w:bCs w:val="false"/>
                <w:sz w:val="21"/>
                <w:szCs w:val="21"/>
              </w:rPr>
              <w:t xml:space="preserve">2025-08</w:t>
            </w:r>
          </w:p>
        </w:tc>
        <w:tc>
          <w:tcPr>
            <w:tcW w:type="pct" w:w="1200"/>
            <w:shd w:fill="F5F8FB" w:val="clear"/>
            <w:tcMar>
              <w:top w:type="dxa" w:w="90"/>
              <w:left w:type="dxa" w:w="130"/>
              <w:bottom w:type="dxa" w:w="90"/>
              <w:right w:type="dxa" w:w="130"/>
            </w:tcMar>
          </w:tcPr>
          <w:p>
            <w:pPr>
              <w:spacing w:after="0"/>
            </w:pPr>
            <w:r>
              <w:rPr>
                <w:b w:val="false"/>
                <w:bCs w:val="false"/>
                <w:sz w:val="21"/>
                <w:szCs w:val="21"/>
              </w:rPr>
              <w:t xml:space="preserve">Ja</w:t>
            </w:r>
          </w:p>
        </w:tc>
        <w:tc>
          <w:tcPr>
            <w:tcW w:type="pct" w:w="900"/>
            <w:shd w:fill="F5F8FB" w:val="clear"/>
            <w:tcMar>
              <w:top w:type="dxa" w:w="90"/>
              <w:left w:type="dxa" w:w="130"/>
              <w:bottom w:type="dxa" w:w="90"/>
              <w:right w:type="dxa" w:w="130"/>
            </w:tcMar>
          </w:tcPr>
          <w:p>
            <w:pPr>
              <w:spacing w:after="0"/>
            </w:pPr>
            <w:r>
              <w:rPr>
                <w:b w:val="false"/>
                <w:bCs w:val="false"/>
                <w:sz w:val="21"/>
                <w:szCs w:val="21"/>
              </w:rPr>
              <w:t xml:space="preserve">20.000</w:t>
            </w:r>
          </w:p>
        </w:tc>
        <w:tc>
          <w:tcPr>
            <w:tcW w:type="pct" w:w="900"/>
            <w:shd w:fill="F5F8FB" w:val="clear"/>
            <w:tcMar>
              <w:top w:type="dxa" w:w="90"/>
              <w:left w:type="dxa" w:w="130"/>
              <w:bottom w:type="dxa" w:w="90"/>
              <w:right w:type="dxa" w:w="130"/>
            </w:tcMar>
          </w:tcPr>
          <w:p>
            <w:pPr>
              <w:spacing w:after="0"/>
            </w:pPr>
            <w:r>
              <w:rPr>
                <w:b w:val="false"/>
                <w:bCs w:val="false"/>
                <w:sz w:val="21"/>
                <w:szCs w:val="21"/>
              </w:rPr>
              <w:t xml:space="preserve">10.000</w:t>
            </w:r>
          </w:p>
        </w:tc>
      </w:tr>
      <w:tr>
        <w:tc>
          <w:tcPr>
            <w:tcW w:type="pct" w:w="800"/>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712347</w:t>
            </w:r>
          </w:p>
        </w:tc>
        <w:tc>
          <w:tcPr>
            <w:tcW w:type="pct" w:w="1200"/>
            <w:tcMar>
              <w:top w:type="dxa" w:w="90"/>
              <w:left w:type="dxa" w:w="130"/>
              <w:bottom w:type="dxa" w:w="90"/>
              <w:right w:type="dxa" w:w="130"/>
            </w:tcMar>
          </w:tcPr>
          <w:p>
            <w:pPr>
              <w:spacing w:after="0"/>
            </w:pPr>
            <w:r>
              <w:rPr>
                <w:b w:val="false"/>
                <w:bCs w:val="false"/>
                <w:sz w:val="21"/>
                <w:szCs w:val="21"/>
              </w:rPr>
              <w:t xml:space="preserve">2023-11</w:t>
            </w:r>
          </w:p>
        </w:tc>
        <w:tc>
          <w:tcPr>
            <w:tcW w:type="pct" w:w="1200"/>
            <w:tcMar>
              <w:top w:type="dxa" w:w="90"/>
              <w:left w:type="dxa" w:w="130"/>
              <w:bottom w:type="dxa" w:w="90"/>
              <w:right w:type="dxa" w:w="130"/>
            </w:tcMar>
          </w:tcPr>
          <w:p>
            <w:pPr>
              <w:spacing w:after="0"/>
            </w:pPr>
            <w:r>
              <w:rPr>
                <w:b w:val="false"/>
                <w:bCs w:val="false"/>
                <w:sz w:val="21"/>
                <w:szCs w:val="21"/>
              </w:rPr>
              <w:t xml:space="preserve">Nej — fjernes</w:t>
            </w:r>
          </w:p>
        </w:tc>
        <w:tc>
          <w:tcPr>
            <w:tcW w:type="pct" w:w="900"/>
            <w:tcMar>
              <w:top w:type="dxa" w:w="90"/>
              <w:left w:type="dxa" w:w="130"/>
              <w:bottom w:type="dxa" w:w="90"/>
              <w:right w:type="dxa" w:w="130"/>
            </w:tcMar>
          </w:tcPr>
          <w:p>
            <w:pPr>
              <w:spacing w:after="0"/>
            </w:pPr>
            <w:r>
              <w:rPr>
                <w:b w:val="false"/>
                <w:bCs w:val="false"/>
                <w:sz w:val="21"/>
                <w:szCs w:val="21"/>
              </w:rPr>
              <w:t xml:space="preserve">12.000</w:t>
            </w:r>
          </w:p>
        </w:tc>
        <w:tc>
          <w:tcPr>
            <w:tcW w:type="pct" w:w="900"/>
            <w:tcMar>
              <w:top w:type="dxa" w:w="90"/>
              <w:left w:type="dxa" w:w="130"/>
              <w:bottom w:type="dxa" w:w="90"/>
              <w:right w:type="dxa" w:w="130"/>
            </w:tcMar>
          </w:tcPr>
          <w:p>
            <w:pPr>
              <w:spacing w:after="0"/>
            </w:pPr>
            <w:r>
              <w:rPr>
                <w:b w:val="false"/>
                <w:bCs w:val="false"/>
                <w:sz w:val="21"/>
                <w:szCs w:val="21"/>
              </w:rPr>
              <w:t xml:space="preserve">1.200</w:t>
            </w:r>
          </w:p>
        </w:tc>
      </w:tr>
    </w:tbl>
    <w:p>
      <w:pPr>
        <w:spacing w:after="160"/>
      </w:pPr>
      <w:r>
        <w:t xml:space="preserve"/>
      </w:r>
    </w:p>
    <w:p>
      <w:pPr>
        <w:spacing w:after="140"/>
      </w:pPr>
      <w:r>
        <w:rPr>
          <w:b w:val="false"/>
          <w:bCs w:val="false"/>
          <w:i/>
          <w:iCs/>
          <w:color w:val="555555"/>
          <w:sz w:val="22"/>
          <w:szCs w:val="22"/>
        </w:rPr>
        <w:t xml:space="preserve">712347 blev sidst handlet for næsten to år siden og falder uden for vinduet. Den sorteres fra i trin 1, og resten bygger kun på 712345 og 712346. Tallene står med for at vise hvad der bliver lagt til side — de indgår ikke i nogen beregning. Det er den samme kunde som i figur 2.</w:t>
      </w:r>
    </w:p>
    <w:p>
      <w:pPr>
        <w:pStyle w:val="Heading2"/>
        <w:spacing w:after="100" w:before="260"/>
      </w:pPr>
      <w:r>
        <w:rPr>
          <w:b/>
          <w:bCs/>
          <w:color w:val="2A5A8A"/>
          <w:sz w:val="24"/>
          <w:szCs w:val="24"/>
        </w:rPr>
        <w:t xml:space="preserve">X-koordinatet: Gross Margin %</w:t>
      </w:r>
    </w:p>
    <w:p>
      <w:pPr>
        <w:shd w:fill="F2F2F2" w:val="clear"/>
        <w:spacing w:after="160" w:before="100"/>
        <w:ind w:left="288"/>
      </w:pPr>
      <w:r>
        <w:rPr>
          <w:rFonts w:ascii="Consolas" w:cs="Consolas" w:eastAsia="Consolas" w:hAnsi="Consolas"/>
          <w:sz w:val="19"/>
          <w:szCs w:val="19"/>
        </w:rPr>
        <w:t xml:space="preserve">GP:        2.400 + 10.000  =  12.400</w:t>
      </w:r>
      <w:r>
        <w:br/>
      </w:r>
      <w:r>
        <w:rPr>
          <w:rFonts w:ascii="Consolas" w:cs="Consolas" w:eastAsia="Consolas" w:hAnsi="Consolas"/>
          <w:sz w:val="19"/>
          <w:szCs w:val="19"/>
        </w:rPr>
        <w:t xml:space="preserve">Turnover:  8.000 + 20.000  =  28.000</w:t>
      </w:r>
      <w:r>
        <w:br/>
      </w:r>
      <w:r>
        <w:rPr>
          <w:rFonts w:ascii="Consolas" w:cs="Consolas" w:eastAsia="Consolas" w:hAnsi="Consolas"/>
          <w:sz w:val="19"/>
          <w:szCs w:val="19"/>
        </w:rPr>
        <w:t xml:space="preserve">GM%     =  12.400 / 28.000 =  44 %</w:t>
      </w:r>
    </w:p>
    <w:p>
      <w:pPr>
        <w:spacing w:after="140"/>
      </w:pPr>
      <w:r>
        <w:rPr>
          <w:b w:val="false"/>
          <w:bCs w:val="false"/>
          <w:i w:val="false"/>
          <w:iCs w:val="false"/>
          <w:sz w:val="22"/>
          <w:szCs w:val="22"/>
        </w:rPr>
        <w:t xml:space="preserve">44 % er X-koordinatet for Eksempel A/S på kundegruppe-plottet.</w:t>
      </w:r>
    </w:p>
    <w:p>
      <w:pPr>
        <w:pStyle w:val="Heading2"/>
        <w:spacing w:after="100" w:before="260"/>
      </w:pPr>
      <w:r>
        <w:rPr>
          <w:b/>
          <w:bCs/>
          <w:color w:val="2A5A8A"/>
          <w:sz w:val="24"/>
          <w:szCs w:val="24"/>
        </w:rPr>
        <w:t xml:space="preserve">Y-koordinatet: Turnover i vinduet</w:t>
      </w:r>
    </w:p>
    <w:p>
      <w:pPr>
        <w:shd w:fill="F2F2F2" w:val="clear"/>
        <w:spacing w:after="160" w:before="100"/>
        <w:ind w:left="288"/>
      </w:pPr>
      <w:r>
        <w:rPr>
          <w:rFonts w:ascii="Consolas" w:cs="Consolas" w:eastAsia="Consolas" w:hAnsi="Consolas"/>
          <w:sz w:val="19"/>
          <w:szCs w:val="19"/>
        </w:rPr>
        <w:t xml:space="preserve">Turnover:  8.000 + 20.000  =  28.000 DKK</w:t>
      </w:r>
    </w:p>
    <w:p>
      <w:pPr>
        <w:spacing w:after="140"/>
      </w:pPr>
      <w:r>
        <w:rPr>
          <w:b w:val="false"/>
          <w:bCs w:val="false"/>
          <w:i w:val="false"/>
          <w:iCs w:val="false"/>
          <w:sz w:val="22"/>
          <w:szCs w:val="22"/>
        </w:rPr>
        <w:t xml:space="preserve">28.000 DKK er Y-koordinatet. Bemærk at det er det samme tal der indgår i begge beregninger — marginen er et forhold, omsætningen er en sum.</w:t>
      </w:r>
    </w:p>
    <w:p>
      <w:pPr>
        <w:pStyle w:val="Heading2"/>
        <w:spacing w:after="100" w:before="260"/>
      </w:pPr>
      <w:r>
        <w:rPr>
          <w:b/>
          <w:bCs/>
          <w:color w:val="2A5A8A"/>
          <w:sz w:val="24"/>
          <w:szCs w:val="24"/>
        </w:rPr>
        <w:t xml:space="preserve">Kategorien</w:t>
      </w:r>
    </w:p>
    <w:p>
      <w:pPr>
        <w:spacing w:after="140"/>
      </w:pPr>
      <w:r>
        <w:rPr>
          <w:b w:val="false"/>
          <w:bCs w:val="false"/>
          <w:i w:val="false"/>
          <w:iCs w:val="false"/>
          <w:sz w:val="22"/>
          <w:szCs w:val="22"/>
        </w:rPr>
        <w:t xml:space="preserve">28.000 DKK ligger under 0,5 mio. og falder derfor i bånd </w:t>
      </w:r>
      <w:r>
        <w:rPr>
          <w:b/>
          <w:bCs/>
          <w:i w:val="false"/>
          <w:iCs w:val="false"/>
          <w:sz w:val="22"/>
          <w:szCs w:val="22"/>
        </w:rPr>
        <w:t xml:space="preserve">D</w:t>
      </w:r>
      <w:r>
        <w:rPr>
          <w:b w:val="false"/>
          <w:bCs w:val="false"/>
          <w:i w:val="false"/>
          <w:iCs w:val="false"/>
          <w:sz w:val="22"/>
          <w:szCs w:val="22"/>
        </w:rPr>
        <w:t xml:space="preserve">, hvor kravet er 30 %. Kundens margin er 44 %, altså over kravet, og kategorien bliver </w:t>
      </w:r>
      <w:r>
        <w:rPr>
          <w:b/>
          <w:bCs/>
          <w:i w:val="false"/>
          <w:iCs w:val="false"/>
          <w:sz w:val="22"/>
          <w:szCs w:val="22"/>
        </w:rPr>
        <w:t xml:space="preserve">D+</w:t>
      </w:r>
      <w:r>
        <w:rPr>
          <w:b w:val="false"/>
          <w:bCs w:val="false"/>
          <w:i w:val="false"/>
          <w:iCs w:val="false"/>
          <w:sz w:val="22"/>
          <w:szCs w:val="22"/>
        </w:rPr>
        <w:t xml:space="preserve">: en lille kunde, men en sund en af slagsen.</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Det vigtige:  </w:t>
      </w:r>
      <w:r>
        <w:rPr>
          <w:sz w:val="21"/>
          <w:szCs w:val="21"/>
        </w:rPr>
        <w:t xml:space="preserve">hvert punkt i graferne kan altid føres tilbage til nogle få rækker i Excel-filen. Er et tal overraskende, så find kunden i Excel-rapporten — der står de mellemregninger punktet er bygget af.</w:t>
      </w:r>
    </w:p>
    <w:p>
      <w:r>
        <w:br w:type="page"/>
      </w:r>
    </w:p>
    <w:p>
      <w:pPr>
        <w:pStyle w:val="Heading1"/>
        <w:spacing w:after="160" w:before="360"/>
      </w:pPr>
      <w:r>
        <w:rPr>
          <w:b/>
          <w:bCs/>
          <w:color w:val="1A4A7A"/>
          <w:sz w:val="32"/>
          <w:szCs w:val="32"/>
        </w:rPr>
        <w:t xml:space="preserve">6  De to grafer</w:t>
      </w:r>
    </w:p>
    <w:p>
      <w:pPr>
        <w:spacing w:after="140"/>
      </w:pPr>
      <w:r>
        <w:rPr>
          <w:b w:val="false"/>
          <w:bCs w:val="false"/>
          <w:i w:val="false"/>
          <w:iCs w:val="false"/>
          <w:sz w:val="22"/>
          <w:szCs w:val="22"/>
        </w:rPr>
        <w:t xml:space="preserve">Der laves to grafer for hvert udsnit. De besvarer to forskellige spørgsmål og skal læses hver for sig.</w:t>
      </w:r>
    </w:p>
    <w:tbl>
      <w:tblPr>
        <w:tblW w:type="pct" w:w="5000"/>
        <w:tblBorders>
          <w:top w:val="single" w:color="C8D4E0" w:sz="1"/>
          <w:left w:val="single" w:color="C8D4E0" w:sz="1"/>
          <w:bottom w:val="single" w:color="C8D4E0" w:sz="1"/>
          <w:right w:val="single" w:color="C8D4E0" w:sz="1"/>
          <w:insideH w:val="single" w:color="C8D4E0" w:sz="1"/>
          <w:insideV w:val="single" w:color="C8D4E0" w:sz="1"/>
        </w:tblBorders>
      </w:tblPr>
      <w:tblGrid>
        <w:gridCol w:w="1805"/>
        <w:gridCol w:w="3610"/>
        <w:gridCol w:w="3610"/>
      </w:tblGrid>
      <w:tr>
        <w:trPr>
          <w:tblHeader/>
        </w:trPr>
        <w:tc>
          <w:tcPr>
            <w:tcW w:type="pct" w:w="1000"/>
            <w:shd w:fill="1A4A7A" w:val="clear"/>
            <w:tcMar>
              <w:top w:type="dxa" w:w="90"/>
              <w:left w:type="dxa" w:w="130"/>
              <w:bottom w:type="dxa" w:w="90"/>
              <w:right w:type="dxa" w:w="130"/>
            </w:tcMar>
          </w:tcPr>
          <w:p>
            <w:pPr>
              <w:spacing w:after="0"/>
            </w:pPr>
            <w:r>
              <w:rPr>
                <w:b/>
                <w:bCs/>
                <w:color w:val="FFFFFF"/>
                <w:sz w:val="21"/>
                <w:szCs w:val="21"/>
              </w:rPr>
              <w:t xml:space="preserve"/>
            </w:r>
          </w:p>
        </w:tc>
        <w:tc>
          <w:tcPr>
            <w:tcW w:type="pct" w:w="2000"/>
            <w:shd w:fill="1A4A7A" w:val="clear"/>
            <w:tcMar>
              <w:top w:type="dxa" w:w="90"/>
              <w:left w:type="dxa" w:w="130"/>
              <w:bottom w:type="dxa" w:w="90"/>
              <w:right w:type="dxa" w:w="130"/>
            </w:tcMar>
          </w:tcPr>
          <w:p>
            <w:pPr>
              <w:spacing w:after="0"/>
            </w:pPr>
            <w:r>
              <w:rPr>
                <w:b/>
                <w:bCs/>
                <w:color w:val="FFFFFF"/>
                <w:sz w:val="21"/>
                <w:szCs w:val="21"/>
              </w:rPr>
              <w:t xml:space="preserve">Kundegruppe-grafen</w:t>
            </w:r>
          </w:p>
        </w:tc>
        <w:tc>
          <w:tcPr>
            <w:tcW w:type="pct" w:w="2000"/>
            <w:shd w:fill="1A4A7A" w:val="clear"/>
            <w:tcMar>
              <w:top w:type="dxa" w:w="90"/>
              <w:left w:type="dxa" w:w="130"/>
              <w:bottom w:type="dxa" w:w="90"/>
              <w:right w:type="dxa" w:w="130"/>
            </w:tcMar>
          </w:tcPr>
          <w:p>
            <w:pPr>
              <w:spacing w:after="0"/>
            </w:pPr>
            <w:r>
              <w:rPr>
                <w:b/>
                <w:bCs/>
                <w:color w:val="FFFFFF"/>
                <w:sz w:val="21"/>
                <w:szCs w:val="21"/>
              </w:rPr>
              <w:t xml:space="preserve">Item-grafen</w:t>
            </w:r>
          </w:p>
        </w:tc>
      </w:tr>
      <w:tr>
        <w:tc>
          <w:tcPr>
            <w:tcW w:type="pct" w:w="1000"/>
            <w:tcMar>
              <w:top w:type="dxa" w:w="90"/>
              <w:left w:type="dxa" w:w="130"/>
              <w:bottom w:type="dxa" w:w="90"/>
              <w:right w:type="dxa" w:w="130"/>
            </w:tcMar>
          </w:tcPr>
          <w:p>
            <w:pPr>
              <w:spacing w:after="0"/>
            </w:pPr>
            <w:r>
              <w:rPr>
                <w:b w:val="false"/>
                <w:bCs w:val="false"/>
                <w:sz w:val="21"/>
                <w:szCs w:val="21"/>
              </w:rPr>
              <w:t xml:space="preserve">Overskriften</w:t>
            </w:r>
          </w:p>
        </w:tc>
        <w:tc>
          <w:tcPr>
            <w:tcW w:type="pct" w:w="2000"/>
            <w:tcMar>
              <w:top w:type="dxa" w:w="90"/>
              <w:left w:type="dxa" w:w="130"/>
              <w:bottom w:type="dxa" w:w="90"/>
              <w:right w:type="dxa" w:w="130"/>
            </w:tcMar>
          </w:tcPr>
          <w:p>
            <w:pPr>
              <w:spacing w:after="0"/>
            </w:pPr>
            <w:r>
              <w:rPr>
                <w:b w:val="false"/>
                <w:bCs w:val="false"/>
                <w:sz w:val="21"/>
                <w:szCs w:val="21"/>
              </w:rPr>
              <w:t xml:space="preserve">Customer Price Matrix – Kundegruppe – &lt;udsnit&gt;</w:t>
            </w:r>
          </w:p>
        </w:tc>
        <w:tc>
          <w:tcPr>
            <w:tcW w:type="pct" w:w="2000"/>
            <w:tcMar>
              <w:top w:type="dxa" w:w="90"/>
              <w:left w:type="dxa" w:w="130"/>
              <w:bottom w:type="dxa" w:w="90"/>
              <w:right w:type="dxa" w:w="130"/>
            </w:tcMar>
          </w:tcPr>
          <w:p>
            <w:pPr>
              <w:spacing w:after="0"/>
            </w:pPr>
            <w:r>
              <w:rPr>
                <w:b w:val="false"/>
                <w:bCs w:val="false"/>
                <w:sz w:val="21"/>
                <w:szCs w:val="21"/>
              </w:rPr>
              <w:t xml:space="preserve">Customer Price Matrix – Item – &lt;udsnit&gt;</w:t>
            </w:r>
          </w:p>
        </w:tc>
      </w:tr>
      <w:tr>
        <w:tc>
          <w:tcPr>
            <w:tcW w:type="pct" w:w="1000"/>
            <w:shd w:fill="F5F8FB" w:val="clear"/>
            <w:tcMar>
              <w:top w:type="dxa" w:w="90"/>
              <w:left w:type="dxa" w:w="130"/>
              <w:bottom w:type="dxa" w:w="90"/>
              <w:right w:type="dxa" w:w="130"/>
            </w:tcMar>
          </w:tcPr>
          <w:p>
            <w:pPr>
              <w:spacing w:after="0"/>
            </w:pPr>
            <w:r>
              <w:rPr>
                <w:b w:val="false"/>
                <w:bCs w:val="false"/>
                <w:sz w:val="21"/>
                <w:szCs w:val="21"/>
              </w:rPr>
              <w:t xml:space="preserve">Ét punkt er</w:t>
            </w:r>
          </w:p>
        </w:tc>
        <w:tc>
          <w:tcPr>
            <w:tcW w:type="pct" w:w="2000"/>
            <w:shd w:fill="F5F8FB" w:val="clear"/>
            <w:tcMar>
              <w:top w:type="dxa" w:w="90"/>
              <w:left w:type="dxa" w:w="130"/>
              <w:bottom w:type="dxa" w:w="90"/>
              <w:right w:type="dxa" w:w="130"/>
            </w:tcMar>
          </w:tcPr>
          <w:p>
            <w:pPr>
              <w:spacing w:after="0"/>
            </w:pPr>
            <w:r>
              <w:rPr>
                <w:b w:val="false"/>
                <w:bCs w:val="false"/>
                <w:sz w:val="21"/>
                <w:szCs w:val="21"/>
              </w:rPr>
              <w:t xml:space="preserve">én kundegruppe</w:t>
            </w:r>
          </w:p>
        </w:tc>
        <w:tc>
          <w:tcPr>
            <w:tcW w:type="pct" w:w="2000"/>
            <w:shd w:fill="F5F8FB" w:val="clear"/>
            <w:tcMar>
              <w:top w:type="dxa" w:w="90"/>
              <w:left w:type="dxa" w:w="130"/>
              <w:bottom w:type="dxa" w:w="90"/>
              <w:right w:type="dxa" w:w="130"/>
            </w:tcMar>
          </w:tcPr>
          <w:p>
            <w:pPr>
              <w:spacing w:after="0"/>
            </w:pPr>
            <w:r>
              <w:rPr>
                <w:b w:val="false"/>
                <w:bCs w:val="false"/>
                <w:sz w:val="21"/>
                <w:szCs w:val="21"/>
              </w:rPr>
              <w:t xml:space="preserve">ét varenummer hos én kunde</w:t>
            </w:r>
          </w:p>
        </w:tc>
      </w:tr>
      <w:tr>
        <w:tc>
          <w:tcPr>
            <w:tcW w:type="pct" w:w="1000"/>
            <w:tcMar>
              <w:top w:type="dxa" w:w="90"/>
              <w:left w:type="dxa" w:w="130"/>
              <w:bottom w:type="dxa" w:w="90"/>
              <w:right w:type="dxa" w:w="130"/>
            </w:tcMar>
          </w:tcPr>
          <w:p>
            <w:pPr>
              <w:spacing w:after="0"/>
            </w:pPr>
            <w:r>
              <w:rPr>
                <w:b w:val="false"/>
                <w:bCs w:val="false"/>
                <w:sz w:val="21"/>
                <w:szCs w:val="21"/>
              </w:rPr>
              <w:t xml:space="preserve">Farven følger</w:t>
            </w:r>
          </w:p>
        </w:tc>
        <w:tc>
          <w:tcPr>
            <w:tcW w:type="pct" w:w="2000"/>
            <w:tcMar>
              <w:top w:type="dxa" w:w="90"/>
              <w:left w:type="dxa" w:w="130"/>
              <w:bottom w:type="dxa" w:w="90"/>
              <w:right w:type="dxa" w:w="130"/>
            </w:tcMar>
          </w:tcPr>
          <w:p>
            <w:pPr>
              <w:spacing w:after="0"/>
            </w:pPr>
            <w:r>
              <w:rPr>
                <w:b w:val="false"/>
                <w:bCs w:val="false"/>
                <w:sz w:val="21"/>
                <w:szCs w:val="21"/>
              </w:rPr>
              <w:t xml:space="preserve">kundetypen</w:t>
            </w:r>
          </w:p>
        </w:tc>
        <w:tc>
          <w:tcPr>
            <w:tcW w:type="pct" w:w="2000"/>
            <w:tcMar>
              <w:top w:type="dxa" w:w="90"/>
              <w:left w:type="dxa" w:w="130"/>
              <w:bottom w:type="dxa" w:w="90"/>
              <w:right w:type="dxa" w:w="130"/>
            </w:tcMar>
          </w:tcPr>
          <w:p>
            <w:pPr>
              <w:spacing w:after="0"/>
            </w:pPr>
            <w:r>
              <w:rPr>
                <w:b w:val="false"/>
                <w:bCs w:val="false"/>
                <w:sz w:val="21"/>
                <w:szCs w:val="21"/>
              </w:rPr>
              <w:t xml:space="preserve">kundegruppen</w:t>
            </w:r>
          </w:p>
        </w:tc>
      </w:tr>
      <w:tr>
        <w:tc>
          <w:tcPr>
            <w:tcW w:type="pct" w:w="1000"/>
            <w:shd w:fill="F5F8FB" w:val="clear"/>
            <w:tcMar>
              <w:top w:type="dxa" w:w="90"/>
              <w:left w:type="dxa" w:w="130"/>
              <w:bottom w:type="dxa" w:w="90"/>
              <w:right w:type="dxa" w:w="130"/>
            </w:tcMar>
          </w:tcPr>
          <w:p>
            <w:pPr>
              <w:spacing w:after="0"/>
            </w:pPr>
            <w:r>
              <w:rPr>
                <w:b w:val="false"/>
                <w:bCs w:val="false"/>
                <w:sz w:val="21"/>
                <w:szCs w:val="21"/>
              </w:rPr>
              <w:t xml:space="preserve">Legenden viser</w:t>
            </w:r>
          </w:p>
        </w:tc>
        <w:tc>
          <w:tcPr>
            <w:tcW w:type="pct" w:w="2000"/>
            <w:shd w:fill="F5F8FB" w:val="clear"/>
            <w:tcMar>
              <w:top w:type="dxa" w:w="90"/>
              <w:left w:type="dxa" w:w="130"/>
              <w:bottom w:type="dxa" w:w="90"/>
              <w:right w:type="dxa" w:w="130"/>
            </w:tcMar>
          </w:tcPr>
          <w:p>
            <w:pPr>
              <w:spacing w:after="0"/>
            </w:pPr>
            <w:r>
              <w:rPr>
                <w:b w:val="false"/>
                <w:bCs w:val="false"/>
                <w:sz w:val="21"/>
                <w:szCs w:val="21"/>
              </w:rPr>
              <w:t xml:space="preserve">kundenavne pr. kategori</w:t>
            </w:r>
          </w:p>
        </w:tc>
        <w:tc>
          <w:tcPr>
            <w:tcW w:type="pct" w:w="2000"/>
            <w:shd w:fill="F5F8FB" w:val="clear"/>
            <w:tcMar>
              <w:top w:type="dxa" w:w="90"/>
              <w:left w:type="dxa" w:w="130"/>
              <w:bottom w:type="dxa" w:w="90"/>
              <w:right w:type="dxa" w:w="130"/>
            </w:tcMar>
          </w:tcPr>
          <w:p>
            <w:pPr>
              <w:spacing w:after="0"/>
            </w:pPr>
            <w:r>
              <w:rPr>
                <w:b w:val="false"/>
                <w:bCs w:val="false"/>
                <w:sz w:val="21"/>
                <w:szCs w:val="21"/>
              </w:rPr>
              <w:t xml:space="preserve">kundenavne pr. kategori</w:t>
            </w:r>
          </w:p>
        </w:tc>
      </w:tr>
      <w:tr>
        <w:tc>
          <w:tcPr>
            <w:tcW w:type="pct" w:w="1000"/>
            <w:tcMar>
              <w:top w:type="dxa" w:w="90"/>
              <w:left w:type="dxa" w:w="130"/>
              <w:bottom w:type="dxa" w:w="90"/>
              <w:right w:type="dxa" w:w="130"/>
            </w:tcMar>
          </w:tcPr>
          <w:p>
            <w:pPr>
              <w:spacing w:after="0"/>
            </w:pPr>
            <w:r>
              <w:rPr>
                <w:b w:val="false"/>
                <w:bCs w:val="false"/>
                <w:sz w:val="21"/>
                <w:szCs w:val="21"/>
              </w:rPr>
              <w:t xml:space="preserve">Baggrunden viser</w:t>
            </w:r>
          </w:p>
        </w:tc>
        <w:tc>
          <w:tcPr>
            <w:tcW w:type="pct" w:w="2000"/>
            <w:tcMar>
              <w:top w:type="dxa" w:w="90"/>
              <w:left w:type="dxa" w:w="130"/>
              <w:bottom w:type="dxa" w:w="90"/>
              <w:right w:type="dxa" w:w="130"/>
            </w:tcMar>
          </w:tcPr>
          <w:p>
            <w:pPr>
              <w:spacing w:after="0"/>
            </w:pPr>
            <w:r>
              <w:rPr>
                <w:b w:val="false"/>
                <w:bCs w:val="false"/>
                <w:sz w:val="21"/>
                <w:szCs w:val="21"/>
              </w:rPr>
              <w:t xml:space="preserve">A/B/C/D-zonerne</w:t>
            </w:r>
          </w:p>
        </w:tc>
        <w:tc>
          <w:tcPr>
            <w:tcW w:type="pct" w:w="2000"/>
            <w:tcMar>
              <w:top w:type="dxa" w:w="90"/>
              <w:left w:type="dxa" w:w="130"/>
              <w:bottom w:type="dxa" w:w="90"/>
              <w:right w:type="dxa" w:w="130"/>
            </w:tcMar>
          </w:tcPr>
          <w:p>
            <w:pPr>
              <w:spacing w:after="0"/>
            </w:pPr>
            <w:r>
              <w:rPr>
                <w:b w:val="false"/>
                <w:bCs w:val="false"/>
                <w:sz w:val="21"/>
                <w:szCs w:val="21"/>
              </w:rPr>
              <w:t xml:space="preserve">volumenområder for ét niveau ad gangen</w:t>
            </w:r>
          </w:p>
        </w:tc>
      </w:tr>
      <w:tr>
        <w:tc>
          <w:tcPr>
            <w:tcW w:type="pct" w:w="1000"/>
            <w:shd w:fill="F5F8FB" w:val="clear"/>
            <w:tcMar>
              <w:top w:type="dxa" w:w="90"/>
              <w:left w:type="dxa" w:w="130"/>
              <w:bottom w:type="dxa" w:w="90"/>
              <w:right w:type="dxa" w:w="130"/>
            </w:tcMar>
          </w:tcPr>
          <w:p>
            <w:pPr>
              <w:spacing w:after="0"/>
            </w:pPr>
            <w:r>
              <w:rPr>
                <w:b w:val="false"/>
                <w:bCs w:val="false"/>
                <w:sz w:val="21"/>
                <w:szCs w:val="21"/>
              </w:rPr>
              <w:t xml:space="preserve">Bruges til</w:t>
            </w:r>
          </w:p>
        </w:tc>
        <w:tc>
          <w:tcPr>
            <w:tcW w:type="pct" w:w="2000"/>
            <w:shd w:fill="F5F8FB" w:val="clear"/>
            <w:tcMar>
              <w:top w:type="dxa" w:w="90"/>
              <w:left w:type="dxa" w:w="130"/>
              <w:bottom w:type="dxa" w:w="90"/>
              <w:right w:type="dxa" w:w="130"/>
            </w:tcMar>
          </w:tcPr>
          <w:p>
            <w:pPr>
              <w:spacing w:after="0"/>
            </w:pPr>
            <w:r>
              <w:rPr>
                <w:b w:val="false"/>
                <w:bCs w:val="false"/>
                <w:sz w:val="21"/>
                <w:szCs w:val="21"/>
              </w:rPr>
              <w:t xml:space="preserve">hvem er vigtige, og hvem tjener vi penge på</w:t>
            </w:r>
          </w:p>
        </w:tc>
        <w:tc>
          <w:tcPr>
            <w:tcW w:type="pct" w:w="2000"/>
            <w:shd w:fill="F5F8FB" w:val="clear"/>
            <w:tcMar>
              <w:top w:type="dxa" w:w="90"/>
              <w:left w:type="dxa" w:w="130"/>
              <w:bottom w:type="dxa" w:w="90"/>
              <w:right w:type="dxa" w:w="130"/>
            </w:tcMar>
          </w:tcPr>
          <w:p>
            <w:pPr>
              <w:spacing w:after="0"/>
            </w:pPr>
            <w:r>
              <w:rPr>
                <w:b w:val="false"/>
                <w:bCs w:val="false"/>
                <w:sz w:val="21"/>
                <w:szCs w:val="21"/>
              </w:rPr>
              <w:t xml:space="preserve">hvilke varer trækker en kunde op eller ned</w:t>
            </w:r>
          </w:p>
        </w:tc>
      </w:tr>
    </w:tbl>
    <w:p>
      <w:pPr>
        <w:spacing w:after="200"/>
      </w:pPr>
      <w:r>
        <w:t xml:space="preserve"/>
      </w:r>
    </w:p>
    <w:p>
      <w:pPr>
        <w:spacing w:after="140"/>
      </w:pPr>
      <w:r>
        <w:rPr>
          <w:b w:val="false"/>
          <w:bCs w:val="false"/>
          <w:i w:val="false"/>
          <w:iCs w:val="false"/>
          <w:sz w:val="22"/>
          <w:szCs w:val="22"/>
        </w:rPr>
        <w:t xml:space="preserve">På begge grafer står punkterne i legenden til højre, grupperet efter kundekategori — A+, A-, B+ og så videre. Et klik på et navn slår det enkelte punkt fra. Et </w:t>
      </w:r>
      <w:r>
        <w:rPr>
          <w:b/>
          <w:bCs/>
          <w:i w:val="false"/>
          <w:iCs w:val="false"/>
          <w:sz w:val="22"/>
          <w:szCs w:val="22"/>
        </w:rPr>
        <w:t xml:space="preserve">dobbeltklik</w:t>
      </w:r>
      <w:r>
        <w:rPr>
          <w:b w:val="false"/>
          <w:bCs w:val="false"/>
          <w:i w:val="false"/>
          <w:iCs w:val="false"/>
          <w:sz w:val="22"/>
          <w:szCs w:val="22"/>
        </w:rPr>
        <w:t xml:space="preserve"> viser kun den ene kunde og skjuler alle andre — det virker både på navnet i legenden og på selve punktet i grafen. Dobbeltklik igen bringer resten tilbage.</w:t>
      </w:r>
    </w:p>
    <w:p>
      <w:pPr>
        <w:spacing w:after="140"/>
      </w:pPr>
      <w:r>
        <w:rPr>
          <w:b w:val="false"/>
          <w:bCs w:val="false"/>
          <w:i w:val="false"/>
          <w:iCs w:val="false"/>
          <w:sz w:val="22"/>
          <w:szCs w:val="22"/>
        </w:rPr>
        <w:t xml:space="preserve">Baggrundsfarverne er zoner, ikke data. De viser hvor grænserne mellem kategorierne går, så det kan ses om en kunde ligger lige på vippen.</w:t>
      </w:r>
    </w:p>
    <w:p>
      <w:pPr>
        <w:spacing w:after="140"/>
      </w:pPr>
      <w:r>
        <w:rPr>
          <w:b w:val="false"/>
          <w:bCs w:val="false"/>
          <w:i w:val="false"/>
          <w:iCs w:val="false"/>
          <w:sz w:val="22"/>
          <w:szCs w:val="22"/>
        </w:rPr>
        <w:t xml:space="preserve">Hver zone har sit navn skrevet i nederste venstre hjørne — </w:t>
      </w:r>
      <w:r>
        <w:rPr>
          <w:b/>
          <w:bCs/>
          <w:i w:val="false"/>
          <w:iCs w:val="false"/>
          <w:sz w:val="22"/>
          <w:szCs w:val="22"/>
        </w:rPr>
        <w:t xml:space="preserve">A+, B+, C+, D+</w:t>
      </w:r>
      <w:r>
        <w:rPr>
          <w:b w:val="false"/>
          <w:bCs w:val="false"/>
          <w:i w:val="false"/>
          <w:iCs w:val="false"/>
          <w:sz w:val="22"/>
          <w:szCs w:val="22"/>
        </w:rPr>
        <w:t xml:space="preserve"> på kundegruppe-grafen og </w:t>
      </w:r>
      <w:r>
        <w:rPr>
          <w:b/>
          <w:bCs/>
          <w:i w:val="false"/>
          <w:iCs w:val="false"/>
          <w:sz w:val="22"/>
          <w:szCs w:val="22"/>
        </w:rPr>
        <w:t xml:space="preserve">Stor/Mellem/Lille volumen</w:t>
      </w:r>
      <w:r>
        <w:rPr>
          <w:b w:val="false"/>
          <w:bCs w:val="false"/>
          <w:i w:val="false"/>
          <w:iCs w:val="false"/>
          <w:sz w:val="22"/>
          <w:szCs w:val="22"/>
        </w:rPr>
        <w:t xml:space="preserve"> på item-grafen — og hver vandret streg har sit beløb i højre side. Navnet står med plus, fordi det farvede felt netop dækker den del af båndet hvor marginen når kravet; minus-halvdelen er det uskraverede område under samme streg.</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Teksten ligger bag punkterne.  </w:t>
      </w:r>
      <w:r>
        <w:rPr>
          <w:sz w:val="21"/>
          <w:szCs w:val="21"/>
        </w:rPr>
        <w:t xml:space="preserve">Zonenavne og beløb hører til baggrunden, ikke til data, så de tegnes under kunderne og varenumrene. Ligger et punkt oven på et zonenavn, er det punktet man kan se — ikke teksten.</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Akserne:  </w:t>
      </w:r>
      <w:r>
        <w:rPr>
          <w:sz w:val="21"/>
          <w:szCs w:val="21"/>
        </w:rPr>
        <w:t xml:space="preserve">X-aksen er lineær og Y-aksen logaritmisk, og det kan ikke laves om. Gross Margin % ligger inden for et snævert interval og læses som procentpoint. Omsætningen spænder derimod over flere størrelsesordener, og på en lineær akse ville alt andet end de største kunder klumpe sammen nede ved nul.</w:t>
      </w:r>
    </w:p>
    <w:p>
      <w:pPr>
        <w:pStyle w:val="Heading2"/>
        <w:spacing w:after="100" w:before="260"/>
      </w:pPr>
      <w:r>
        <w:rPr>
          <w:b/>
          <w:bCs/>
          <w:color w:val="2A5A8A"/>
          <w:sz w:val="24"/>
          <w:szCs w:val="24"/>
        </w:rPr>
        <w:t xml:space="preserve">Negativ omsætning</w:t>
      </w:r>
    </w:p>
    <w:p>
      <w:pPr>
        <w:spacing w:after="140"/>
      </w:pPr>
      <w:r>
        <w:rPr>
          <w:b w:val="false"/>
          <w:bCs w:val="false"/>
          <w:i w:val="false"/>
          <w:iCs w:val="false"/>
          <w:sz w:val="22"/>
          <w:szCs w:val="22"/>
        </w:rPr>
        <w:t xml:space="preserve">En logaritmisk akse kan ikke vise nul eller negative tal — logaritmen af dem findes ikke. Kunder og varer med negativ omsætning, altså kreditnotaer og returvarer, faldt derfor tidligere helt ud af grafen, selvom de talte med i kundens tal.</w:t>
      </w:r>
    </w:p>
    <w:p>
      <w:pPr>
        <w:spacing w:after="140"/>
      </w:pPr>
      <w:r>
        <w:rPr>
          <w:b w:val="false"/>
          <w:bCs w:val="false"/>
          <w:i w:val="false"/>
          <w:iCs w:val="false"/>
          <w:sz w:val="22"/>
          <w:szCs w:val="22"/>
        </w:rPr>
        <w:t xml:space="preserve">Er der nuller eller negative tal at vise, skifter Y-aksen nu til en </w:t>
      </w:r>
      <w:r>
        <w:rPr>
          <w:b/>
          <w:bCs/>
          <w:i w:val="false"/>
          <w:iCs w:val="false"/>
          <w:sz w:val="22"/>
          <w:szCs w:val="22"/>
        </w:rPr>
        <w:t xml:space="preserve">symlog-akse</w:t>
      </w:r>
      <w:r>
        <w:rPr>
          <w:b w:val="false"/>
          <w:bCs w:val="false"/>
          <w:i w:val="false"/>
          <w:iCs w:val="false"/>
          <w:sz w:val="22"/>
          <w:szCs w:val="22"/>
        </w:rPr>
        <w:t xml:space="preserve">: logaritmisk i begge retninger, med et lille lineært bælte omkring nul så tallene tæt på nul ikke breder sig ud i det uendelige. Mærkerne på aksen står stadig ved rigtige kronebeløb, og hover-boksen viser altid kroner. Er alt positivt, ser aksen ud præcis som før.</w:t>
      </w:r>
    </w:p>
    <w:p>
      <w:pPr>
        <w:spacing w:after="140"/>
      </w:pPr>
      <w:r>
        <w:rPr>
          <w:b w:val="false"/>
          <w:bCs w:val="false"/>
          <w:i w:val="false"/>
          <w:iCs w:val="false"/>
          <w:sz w:val="22"/>
          <w:szCs w:val="22"/>
        </w:rPr>
        <w:t xml:space="preserve">Under kundegruppe-grafen — mellem x-aksen og den første knaprække — står en lille </w:t>
      </w:r>
      <w:r>
        <w:rPr>
          <w:b/>
          <w:bCs/>
          <w:i w:val="false"/>
          <w:iCs w:val="false"/>
          <w:sz w:val="22"/>
          <w:szCs w:val="22"/>
        </w:rPr>
        <w:t xml:space="preserve">farvekode</w:t>
      </w:r>
      <w:r>
        <w:rPr>
          <w:b w:val="false"/>
          <w:bCs w:val="false"/>
          <w:i w:val="false"/>
          <w:iCs w:val="false"/>
          <w:sz w:val="22"/>
          <w:szCs w:val="22"/>
        </w:rPr>
        <w:t xml:space="preserve">, der siger hvilken farve der hører til hvilken kundetype. Den ligger uden for selve grafen, så den hverken stjæler plads fra punkterne eller kan slås fra ved et uheld. Farvelægges der efter Industry segment i stedet, viser farvekoden brancherne.</w:t>
      </w:r>
    </w:p>
    <w:p>
      <w:pPr>
        <w:pStyle w:val="Heading2"/>
        <w:spacing w:after="100" w:before="260"/>
      </w:pPr>
      <w:r>
        <w:rPr>
          <w:b/>
          <w:bCs/>
          <w:color w:val="2A5A8A"/>
          <w:sz w:val="24"/>
          <w:szCs w:val="24"/>
        </w:rPr>
        <w:t xml:space="preserve">Søg efter et varenummer</w:t>
      </w:r>
    </w:p>
    <w:p>
      <w:pPr>
        <w:spacing w:after="140"/>
      </w:pPr>
      <w:r>
        <w:rPr>
          <w:b w:val="false"/>
          <w:bCs w:val="false"/>
          <w:i w:val="false"/>
          <w:iCs w:val="false"/>
          <w:sz w:val="22"/>
          <w:szCs w:val="22"/>
        </w:rPr>
        <w:t xml:space="preserve">Under item-grafen, samme sted som farvekoden sidder på den anden graf, er der et søgefelt. Der kan søges på både </w:t>
      </w:r>
      <w:r>
        <w:rPr>
          <w:b/>
          <w:bCs/>
          <w:i w:val="false"/>
          <w:iCs w:val="false"/>
          <w:sz w:val="22"/>
          <w:szCs w:val="22"/>
        </w:rPr>
        <w:t xml:space="preserve">varenummer og kundenavn</w:t>
      </w:r>
      <w:r>
        <w:rPr>
          <w:b w:val="false"/>
          <w:bCs w:val="false"/>
          <w:i w:val="false"/>
          <w:iCs w:val="false"/>
          <w:sz w:val="22"/>
          <w:szCs w:val="22"/>
        </w:rPr>
        <w:t xml:space="preserve">, og de to kan blandes:</w:t>
      </w:r>
    </w:p>
    <w:p>
      <w:pPr>
        <w:shd w:fill="F2F2F2" w:val="clear"/>
        <w:spacing w:after="160" w:before="100"/>
        <w:ind w:left="288"/>
      </w:pPr>
      <w:r>
        <w:rPr>
          <w:rFonts w:ascii="Consolas" w:cs="Consolas" w:eastAsia="Consolas" w:hAnsi="Consolas"/>
          <w:sz w:val="19"/>
          <w:szCs w:val="19"/>
        </w:rPr>
        <w:t xml:space="preserve">701234                 én vare</w:t>
      </w:r>
      <w:r>
        <w:br/>
      </w:r>
      <w:r>
        <w:rPr>
          <w:rFonts w:ascii="Consolas" w:cs="Consolas" w:eastAsia="Consolas" w:hAnsi="Consolas"/>
          <w:sz w:val="19"/>
          <w:szCs w:val="19"/>
        </w:rPr>
        <w:t xml:space="preserve">DANFOSS                alle Danfoss' varer</w:t>
      </w:r>
      <w:r>
        <w:br/>
      </w:r>
      <w:r>
        <w:rPr>
          <w:rFonts w:ascii="Consolas" w:cs="Consolas" w:eastAsia="Consolas" w:hAnsi="Consolas"/>
          <w:sz w:val="19"/>
          <w:szCs w:val="19"/>
        </w:rPr>
        <w:t xml:space="preserve">DANFOSS, GRUNDFOS      begge kunder</w:t>
      </w:r>
      <w:r>
        <w:br/>
      </w:r>
      <w:r>
        <w:rPr>
          <w:rFonts w:ascii="Consolas" w:cs="Consolas" w:eastAsia="Consolas" w:hAnsi="Consolas"/>
          <w:sz w:val="19"/>
          <w:szCs w:val="19"/>
        </w:rPr>
        <w:t xml:space="preserve">DANFOSS, 701234        alle Danfoss' varer PLUS vare 701234</w:t>
      </w:r>
    </w:p>
    <w:p>
      <w:pPr>
        <w:pStyle w:val="ListParagraph"/>
        <w:numPr>
          <w:ilvl w:val="0"/>
          <w:numId w:val="1"/>
        </w:numPr>
        <w:spacing w:after="60"/>
      </w:pPr>
      <w:r>
        <w:rPr>
          <w:b/>
          <w:bCs/>
          <w:sz w:val="22"/>
          <w:szCs w:val="22"/>
        </w:rPr>
        <w:t xml:space="preserve">Dele tæller med:</w:t>
      </w:r>
      <w:r>
        <w:rPr>
          <w:b w:val="false"/>
          <w:bCs w:val="false"/>
          <w:sz w:val="22"/>
          <w:szCs w:val="22"/>
        </w:rPr>
        <w:t xml:space="preserve"> skriver du 7010, fremhæves alle varer hvis nummer indeholder 7010, og novo finder NOVO NORDISK. Store og små bogstaver er lige gyldige.</w:t>
      </w:r>
    </w:p>
    <w:p>
      <w:pPr>
        <w:pStyle w:val="ListParagraph"/>
        <w:numPr>
          <w:ilvl w:val="0"/>
          <w:numId w:val="1"/>
        </w:numPr>
        <w:spacing w:after="60"/>
      </w:pPr>
      <w:r>
        <w:rPr>
          <w:b/>
          <w:bCs/>
          <w:sz w:val="22"/>
          <w:szCs w:val="22"/>
        </w:rPr>
        <w:t xml:space="preserve">Flere søgeord adskilles med komma</w:t>
      </w:r>
      <w:r>
        <w:rPr>
          <w:b w:val="false"/>
          <w:bCs w:val="false"/>
          <w:sz w:val="22"/>
          <w:szCs w:val="22"/>
        </w:rPr>
        <w:t xml:space="preserve"> — ikke med mellemrum. En kundegruppe hedder tit noget med et mellemrum i, og blev navnet delt op i ord, ville GN STORE NORD også trække NOVO NORDISK med ind på ordet nord.</w:t>
      </w:r>
    </w:p>
    <w:p>
      <w:pPr>
        <w:spacing w:after="140"/>
      </w:pPr>
      <w:r>
        <w:rPr>
          <w:b w:val="false"/>
          <w:bCs w:val="false"/>
          <w:i w:val="false"/>
          <w:iCs w:val="false"/>
          <w:sz w:val="22"/>
          <w:szCs w:val="22"/>
        </w:rPr>
        <w:t xml:space="preserve">De fundne punkter fremhæves, mens resten tones ned — de forsvinder ikke, så du kan se hvor de ligger i forhold til alle de andre. </w:t>
      </w:r>
      <w:r>
        <w:rPr>
          <w:b/>
          <w:bCs/>
          <w:i w:val="false"/>
          <w:iCs w:val="false"/>
          <w:sz w:val="22"/>
          <w:szCs w:val="22"/>
        </w:rPr>
        <w:t xml:space="preserve">Ryd</w:t>
      </w:r>
      <w:r>
        <w:rPr>
          <w:b w:val="false"/>
          <w:bCs w:val="false"/>
          <w:i w:val="false"/>
          <w:iCs w:val="false"/>
          <w:sz w:val="22"/>
          <w:szCs w:val="22"/>
        </w:rPr>
        <w:t xml:space="preserve"> fjerner markeringen igen. Under feltet står hvor mange varer der blev fundet, eller at ingen varer matcher.</w:t>
      </w:r>
    </w:p>
    <w:p>
      <w:pPr>
        <w:pStyle w:val="Heading2"/>
        <w:spacing w:after="100" w:before="260"/>
      </w:pPr>
      <w:r>
        <w:rPr>
          <w:b/>
          <w:bCs/>
          <w:color w:val="2A5A8A"/>
          <w:sz w:val="24"/>
          <w:szCs w:val="24"/>
        </w:rPr>
        <w:t xml:space="preserve">Hvad hover-boksen viser</w:t>
      </w:r>
    </w:p>
    <w:p>
      <w:pPr>
        <w:spacing w:after="140"/>
      </w:pPr>
      <w:r>
        <w:rPr>
          <w:b w:val="false"/>
          <w:bCs w:val="false"/>
          <w:i w:val="false"/>
          <w:iCs w:val="false"/>
          <w:sz w:val="22"/>
          <w:szCs w:val="22"/>
        </w:rPr>
        <w:t xml:space="preserve">Kører du musen hen over et punkt, kommer der en boks med kundegruppe, kategori, KAM, GM%, turnover og </w:t>
      </w:r>
      <w:r>
        <w:rPr>
          <w:b/>
          <w:bCs/>
          <w:i w:val="false"/>
          <w:iCs w:val="false"/>
          <w:sz w:val="22"/>
          <w:szCs w:val="22"/>
        </w:rPr>
        <w:t xml:space="preserve">seneste solgt</w:t>
      </w:r>
      <w:r>
        <w:rPr>
          <w:b w:val="false"/>
          <w:bCs w:val="false"/>
          <w:i w:val="false"/>
          <w:iCs w:val="false"/>
          <w:sz w:val="22"/>
          <w:szCs w:val="22"/>
        </w:rPr>
        <w:t xml:space="preserve"> — den måned varen sidst blev solgt til netop den kunde, skrevet som ÅÅÅÅ-MM. Står der en tankestreg, mangler datoen i data.</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Graferne virker uden internet.  </w:t>
      </w:r>
      <w:r>
        <w:rPr>
          <w:sz w:val="21"/>
          <w:szCs w:val="21"/>
        </w:rPr>
        <w:t xml:space="preserve">Hele tegnebiblioteket ligger inde i HTML-filen. Derfor fylder hver fil omkring 4 MB, men den kan til gengæld åbnes hvor som helst — også sendt videre til en kollega som en enkelt vedhæftet fil.</w:t>
      </w:r>
    </w:p>
    <w:p>
      <w:pPr>
        <w:pStyle w:val="Heading1"/>
        <w:spacing w:after="160" w:before="360"/>
      </w:pPr>
      <w:r>
        <w:rPr>
          <w:b/>
          <w:bCs/>
          <w:color w:val="1A4A7A"/>
          <w:sz w:val="32"/>
          <w:szCs w:val="32"/>
        </w:rPr>
        <w:t xml:space="preserve">7  Knapperne under graferne</w:t>
      </w:r>
    </w:p>
    <w:p>
      <w:pPr>
        <w:spacing w:after="140"/>
      </w:pPr>
      <w:r>
        <w:rPr>
          <w:b w:val="false"/>
          <w:bCs w:val="false"/>
          <w:i w:val="false"/>
          <w:iCs w:val="false"/>
          <w:sz w:val="22"/>
          <w:szCs w:val="22"/>
        </w:rPr>
        <w:t xml:space="preserve">Under hver graf er der rækker af knapper. De virker som </w:t>
      </w:r>
      <w:r>
        <w:rPr>
          <w:b/>
          <w:bCs/>
          <w:i w:val="false"/>
          <w:iCs w:val="false"/>
          <w:sz w:val="22"/>
          <w:szCs w:val="22"/>
        </w:rPr>
        <w:t xml:space="preserve">filtre der begrænser hinanden</w:t>
      </w:r>
      <w:r>
        <w:rPr>
          <w:b w:val="false"/>
          <w:bCs w:val="false"/>
          <w:i w:val="false"/>
          <w:iCs w:val="false"/>
          <w:sz w:val="22"/>
          <w:szCs w:val="22"/>
        </w:rPr>
        <w:t xml:space="preserve"> — ikke som uafhængige kontakter.</w:t>
      </w:r>
    </w:p>
    <w:tbl>
      <w:tblPr>
        <w:tblW w:type="pct" w:w="5000"/>
        <w:tblBorders>
          <w:top w:val="single" w:color="C8D4E0" w:sz="1"/>
          <w:left w:val="single" w:color="C8D4E0" w:sz="1"/>
          <w:bottom w:val="single" w:color="C8D4E0" w:sz="1"/>
          <w:right w:val="single" w:color="C8D4E0" w:sz="1"/>
          <w:insideH w:val="single" w:color="C8D4E0" w:sz="1"/>
          <w:insideV w:val="single" w:color="C8D4E0" w:sz="1"/>
        </w:tblBorders>
      </w:tblPr>
      <w:tblGrid>
        <w:gridCol w:w="2347"/>
        <w:gridCol w:w="2347"/>
        <w:gridCol w:w="4332"/>
      </w:tblGrid>
      <w:tr>
        <w:trPr>
          <w:tblHeader/>
        </w:trPr>
        <w:tc>
          <w:tcPr>
            <w:tcW w:type="pct" w:w="1300"/>
            <w:shd w:fill="1A4A7A" w:val="clear"/>
            <w:tcMar>
              <w:top w:type="dxa" w:w="90"/>
              <w:left w:type="dxa" w:w="130"/>
              <w:bottom w:type="dxa" w:w="90"/>
              <w:right w:type="dxa" w:w="130"/>
            </w:tcMar>
          </w:tcPr>
          <w:p>
            <w:pPr>
              <w:spacing w:after="0"/>
            </w:pPr>
            <w:r>
              <w:rPr>
                <w:b/>
                <w:bCs/>
                <w:color w:val="FFFFFF"/>
                <w:sz w:val="21"/>
                <w:szCs w:val="21"/>
              </w:rPr>
              <w:t xml:space="preserve">Række</w:t>
            </w:r>
          </w:p>
        </w:tc>
        <w:tc>
          <w:tcPr>
            <w:tcW w:type="pct" w:w="1300"/>
            <w:shd w:fill="1A4A7A" w:val="clear"/>
            <w:tcMar>
              <w:top w:type="dxa" w:w="90"/>
              <w:left w:type="dxa" w:w="130"/>
              <w:bottom w:type="dxa" w:w="90"/>
              <w:right w:type="dxa" w:w="130"/>
            </w:tcMar>
          </w:tcPr>
          <w:p>
            <w:pPr>
              <w:spacing w:after="0"/>
            </w:pPr>
            <w:r>
              <w:rPr>
                <w:b/>
                <w:bCs/>
                <w:color w:val="FFFFFF"/>
                <w:sz w:val="21"/>
                <w:szCs w:val="21"/>
              </w:rPr>
              <w:t xml:space="preserve">Findes på</w:t>
            </w:r>
          </w:p>
        </w:tc>
        <w:tc>
          <w:tcPr>
            <w:tcW w:type="pct" w:w="2400"/>
            <w:shd w:fill="1A4A7A" w:val="clear"/>
            <w:tcMar>
              <w:top w:type="dxa" w:w="90"/>
              <w:left w:type="dxa" w:w="130"/>
              <w:bottom w:type="dxa" w:w="90"/>
              <w:right w:type="dxa" w:w="130"/>
            </w:tcMar>
          </w:tcPr>
          <w:p>
            <w:pPr>
              <w:spacing w:after="0"/>
            </w:pPr>
            <w:r>
              <w:rPr>
                <w:b/>
                <w:bCs/>
                <w:color w:val="FFFFFF"/>
                <w:sz w:val="21"/>
                <w:szCs w:val="21"/>
              </w:rPr>
              <w:t xml:space="preserve">Gør</w:t>
            </w:r>
          </w:p>
        </w:tc>
      </w:tr>
      <w:tr>
        <w:tc>
          <w:tcPr>
            <w:tcW w:type="pct" w:w="1300"/>
            <w:tcMar>
              <w:top w:type="dxa" w:w="90"/>
              <w:left w:type="dxa" w:w="130"/>
              <w:bottom w:type="dxa" w:w="90"/>
              <w:right w:type="dxa" w:w="130"/>
            </w:tcMar>
          </w:tcPr>
          <w:p>
            <w:pPr>
              <w:spacing w:after="0"/>
            </w:pPr>
            <w:r>
              <w:rPr>
                <w:b w:val="false"/>
                <w:bCs w:val="false"/>
                <w:sz w:val="21"/>
                <w:szCs w:val="21"/>
              </w:rPr>
              <w:t xml:space="preserve">Vis/skjul kundetype</w:t>
            </w:r>
          </w:p>
        </w:tc>
        <w:tc>
          <w:tcPr>
            <w:tcW w:type="pct" w:w="1300"/>
            <w:tcMar>
              <w:top w:type="dxa" w:w="90"/>
              <w:left w:type="dxa" w:w="130"/>
              <w:bottom w:type="dxa" w:w="90"/>
              <w:right w:type="dxa" w:w="130"/>
            </w:tcMar>
          </w:tcPr>
          <w:p>
            <w:pPr>
              <w:spacing w:after="0"/>
            </w:pPr>
            <w:r>
              <w:rPr>
                <w:b w:val="false"/>
                <w:bCs w:val="false"/>
                <w:sz w:val="21"/>
                <w:szCs w:val="21"/>
              </w:rPr>
              <w:t xml:space="preserve">kundegruppe-grafen</w:t>
            </w:r>
          </w:p>
        </w:tc>
        <w:tc>
          <w:tcPr>
            <w:tcW w:type="pct" w:w="2400"/>
            <w:tcMar>
              <w:top w:type="dxa" w:w="90"/>
              <w:left w:type="dxa" w:w="130"/>
              <w:bottom w:type="dxa" w:w="90"/>
              <w:right w:type="dxa" w:w="130"/>
            </w:tcMar>
          </w:tcPr>
          <w:p>
            <w:pPr>
              <w:spacing w:after="0"/>
            </w:pPr>
            <w:r>
              <w:rPr>
                <w:b w:val="false"/>
                <w:bCs w:val="false"/>
                <w:sz w:val="21"/>
                <w:szCs w:val="21"/>
              </w:rPr>
              <w:t xml:space="preserve">slår Eksisterende, Ny, Genopstået eller Tidligere fra</w:t>
            </w:r>
          </w:p>
        </w:tc>
      </w:tr>
      <w:tr>
        <w:tc>
          <w:tcPr>
            <w:tcW w:type="pct" w:w="1300"/>
            <w:shd w:fill="F5F8FB" w:val="clear"/>
            <w:tcMar>
              <w:top w:type="dxa" w:w="90"/>
              <w:left w:type="dxa" w:w="130"/>
              <w:bottom w:type="dxa" w:w="90"/>
              <w:right w:type="dxa" w:w="130"/>
            </w:tcMar>
          </w:tcPr>
          <w:p>
            <w:pPr>
              <w:spacing w:after="0"/>
            </w:pPr>
            <w:r>
              <w:rPr>
                <w:b w:val="false"/>
                <w:bCs w:val="false"/>
                <w:sz w:val="21"/>
                <w:szCs w:val="21"/>
              </w:rPr>
              <w:t xml:space="preserve">Vis/skjul kategori</w:t>
            </w:r>
          </w:p>
        </w:tc>
        <w:tc>
          <w:tcPr>
            <w:tcW w:type="pct" w:w="1300"/>
            <w:shd w:fill="F5F8FB" w:val="clear"/>
            <w:tcMar>
              <w:top w:type="dxa" w:w="90"/>
              <w:left w:type="dxa" w:w="130"/>
              <w:bottom w:type="dxa" w:w="90"/>
              <w:right w:type="dxa" w:w="130"/>
            </w:tcMar>
          </w:tcPr>
          <w:p>
            <w:pPr>
              <w:spacing w:after="0"/>
            </w:pPr>
            <w:r>
              <w:rPr>
                <w:b w:val="false"/>
                <w:bCs w:val="false"/>
                <w:sz w:val="21"/>
                <w:szCs w:val="21"/>
              </w:rPr>
              <w:t xml:space="preserve">begge</w:t>
            </w:r>
          </w:p>
        </w:tc>
        <w:tc>
          <w:tcPr>
            <w:tcW w:type="pct" w:w="2400"/>
            <w:shd w:fill="F5F8FB" w:val="clear"/>
            <w:tcMar>
              <w:top w:type="dxa" w:w="90"/>
              <w:left w:type="dxa" w:w="130"/>
              <w:bottom w:type="dxa" w:w="90"/>
              <w:right w:type="dxa" w:w="130"/>
            </w:tcMar>
          </w:tcPr>
          <w:p>
            <w:pPr>
              <w:spacing w:after="0"/>
            </w:pPr>
            <w:r>
              <w:rPr>
                <w:b w:val="false"/>
                <w:bCs w:val="false"/>
                <w:sz w:val="21"/>
                <w:szCs w:val="21"/>
              </w:rPr>
              <w:t xml:space="preserve">slår en hel kategori-blok fra</w:t>
            </w:r>
          </w:p>
        </w:tc>
      </w:tr>
      <w:tr>
        <w:tc>
          <w:tcPr>
            <w:tcW w:type="pct" w:w="1300"/>
            <w:tcMar>
              <w:top w:type="dxa" w:w="90"/>
              <w:left w:type="dxa" w:w="130"/>
              <w:bottom w:type="dxa" w:w="90"/>
              <w:right w:type="dxa" w:w="130"/>
            </w:tcMar>
          </w:tcPr>
          <w:p>
            <w:pPr>
              <w:spacing w:after="0"/>
            </w:pPr>
            <w:r>
              <w:rPr>
                <w:b w:val="false"/>
                <w:bCs w:val="false"/>
                <w:sz w:val="21"/>
                <w:szCs w:val="21"/>
              </w:rPr>
              <w:t xml:space="preserve">Vis/skjul KAM</w:t>
            </w:r>
          </w:p>
        </w:tc>
        <w:tc>
          <w:tcPr>
            <w:tcW w:type="pct" w:w="1300"/>
            <w:tcMar>
              <w:top w:type="dxa" w:w="90"/>
              <w:left w:type="dxa" w:w="130"/>
              <w:bottom w:type="dxa" w:w="90"/>
              <w:right w:type="dxa" w:w="130"/>
            </w:tcMar>
          </w:tcPr>
          <w:p>
            <w:pPr>
              <w:spacing w:after="0"/>
            </w:pPr>
            <w:r>
              <w:rPr>
                <w:b w:val="false"/>
                <w:bCs w:val="false"/>
                <w:sz w:val="21"/>
                <w:szCs w:val="21"/>
              </w:rPr>
              <w:t xml:space="preserve">begge</w:t>
            </w:r>
          </w:p>
        </w:tc>
        <w:tc>
          <w:tcPr>
            <w:tcW w:type="pct" w:w="2400"/>
            <w:tcMar>
              <w:top w:type="dxa" w:w="90"/>
              <w:left w:type="dxa" w:w="130"/>
              <w:bottom w:type="dxa" w:w="90"/>
              <w:right w:type="dxa" w:w="130"/>
            </w:tcMar>
          </w:tcPr>
          <w:p>
            <w:pPr>
              <w:spacing w:after="0"/>
            </w:pPr>
            <w:r>
              <w:rPr>
                <w:b w:val="false"/>
                <w:bCs w:val="false"/>
                <w:sz w:val="21"/>
                <w:szCs w:val="21"/>
              </w:rPr>
              <w:t xml:space="preserve">slår én key account managers kunder fra</w:t>
            </w:r>
          </w:p>
        </w:tc>
      </w:tr>
      <w:tr>
        <w:tc>
          <w:tcPr>
            <w:tcW w:type="pct" w:w="1300"/>
            <w:shd w:fill="F5F8FB" w:val="clear"/>
            <w:tcMar>
              <w:top w:type="dxa" w:w="90"/>
              <w:left w:type="dxa" w:w="130"/>
              <w:bottom w:type="dxa" w:w="90"/>
              <w:right w:type="dxa" w:w="130"/>
            </w:tcMar>
          </w:tcPr>
          <w:p>
            <w:pPr>
              <w:spacing w:after="0"/>
            </w:pPr>
            <w:r>
              <w:rPr>
                <w:b w:val="false"/>
                <w:bCs w:val="false"/>
                <w:sz w:val="21"/>
                <w:szCs w:val="21"/>
              </w:rPr>
              <w:t xml:space="preserve">Fremhæv branche</w:t>
            </w:r>
          </w:p>
        </w:tc>
        <w:tc>
          <w:tcPr>
            <w:tcW w:type="pct" w:w="1300"/>
            <w:shd w:fill="F5F8FB" w:val="clear"/>
            <w:tcMar>
              <w:top w:type="dxa" w:w="90"/>
              <w:left w:type="dxa" w:w="130"/>
              <w:bottom w:type="dxa" w:w="90"/>
              <w:right w:type="dxa" w:w="130"/>
            </w:tcMar>
          </w:tcPr>
          <w:p>
            <w:pPr>
              <w:spacing w:after="0"/>
            </w:pPr>
            <w:r>
              <w:rPr>
                <w:b w:val="false"/>
                <w:bCs w:val="false"/>
                <w:sz w:val="21"/>
                <w:szCs w:val="21"/>
              </w:rPr>
              <w:t xml:space="preserve">kundegruppe-grafen</w:t>
            </w:r>
          </w:p>
        </w:tc>
        <w:tc>
          <w:tcPr>
            <w:tcW w:type="pct" w:w="2400"/>
            <w:shd w:fill="F5F8FB" w:val="clear"/>
            <w:tcMar>
              <w:top w:type="dxa" w:w="90"/>
              <w:left w:type="dxa" w:w="130"/>
              <w:bottom w:type="dxa" w:w="90"/>
              <w:right w:type="dxa" w:w="130"/>
            </w:tcMar>
          </w:tcPr>
          <w:p>
            <w:pPr>
              <w:spacing w:after="0"/>
            </w:pPr>
            <w:r>
              <w:rPr>
                <w:b w:val="false"/>
                <w:bCs w:val="false"/>
                <w:sz w:val="21"/>
                <w:szCs w:val="21"/>
              </w:rPr>
              <w:t xml:space="preserve">tykkere kant på én branche — skjuler intet</w:t>
            </w:r>
          </w:p>
        </w:tc>
      </w:tr>
      <w:tr>
        <w:tc>
          <w:tcPr>
            <w:tcW w:type="pct" w:w="1300"/>
            <w:tcMar>
              <w:top w:type="dxa" w:w="90"/>
              <w:left w:type="dxa" w:w="130"/>
              <w:bottom w:type="dxa" w:w="90"/>
              <w:right w:type="dxa" w:w="130"/>
            </w:tcMar>
          </w:tcPr>
          <w:p>
            <w:pPr>
              <w:spacing w:after="0"/>
            </w:pPr>
            <w:r>
              <w:rPr>
                <w:b w:val="false"/>
                <w:bCs w:val="false"/>
                <w:sz w:val="21"/>
                <w:szCs w:val="21"/>
              </w:rPr>
              <w:t xml:space="preserve">Volumenkrav</w:t>
            </w:r>
          </w:p>
        </w:tc>
        <w:tc>
          <w:tcPr>
            <w:tcW w:type="pct" w:w="1300"/>
            <w:tcMar>
              <w:top w:type="dxa" w:w="90"/>
              <w:left w:type="dxa" w:w="130"/>
              <w:bottom w:type="dxa" w:w="90"/>
              <w:right w:type="dxa" w:w="130"/>
            </w:tcMar>
          </w:tcPr>
          <w:p>
            <w:pPr>
              <w:spacing w:after="0"/>
            </w:pPr>
            <w:r>
              <w:rPr>
                <w:b w:val="false"/>
                <w:bCs w:val="false"/>
                <w:sz w:val="21"/>
                <w:szCs w:val="21"/>
              </w:rPr>
              <w:t xml:space="preserve">item-grafen</w:t>
            </w:r>
          </w:p>
        </w:tc>
        <w:tc>
          <w:tcPr>
            <w:tcW w:type="pct" w:w="2400"/>
            <w:tcMar>
              <w:top w:type="dxa" w:w="90"/>
              <w:left w:type="dxa" w:w="130"/>
              <w:bottom w:type="dxa" w:w="90"/>
              <w:right w:type="dxa" w:w="130"/>
            </w:tcMar>
          </w:tcPr>
          <w:p>
            <w:pPr>
              <w:spacing w:after="0"/>
            </w:pPr>
            <w:r>
              <w:rPr>
                <w:b w:val="false"/>
                <w:bCs w:val="false"/>
                <w:sz w:val="21"/>
                <w:szCs w:val="21"/>
              </w:rPr>
              <w:t xml:space="preserve">skifter hvilket niveaus zoner der tegnes</w:t>
            </w:r>
          </w:p>
        </w:tc>
      </w:tr>
      <w:tr>
        <w:tc>
          <w:tcPr>
            <w:tcW w:type="pct" w:w="1300"/>
            <w:shd w:fill="F5F8FB" w:val="clear"/>
            <w:tcMar>
              <w:top w:type="dxa" w:w="90"/>
              <w:left w:type="dxa" w:w="130"/>
              <w:bottom w:type="dxa" w:w="90"/>
              <w:right w:type="dxa" w:w="130"/>
            </w:tcMar>
          </w:tcPr>
          <w:p>
            <w:pPr>
              <w:spacing w:after="0"/>
            </w:pPr>
            <w:r>
              <w:rPr>
                <w:b w:val="false"/>
                <w:bCs w:val="false"/>
                <w:sz w:val="21"/>
                <w:szCs w:val="21"/>
              </w:rPr>
              <w:t xml:space="preserve">↺ Nulstil alle filtre</w:t>
            </w:r>
          </w:p>
        </w:tc>
        <w:tc>
          <w:tcPr>
            <w:tcW w:type="pct" w:w="1300"/>
            <w:shd w:fill="F5F8FB" w:val="clear"/>
            <w:tcMar>
              <w:top w:type="dxa" w:w="90"/>
              <w:left w:type="dxa" w:w="130"/>
              <w:bottom w:type="dxa" w:w="90"/>
              <w:right w:type="dxa" w:w="130"/>
            </w:tcMar>
          </w:tcPr>
          <w:p>
            <w:pPr>
              <w:spacing w:after="0"/>
            </w:pPr>
            <w:r>
              <w:rPr>
                <w:b w:val="false"/>
                <w:bCs w:val="false"/>
                <w:sz w:val="21"/>
                <w:szCs w:val="21"/>
              </w:rPr>
              <w:t xml:space="preserve">begge, nederst</w:t>
            </w:r>
          </w:p>
        </w:tc>
        <w:tc>
          <w:tcPr>
            <w:tcW w:type="pct" w:w="2400"/>
            <w:shd w:fill="F5F8FB" w:val="clear"/>
            <w:tcMar>
              <w:top w:type="dxa" w:w="90"/>
              <w:left w:type="dxa" w:w="130"/>
              <w:bottom w:type="dxa" w:w="90"/>
              <w:right w:type="dxa" w:w="130"/>
            </w:tcMar>
          </w:tcPr>
          <w:p>
            <w:pPr>
              <w:spacing w:after="0"/>
            </w:pPr>
            <w:r>
              <w:rPr>
                <w:b w:val="false"/>
                <w:bCs w:val="false"/>
                <w:sz w:val="21"/>
                <w:szCs w:val="21"/>
              </w:rPr>
              <w:t xml:space="preserve">slår alle filterrækker fra på én gang</w:t>
            </w:r>
          </w:p>
        </w:tc>
      </w:tr>
    </w:tbl>
    <w:p>
      <w:pPr>
        <w:spacing w:after="200"/>
      </w:pPr>
      <w:r>
        <w:t xml:space="preserve"/>
      </w:r>
    </w:p>
    <w:p>
      <w:pPr>
        <w:pStyle w:val="Heading2"/>
        <w:spacing w:after="100" w:before="260"/>
      </w:pPr>
      <w:r>
        <w:rPr>
          <w:b/>
          <w:bCs/>
          <w:color w:val="2A5A8A"/>
          <w:sz w:val="24"/>
          <w:szCs w:val="24"/>
        </w:rPr>
        <w:t xml:space="preserve">Farverne på knapperne</w:t>
      </w:r>
    </w:p>
    <w:p>
      <w:pPr>
        <w:spacing w:after="140"/>
      </w:pPr>
      <w:r>
        <w:rPr>
          <w:b w:val="false"/>
          <w:bCs w:val="false"/>
          <w:i w:val="false"/>
          <w:iCs w:val="false"/>
          <w:sz w:val="22"/>
          <w:szCs w:val="22"/>
        </w:rPr>
        <w:t xml:space="preserve">En knap er </w:t>
      </w:r>
      <w:r>
        <w:rPr>
          <w:b/>
          <w:bCs/>
          <w:i w:val="false"/>
          <w:iCs w:val="false"/>
          <w:sz w:val="22"/>
          <w:szCs w:val="22"/>
        </w:rPr>
        <w:t xml:space="preserve">grøn når den er tændt</w:t>
      </w:r>
      <w:r>
        <w:rPr>
          <w:b w:val="false"/>
          <w:bCs w:val="false"/>
          <w:i w:val="false"/>
          <w:iCs w:val="false"/>
          <w:sz w:val="22"/>
          <w:szCs w:val="22"/>
        </w:rPr>
        <w:t xml:space="preserve"> og </w:t>
      </w:r>
      <w:r>
        <w:rPr>
          <w:b/>
          <w:bCs/>
          <w:i w:val="false"/>
          <w:iCs w:val="false"/>
          <w:sz w:val="22"/>
          <w:szCs w:val="22"/>
        </w:rPr>
        <w:t xml:space="preserve">rød når den er slukket</w:t>
      </w:r>
      <w:r>
        <w:rPr>
          <w:b w:val="false"/>
          <w:bCs w:val="false"/>
          <w:i w:val="false"/>
          <w:iCs w:val="false"/>
          <w:sz w:val="22"/>
          <w:szCs w:val="22"/>
        </w:rPr>
        <w:t xml:space="preserve">, så det kan ses på afstand hvad der er slået fra.</w:t>
      </w:r>
    </w:p>
    <w:p>
      <w:pPr>
        <w:pStyle w:val="ListParagraph"/>
        <w:numPr>
          <w:ilvl w:val="0"/>
          <w:numId w:val="1"/>
        </w:numPr>
        <w:spacing w:after="60"/>
      </w:pPr>
      <w:r>
        <w:rPr>
          <w:b/>
          <w:bCs/>
          <w:sz w:val="22"/>
          <w:szCs w:val="22"/>
        </w:rPr>
        <w:t xml:space="preserve">Filterknapper</w:t>
      </w:r>
      <w:r>
        <w:rPr>
          <w:b w:val="false"/>
          <w:bCs w:val="false"/>
          <w:sz w:val="22"/>
          <w:szCs w:val="22"/>
        </w:rPr>
        <w:t xml:space="preserve"> (kundetype, kategori, KAM): grøn betyder at værdien vises, rød at den er skjult. Alle starter grønne.</w:t>
      </w:r>
    </w:p>
    <w:p>
      <w:pPr>
        <w:pStyle w:val="ListParagraph"/>
        <w:numPr>
          <w:ilvl w:val="0"/>
          <w:numId w:val="1"/>
        </w:numPr>
        <w:spacing w:after="60"/>
      </w:pPr>
      <w:r>
        <w:rPr>
          <w:b/>
          <w:bCs/>
          <w:sz w:val="22"/>
          <w:szCs w:val="22"/>
        </w:rPr>
        <w:t xml:space="preserve">Volumenkrav</w:t>
      </w:r>
      <w:r>
        <w:rPr>
          <w:b w:val="false"/>
          <w:bCs w:val="false"/>
          <w:sz w:val="22"/>
          <w:szCs w:val="22"/>
        </w:rPr>
        <w:t xml:space="preserve"> har omvendt fortegn, fordi det er et enten-eller-valg: den valgte er grøn, de fravalgte røde.</w:t>
      </w:r>
    </w:p>
    <w:p>
      <w:pPr>
        <w:pStyle w:val="ListParagraph"/>
        <w:numPr>
          <w:ilvl w:val="0"/>
          <w:numId w:val="1"/>
        </w:numPr>
        <w:spacing w:after="60"/>
      </w:pPr>
      <w:r>
        <w:rPr>
          <w:b/>
          <w:bCs/>
          <w:sz w:val="22"/>
          <w:szCs w:val="22"/>
        </w:rPr>
        <w:t xml:space="preserve">Fremhæv branche</w:t>
      </w:r>
      <w:r>
        <w:rPr>
          <w:b w:val="false"/>
          <w:bCs w:val="false"/>
          <w:sz w:val="22"/>
          <w:szCs w:val="22"/>
        </w:rPr>
        <w:t xml:space="preserve"> bliver hverken grøn eller rød. De knapper skjuler ingenting — de gør kun én branche tykkere i kanten — og rød ville påstå at noget var slået fra.</w:t>
      </w:r>
    </w:p>
    <w:p>
      <w:pPr>
        <w:spacing w:after="140"/>
      </w:pPr>
      <w:r>
        <w:rPr>
          <w:b w:val="false"/>
          <w:bCs w:val="false"/>
          <w:i/>
          <w:iCs/>
          <w:color w:val="555555"/>
          <w:sz w:val="22"/>
          <w:szCs w:val="22"/>
        </w:rPr>
        <w:t xml:space="preserve">De to nuancer er valgt så de også er forskellige i lyshed: den røde er mærkbart mørkere end den grønne. Er man rødgrønt farveblind, kan tilstanden derfor stadig aflæses.</w:t>
      </w:r>
    </w:p>
    <w:p>
      <w:pPr>
        <w:pStyle w:val="Heading2"/>
        <w:spacing w:after="100" w:before="260"/>
      </w:pPr>
      <w:r>
        <w:rPr>
          <w:b/>
          <w:bCs/>
          <w:color w:val="2A5A8A"/>
          <w:sz w:val="24"/>
          <w:szCs w:val="24"/>
        </w:rPr>
        <w:t xml:space="preserve">Hvad “filtre der begrænser hinanden” betyder</w:t>
      </w:r>
    </w:p>
    <w:p>
      <w:pPr>
        <w:spacing w:after="140"/>
      </w:pPr>
      <w:r>
        <w:rPr>
          <w:b w:val="false"/>
          <w:bCs w:val="false"/>
          <w:i w:val="false"/>
          <w:iCs w:val="false"/>
          <w:sz w:val="22"/>
          <w:szCs w:val="22"/>
        </w:rPr>
        <w:t xml:space="preserve">Forestil dig at du har slået alt fra på nær én KAM. Hvis du så slukker og tænder for kundetypen “Tidligere”, kommer </w:t>
      </w:r>
      <w:r>
        <w:rPr>
          <w:b/>
          <w:bCs/>
          <w:i w:val="false"/>
          <w:iCs w:val="false"/>
          <w:sz w:val="22"/>
          <w:szCs w:val="22"/>
        </w:rPr>
        <w:t xml:space="preserve">kun den ene KAM's</w:t>
      </w:r>
      <w:r>
        <w:rPr>
          <w:b w:val="false"/>
          <w:bCs w:val="false"/>
          <w:i w:val="false"/>
          <w:iCs w:val="false"/>
          <w:sz w:val="22"/>
          <w:szCs w:val="22"/>
        </w:rPr>
        <w:t xml:space="preserve"> tidligere kunder tilbage — ikke alle tidligere kunder. Et punkt vises kun hvis det slipper gennem hver eneste række.</w:t>
      </w:r>
    </w:p>
    <w:p>
      <w:pPr>
        <w:spacing w:after="140"/>
      </w:pPr>
      <w:r>
        <w:rPr>
          <w:b w:val="false"/>
          <w:bCs w:val="false"/>
          <w:i w:val="false"/>
          <w:iCs w:val="false"/>
          <w:sz w:val="22"/>
          <w:szCs w:val="22"/>
        </w:rPr>
        <w:t xml:space="preserve">Det er værd at vænne sig til, for det er den opførsel man forventer af et filter, og den gør det muligt at skrue ned ad flere veje på samme tid uden at miste overblikket.</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Gået i ged?  </w:t>
      </w:r>
      <w:r>
        <w:rPr>
          <w:sz w:val="21"/>
          <w:szCs w:val="21"/>
        </w:rPr>
        <w:t xml:space="preserve">Knappen **↺ Nulstil alle filtre** nederst under graferne rydder alle filterrækker på én gang. Valget af volumenkrav på item-grafen røres ikke — det er et enten-eller-valg, ikke et filter.</w:t>
      </w:r>
    </w:p>
    <w:p>
      <w:pPr>
        <w:spacing w:after="140"/>
      </w:pPr>
      <w:r>
        <w:rPr>
          <w:b w:val="false"/>
          <w:bCs w:val="false"/>
          <w:i/>
          <w:iCs/>
          <w:color w:val="555555"/>
          <w:sz w:val="22"/>
          <w:szCs w:val="22"/>
        </w:rPr>
        <w:t xml:space="preserve">Et klik i legenden er et engangsvalg: næste gang du rører en filterknap, regnes synligheden forfra ud fra knapperne alene.</w:t>
      </w:r>
    </w:p>
    <w:p>
      <w:r>
        <w:br w:type="page"/>
      </w:r>
    </w:p>
    <w:p>
      <w:pPr>
        <w:pStyle w:val="Heading1"/>
        <w:spacing w:after="160" w:before="360"/>
      </w:pPr>
      <w:r>
        <w:rPr>
          <w:b/>
          <w:bCs/>
          <w:color w:val="1A4A7A"/>
          <w:sz w:val="32"/>
          <w:szCs w:val="32"/>
        </w:rPr>
        <w:t xml:space="preserve">8  Udsnit, filnavne og hvor resultatet havner</w:t>
      </w:r>
    </w:p>
    <w:p>
      <w:pPr>
        <w:spacing w:after="140"/>
      </w:pPr>
      <w:r>
        <w:rPr>
          <w:b w:val="false"/>
          <w:bCs w:val="false"/>
          <w:i w:val="false"/>
          <w:iCs w:val="false"/>
          <w:sz w:val="22"/>
          <w:szCs w:val="22"/>
        </w:rPr>
        <w:t xml:space="preserve">Analysen kører ét </w:t>
      </w:r>
      <w:r>
        <w:rPr>
          <w:b/>
          <w:bCs/>
          <w:i w:val="false"/>
          <w:iCs w:val="false"/>
          <w:sz w:val="22"/>
          <w:szCs w:val="22"/>
        </w:rPr>
        <w:t xml:space="preserve">udsnit</w:t>
      </w:r>
      <w:r>
        <w:rPr>
          <w:b w:val="false"/>
          <w:bCs w:val="false"/>
          <w:i w:val="false"/>
          <w:iCs w:val="false"/>
          <w:sz w:val="22"/>
          <w:szCs w:val="22"/>
        </w:rPr>
        <w:t xml:space="preserve"> ad gangen. Udsnittene udspændes af tre valg i indstillingerne:</w:t>
      </w:r>
    </w:p>
    <w:p>
      <w:pPr>
        <w:pStyle w:val="ListParagraph"/>
        <w:numPr>
          <w:ilvl w:val="0"/>
          <w:numId w:val="1"/>
        </w:numPr>
        <w:spacing w:after="60"/>
      </w:pPr>
      <w:r>
        <w:rPr>
          <w:b/>
          <w:bCs/>
          <w:sz w:val="22"/>
          <w:szCs w:val="22"/>
        </w:rPr>
        <w:t xml:space="preserve">Emne-type</w:t>
      </w:r>
      <w:r>
        <w:rPr>
          <w:b w:val="false"/>
          <w:bCs w:val="false"/>
          <w:sz w:val="22"/>
          <w:szCs w:val="22"/>
        </w:rPr>
        <w:t xml:space="preserve"> — samlet, kun sinter, kun støb.</w:t>
      </w:r>
    </w:p>
    <w:p>
      <w:pPr>
        <w:pStyle w:val="ListParagraph"/>
        <w:numPr>
          <w:ilvl w:val="0"/>
          <w:numId w:val="1"/>
        </w:numPr>
        <w:spacing w:after="60"/>
      </w:pPr>
      <w:r>
        <w:rPr>
          <w:b/>
          <w:bCs/>
          <w:sz w:val="22"/>
          <w:szCs w:val="22"/>
        </w:rPr>
        <w:t xml:space="preserve">Geografi</w:t>
      </w:r>
      <w:r>
        <w:rPr>
          <w:b w:val="false"/>
          <w:bCs w:val="false"/>
          <w:sz w:val="22"/>
          <w:szCs w:val="22"/>
        </w:rPr>
        <w:t xml:space="preserve"> — samlet, kun DK, kun CN.</w:t>
      </w:r>
    </w:p>
    <w:p>
      <w:pPr>
        <w:pStyle w:val="ListParagraph"/>
        <w:numPr>
          <w:ilvl w:val="0"/>
          <w:numId w:val="1"/>
        </w:numPr>
        <w:spacing w:after="60"/>
      </w:pPr>
      <w:r>
        <w:rPr>
          <w:b/>
          <w:bCs/>
          <w:sz w:val="22"/>
          <w:szCs w:val="22"/>
        </w:rPr>
        <w:t xml:space="preserve">Kundeudvalg</w:t>
      </w:r>
      <w:r>
        <w:rPr>
          <w:b w:val="false"/>
          <w:bCs w:val="false"/>
          <w:sz w:val="22"/>
          <w:szCs w:val="22"/>
        </w:rPr>
        <w:t xml:space="preserve"> — alle kunder, eller kun de eksisterende.</w:t>
      </w:r>
    </w:p>
    <w:p>
      <w:pPr>
        <w:spacing w:after="200"/>
      </w:pPr>
      <w:r>
        <w:rPr>
          <w:b w:val="false"/>
          <w:bCs w:val="false"/>
          <w:i w:val="false"/>
          <w:iCs w:val="false"/>
          <w:sz w:val="22"/>
          <w:szCs w:val="22"/>
        </w:rPr>
        <w:t xml:space="preserve">Hvert udsnit får sit eget sæt filer og sine egne faner i Excel, og tallene er regnet forfra på netop de rækker udsnittet dækker. Grafen og fanerne for et udsnit viser derfor altid det samme.</w:t>
      </w:r>
    </w:p>
    <w:p>
      <w:pPr>
        <w:shd w:fill="F2F2F2" w:val="clear"/>
        <w:spacing w:after="160" w:before="100"/>
        <w:ind w:left="288"/>
      </w:pPr>
      <w:r>
        <w:rPr>
          <w:rFonts w:ascii="Consolas" w:cs="Consolas" w:eastAsia="Consolas" w:hAnsi="Consolas"/>
          <w:sz w:val="19"/>
          <w:szCs w:val="19"/>
        </w:rPr>
        <w:t xml:space="preserve">&lt;basis&gt;_kundegruppe[_sinter|_stoebe][_cn|_dk][_eks].html</w:t>
      </w:r>
      <w:r>
        <w:br/>
      </w:r>
      <w:r>
        <w:rPr>
          <w:rFonts w:ascii="Consolas" w:cs="Consolas" w:eastAsia="Consolas" w:hAnsi="Consolas"/>
          <w:sz w:val="19"/>
          <w:szCs w:val="19"/>
        </w:rPr>
        <w:t xml:space="preserve">&lt;basis&gt;_item[_sinter|_stoebe][_cn|_dk][_eks].html</w:t>
      </w:r>
      <w:r>
        <w:br/>
      </w:r>
      <w:r>
        <w:rPr>
          <w:rFonts w:ascii="Consolas" w:cs="Consolas" w:eastAsia="Consolas" w:hAnsi="Consolas"/>
          <w:sz w:val="19"/>
          <w:szCs w:val="19"/>
        </w:rPr>
        <w:t xml:space="preserve">&lt;basis&gt;.xlsx</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Bemærk:  </w:t>
      </w:r>
      <w:r>
        <w:rPr>
          <w:sz w:val="21"/>
          <w:szCs w:val="21"/>
        </w:rPr>
        <w:t xml:space="preserve">slår du både sinter/støb og DK/CN til, bliver det hurtigt mange filer. Det er med vilje — hver fil er ét spørgsmål med ét svar. Slå de opdelinger fra du ikke skal bruge.</w:t>
      </w:r>
    </w:p>
    <w:p>
      <w:pPr>
        <w:pStyle w:val="Heading2"/>
        <w:spacing w:after="100" w:before="260"/>
      </w:pPr>
      <w:r>
        <w:rPr>
          <w:b/>
          <w:bCs/>
          <w:color w:val="2A5A8A"/>
          <w:sz w:val="24"/>
          <w:szCs w:val="24"/>
        </w:rPr>
        <w:t xml:space="preserve">Mappen</w:t>
      </w:r>
    </w:p>
    <w:p>
      <w:pPr>
        <w:spacing w:after="140"/>
      </w:pPr>
      <w:r>
        <w:rPr>
          <w:b w:val="false"/>
          <w:bCs w:val="false"/>
          <w:i w:val="false"/>
          <w:iCs w:val="false"/>
          <w:sz w:val="22"/>
          <w:szCs w:val="22"/>
        </w:rPr>
        <w:t xml:space="preserve">Står output-mappen tom i indstillingerne — og det gør den som udgangspunkt — oprettes der en dateret mappe ved siden af programmet hver gang analysen køres. Så bliver gamle kørsler stående, og det kan altid ses hvornår et tal blev lavet.</w:t>
      </w:r>
    </w:p>
    <w:p>
      <w:pPr>
        <w:spacing w:after="140"/>
      </w:pPr>
      <w:r>
        <w:rPr>
          <w:b w:val="false"/>
          <w:bCs w:val="false"/>
          <w:i w:val="false"/>
          <w:iCs w:val="false"/>
          <w:sz w:val="22"/>
          <w:szCs w:val="22"/>
        </w:rPr>
        <w:t xml:space="preserve">Går noget galt undervejs, stopper programmet og viser fejlen i en boks. Der skrives ingen logfil.</w:t>
      </w:r>
    </w:p>
    <w:p>
      <w:pPr>
        <w:pStyle w:val="Heading2"/>
        <w:spacing w:after="100" w:before="260"/>
      </w:pPr>
      <w:r>
        <w:rPr>
          <w:b/>
          <w:bCs/>
          <w:color w:val="2A5A8A"/>
          <w:sz w:val="24"/>
          <w:szCs w:val="24"/>
        </w:rPr>
        <w:t xml:space="preserve">Valuta</w:t>
      </w:r>
    </w:p>
    <w:p>
      <w:pPr>
        <w:spacing w:after="140"/>
      </w:pPr>
      <w:r>
        <w:rPr>
          <w:b w:val="false"/>
          <w:bCs w:val="false"/>
          <w:i w:val="false"/>
          <w:iCs w:val="false"/>
          <w:sz w:val="22"/>
          <w:szCs w:val="22"/>
        </w:rPr>
        <w:t xml:space="preserve">Graferne kan vises i </w:t>
      </w:r>
      <w:r>
        <w:rPr>
          <w:b/>
          <w:bCs/>
          <w:i w:val="false"/>
          <w:iCs w:val="false"/>
          <w:sz w:val="22"/>
          <w:szCs w:val="22"/>
        </w:rPr>
        <w:t xml:space="preserve">DKK, CNY eller EUR</w:t>
      </w:r>
      <w:r>
        <w:rPr>
          <w:b w:val="false"/>
          <w:bCs w:val="false"/>
          <w:i w:val="false"/>
          <w:iCs w:val="false"/>
          <w:sz w:val="22"/>
          <w:szCs w:val="22"/>
        </w:rPr>
        <w:t xml:space="preserve">, og de to udgaver vælges hver for sig under Indstillinger → Valuta: den danske graf kan stå i DKK mens den engelske står i EUR.</w:t>
      </w:r>
    </w:p>
    <w:p>
      <w:pPr>
        <w:spacing w:after="140"/>
      </w:pPr>
      <w:r>
        <w:rPr>
          <w:b w:val="false"/>
          <w:bCs w:val="false"/>
          <w:i w:val="false"/>
          <w:iCs w:val="false"/>
          <w:sz w:val="22"/>
          <w:szCs w:val="22"/>
        </w:rPr>
        <w:t xml:space="preserve">Data er altid i DKK. Beløbene regnes om når figuren tegnes, ikke før, så beregningen selv rører dem ikke. En kundes </w:t>
      </w:r>
      <w:r>
        <w:rPr>
          <w:b/>
          <w:bCs/>
          <w:i w:val="false"/>
          <w:iCs w:val="false"/>
          <w:sz w:val="22"/>
          <w:szCs w:val="22"/>
        </w:rPr>
        <w:t xml:space="preserve">kategori kan derfor ikke flytte sig</w:t>
      </w:r>
      <w:r>
        <w:rPr>
          <w:b w:val="false"/>
          <w:bCs w:val="false"/>
          <w:i w:val="false"/>
          <w:iCs w:val="false"/>
          <w:sz w:val="22"/>
          <w:szCs w:val="22"/>
        </w:rPr>
        <w:t xml:space="preserve"> fordi man skifter valuta — den afgøres af DKK-beløbet mod DKK-grænserne. Både punkter og zoner ganges med den samme kurs, så billedet er identisk; kun tallene på aksen er forskellige.</w:t>
      </w:r>
    </w:p>
    <w:p>
      <w:pPr>
        <w:spacing w:after="140"/>
      </w:pPr>
      <w:r>
        <w:rPr>
          <w:b w:val="false"/>
          <w:bCs w:val="false"/>
          <w:i w:val="false"/>
          <w:iCs w:val="false"/>
          <w:sz w:val="22"/>
          <w:szCs w:val="22"/>
        </w:rPr>
        <w:t xml:space="preserve">Kurserne skrives som “hvor meget svarer 100 DKK til”, fordi det er sådan de står når man slår dem op. De kan opdateres løbende og gemmes sammen med dine øvrige standardværdier.</w:t>
      </w:r>
    </w:p>
    <w:p>
      <w:pPr>
        <w:shd w:fill="F2F2F2" w:val="clear"/>
        <w:spacing w:after="160" w:before="100"/>
        <w:ind w:left="288"/>
      </w:pPr>
      <w:r>
        <w:rPr>
          <w:rFonts w:ascii="Consolas" w:cs="Consolas" w:eastAsia="Consolas" w:hAnsi="Consolas"/>
          <w:sz w:val="19"/>
          <w:szCs w:val="19"/>
        </w:rPr>
        <w:t xml:space="preserve">100 DKK = 102     CNY      (standard)</w:t>
      </w:r>
      <w:r>
        <w:br/>
      </w:r>
      <w:r>
        <w:rPr>
          <w:rFonts w:ascii="Consolas" w:cs="Consolas" w:eastAsia="Consolas" w:hAnsi="Consolas"/>
          <w:sz w:val="19"/>
          <w:szCs w:val="19"/>
        </w:rPr>
        <w:t xml:space="preserve">100 DKK =  13,38  EUR      (standard)</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Excel-rapporten er altid i DKK.  </w:t>
      </w:r>
      <w:r>
        <w:rPr>
          <w:sz w:val="21"/>
          <w:szCs w:val="21"/>
        </w:rPr>
        <w:t xml:space="preserve">Den bliver ikke regnet om. Rapporten er stedet man går hen for at holde et tal op mod kildeudtrækket, og kildeudtrækket er i DKK. Hvilken valuta hver graf blev tegnet i, og hvilke kurser der blev brugt, står på fanen Parametre.</w:t>
      </w:r>
    </w:p>
    <w:p>
      <w:pPr>
        <w:pStyle w:val="Heading2"/>
        <w:spacing w:after="100" w:before="260"/>
      </w:pPr>
      <w:r>
        <w:rPr>
          <w:b/>
          <w:bCs/>
          <w:color w:val="2A5A8A"/>
          <w:sz w:val="24"/>
          <w:szCs w:val="24"/>
        </w:rPr>
        <w:t xml:space="preserve">En engelsk udgave af graferne</w:t>
      </w:r>
    </w:p>
    <w:p>
      <w:pPr>
        <w:spacing w:after="140"/>
      </w:pPr>
      <w:r>
        <w:rPr>
          <w:b w:val="false"/>
          <w:bCs w:val="false"/>
          <w:i w:val="false"/>
          <w:iCs w:val="false"/>
          <w:sz w:val="22"/>
          <w:szCs w:val="22"/>
        </w:rPr>
        <w:t xml:space="preserve">Skal graferne sendes til en kunde eller en kollega der ikke læser dansk, sættes </w:t>
      </w:r>
      <w:r>
        <w:rPr>
          <w:b/>
          <w:bCs/>
          <w:i w:val="false"/>
          <w:iCs w:val="false"/>
          <w:sz w:val="22"/>
          <w:szCs w:val="22"/>
        </w:rPr>
        <w:t xml:space="preserve">Lav også graferne på engelsk</w:t>
      </w:r>
      <w:r>
        <w:rPr>
          <w:b w:val="false"/>
          <w:bCs w:val="false"/>
          <w:i w:val="false"/>
          <w:iCs w:val="false"/>
          <w:sz w:val="22"/>
          <w:szCs w:val="22"/>
        </w:rPr>
        <w:t xml:space="preserve"> til i indstillingerne. Så skrives de samme grafer en gang til i undermappen English/ — samme filnavne. Også filnavnene er oversat, så mappen kan sendes videre som den er.</w:t>
      </w:r>
    </w:p>
    <w:p>
      <w:pPr>
        <w:shd w:fill="F2F2F2" w:val="clear"/>
        <w:spacing w:after="160" w:before="100"/>
        <w:ind w:left="288"/>
      </w:pPr>
      <w:r>
        <w:rPr>
          <w:rFonts w:ascii="Consolas" w:cs="Consolas" w:eastAsia="Consolas" w:hAnsi="Consolas"/>
          <w:sz w:val="19"/>
          <w:szCs w:val="19"/>
        </w:rPr>
        <w:t xml:space="preserve">Kundesegmentering 2026-09-23/</w:t>
      </w:r>
      <w:r>
        <w:br/>
      </w:r>
      <w:r>
        <w:rPr>
          <w:rFonts w:ascii="Consolas" w:cs="Consolas" w:eastAsia="Consolas" w:hAnsi="Consolas"/>
          <w:sz w:val="19"/>
          <w:szCs w:val="19"/>
        </w:rPr>
        <w:t xml:space="preserve">  customer_price_matrix_kundegruppe_sinter.html</w:t>
      </w:r>
      <w:r>
        <w:br/>
      </w:r>
      <w:r>
        <w:rPr>
          <w:rFonts w:ascii="Consolas" w:cs="Consolas" w:eastAsia="Consolas" w:hAnsi="Consolas"/>
          <w:sz w:val="19"/>
          <w:szCs w:val="19"/>
        </w:rPr>
        <w:t xml:space="preserve">  customer_price_matrix_item_sinter.html</w:t>
      </w:r>
      <w:r>
        <w:br/>
      </w:r>
      <w:r>
        <w:rPr>
          <w:rFonts w:ascii="Consolas" w:cs="Consolas" w:eastAsia="Consolas" w:hAnsi="Consolas"/>
          <w:sz w:val="19"/>
          <w:szCs w:val="19"/>
        </w:rPr>
        <w:t xml:space="preserve">  customer_price_matrix.xlsx</w:t>
      </w:r>
      <w:r>
        <w:br/>
      </w:r>
      <w:r>
        <w:rPr>
          <w:rFonts w:ascii="Consolas" w:cs="Consolas" w:eastAsia="Consolas" w:hAnsi="Consolas"/>
          <w:sz w:val="19"/>
          <w:szCs w:val="19"/>
        </w:rPr>
        <w:t xml:space="preserve">  English/</w:t>
      </w:r>
      <w:r>
        <w:br/>
      </w:r>
      <w:r>
        <w:rPr>
          <w:rFonts w:ascii="Consolas" w:cs="Consolas" w:eastAsia="Consolas" w:hAnsi="Consolas"/>
          <w:sz w:val="19"/>
          <w:szCs w:val="19"/>
        </w:rPr>
        <w:t xml:space="preserve">    customer_price_matrix_customer_group_sinter.html</w:t>
      </w:r>
      <w:r>
        <w:br/>
      </w:r>
      <w:r>
        <w:rPr>
          <w:rFonts w:ascii="Consolas" w:cs="Consolas" w:eastAsia="Consolas" w:hAnsi="Consolas"/>
          <w:sz w:val="19"/>
          <w:szCs w:val="19"/>
        </w:rPr>
        <w:t xml:space="preserve">    customer_price_matrix_item_sinter.html</w:t>
      </w:r>
    </w:p>
    <w:p>
      <w:pPr>
        <w:spacing w:after="140"/>
      </w:pPr>
      <w:r>
        <w:rPr>
          <w:b w:val="false"/>
          <w:bCs w:val="false"/>
          <w:i w:val="false"/>
          <w:iCs w:val="false"/>
          <w:sz w:val="22"/>
          <w:szCs w:val="22"/>
        </w:rPr>
        <w:t xml:space="preserve">Alt i grafen er oversat: titel, akser, knapper, farvekode, søgefelt og hover-boksen. Kundetyperne hedder Existing, New, Revived og Former, og volumenkravene hedder Level A til D. Kundenavne, KAM-initialer og brancher står som de står i data — de er navne, ikke ord der kan oversættes.</w:t>
      </w:r>
    </w:p>
    <w:p>
      <w:pPr>
        <w:spacing w:after="140"/>
      </w:pPr>
      <w:r>
        <w:rPr>
          <w:b w:val="false"/>
          <w:bCs w:val="false"/>
          <w:i w:val="false"/>
          <w:iCs w:val="false"/>
          <w:sz w:val="22"/>
          <w:szCs w:val="22"/>
        </w:rPr>
        <w:t xml:space="preserve">Det samme gælder basisnavnet på filerne. Står feltet </w:t>
      </w:r>
      <w:r>
        <w:rPr>
          <w:b/>
          <w:bCs/>
          <w:i w:val="false"/>
          <w:iCs w:val="false"/>
          <w:sz w:val="22"/>
          <w:szCs w:val="22"/>
        </w:rPr>
        <w:t xml:space="preserve">Basisnavn (filer)</w:t>
      </w:r>
      <w:r>
        <w:rPr>
          <w:b w:val="false"/>
          <w:bCs w:val="false"/>
          <w:i w:val="false"/>
          <w:iCs w:val="false"/>
          <w:sz w:val="22"/>
          <w:szCs w:val="22"/>
        </w:rPr>
        <w:t xml:space="preserve"> på fabriksnavnet customer_price_matrix, er det vores eget ord. Produktnavnet oversættes ikke — det er rollen og suffikserne der skifter, fx kundegruppe til customer_group. Har du selv skrevet et navn, er det dit, og det står uændret på begge sprog.</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Tallene kan ikke komme til at afvige.  </w:t>
      </w:r>
      <w:r>
        <w:rPr>
          <w:sz w:val="21"/>
          <w:szCs w:val="21"/>
        </w:rPr>
        <w:t xml:space="preserve">Analysen køres ikke om for den engelske udgave. De to sæt grafer tegnes af ét og samme resultat, så et punkt ligger nøjagtig samme sted i begge. Det er kun teksten der er forskellig. Excel-rapporten og programmets egen brugerflade er på dansk.</w:t>
      </w:r>
    </w:p>
    <w:p>
      <w:pPr>
        <w:pStyle w:val="Heading1"/>
        <w:spacing w:after="160" w:before="360"/>
      </w:pPr>
      <w:r>
        <w:rPr>
          <w:b/>
          <w:bCs/>
          <w:color w:val="1A4A7A"/>
          <w:sz w:val="32"/>
          <w:szCs w:val="32"/>
        </w:rPr>
        <w:t xml:space="preserve">9  Excel-rapporten</w:t>
      </w:r>
    </w:p>
    <w:p>
      <w:pPr>
        <w:spacing w:after="140"/>
      </w:pPr>
      <w:r>
        <w:rPr>
          <w:b w:val="false"/>
          <w:bCs w:val="false"/>
          <w:i w:val="false"/>
          <w:iCs w:val="false"/>
          <w:sz w:val="22"/>
          <w:szCs w:val="22"/>
        </w:rPr>
        <w:t xml:space="preserve">Excel-filen indeholder tallene bag hvert punkt i graferne — det er her man går hen når et punkt ser mærkeligt ud. Der er tre faner pr. udsnit og en fane med de indstillinger kørslen brugte. Fanerne ser ens ud hver gang; der er ikke noget at vælge.</w:t>
      </w:r>
    </w:p>
    <w:tbl>
      <w:tblPr>
        <w:tblW w:type="pct" w:w="5000"/>
        <w:tblBorders>
          <w:top w:val="single" w:color="C8D4E0" w:sz="1"/>
          <w:left w:val="single" w:color="C8D4E0" w:sz="1"/>
          <w:bottom w:val="single" w:color="C8D4E0" w:sz="1"/>
          <w:right w:val="single" w:color="C8D4E0" w:sz="1"/>
          <w:insideH w:val="single" w:color="C8D4E0" w:sz="1"/>
          <w:insideV w:val="single" w:color="C8D4E0" w:sz="1"/>
        </w:tblBorders>
      </w:tblPr>
      <w:tblGrid>
        <w:gridCol w:w="2166"/>
        <w:gridCol w:w="6860"/>
      </w:tblGrid>
      <w:tr>
        <w:trPr>
          <w:tblHeader/>
        </w:trPr>
        <w:tc>
          <w:tcPr>
            <w:tcW w:type="pct" w:w="1200"/>
            <w:shd w:fill="1A4A7A" w:val="clear"/>
            <w:tcMar>
              <w:top w:type="dxa" w:w="90"/>
              <w:left w:type="dxa" w:w="130"/>
              <w:bottom w:type="dxa" w:w="90"/>
              <w:right w:type="dxa" w:w="130"/>
            </w:tcMar>
          </w:tcPr>
          <w:p>
            <w:pPr>
              <w:spacing w:after="0"/>
            </w:pPr>
            <w:r>
              <w:rPr>
                <w:b/>
                <w:bCs/>
                <w:color w:val="FFFFFF"/>
                <w:sz w:val="21"/>
                <w:szCs w:val="21"/>
              </w:rPr>
              <w:t xml:space="preserve">Fane</w:t>
            </w:r>
          </w:p>
        </w:tc>
        <w:tc>
          <w:tcPr>
            <w:tcW w:type="pct" w:w="3800"/>
            <w:shd w:fill="1A4A7A" w:val="clear"/>
            <w:tcMar>
              <w:top w:type="dxa" w:w="90"/>
              <w:left w:type="dxa" w:w="130"/>
              <w:bottom w:type="dxa" w:w="90"/>
              <w:right w:type="dxa" w:w="130"/>
            </w:tcMar>
          </w:tcPr>
          <w:p>
            <w:pPr>
              <w:spacing w:after="0"/>
            </w:pPr>
            <w:r>
              <w:rPr>
                <w:b/>
                <w:bCs/>
                <w:color w:val="FFFFFF"/>
                <w:sz w:val="21"/>
                <w:szCs w:val="21"/>
              </w:rPr>
              <w:t xml:space="preserve">Indeholder</w:t>
            </w:r>
          </w:p>
        </w:tc>
      </w:tr>
      <w:tr>
        <w:tc>
          <w:tcPr>
            <w:tcW w:type="pct" w:w="1200"/>
            <w:tcMar>
              <w:top w:type="dxa" w:w="90"/>
              <w:left w:type="dxa" w:w="130"/>
              <w:bottom w:type="dxa" w:w="90"/>
              <w:right w:type="dxa" w:w="130"/>
            </w:tcMar>
          </w:tcPr>
          <w:p>
            <w:pPr>
              <w:spacing w:after="0"/>
            </w:pPr>
            <w:r>
              <w:rPr>
                <w:b w:val="false"/>
                <w:bCs w:val="false"/>
                <w:sz w:val="21"/>
                <w:szCs w:val="21"/>
              </w:rPr>
              <w:t xml:space="preserve">Oversigt</w:t>
            </w:r>
          </w:p>
        </w:tc>
        <w:tc>
          <w:tcPr>
            <w:tcW w:type="pct" w:w="3800"/>
            <w:tcMar>
              <w:top w:type="dxa" w:w="90"/>
              <w:left w:type="dxa" w:w="130"/>
              <w:bottom w:type="dxa" w:w="90"/>
              <w:right w:type="dxa" w:w="130"/>
            </w:tcMar>
          </w:tcPr>
          <w:p>
            <w:pPr>
              <w:spacing w:after="0"/>
            </w:pPr>
            <w:r>
              <w:rPr>
                <w:b w:val="false"/>
                <w:bCs w:val="false"/>
                <w:sz w:val="21"/>
                <w:szCs w:val="21"/>
              </w:rPr>
              <w:t xml:space="preserve">én række pr. kundegruppe: type, KAM, kategori, omsætning og GM%</w:t>
            </w:r>
          </w:p>
        </w:tc>
      </w:tr>
      <w:tr>
        <w:tc>
          <w:tcPr>
            <w:tcW w:type="pct" w:w="1200"/>
            <w:shd w:fill="F5F8FB" w:val="clear"/>
            <w:tcMar>
              <w:top w:type="dxa" w:w="90"/>
              <w:left w:type="dxa" w:w="130"/>
              <w:bottom w:type="dxa" w:w="90"/>
              <w:right w:type="dxa" w:w="130"/>
            </w:tcMar>
          </w:tcPr>
          <w:p>
            <w:pPr>
              <w:spacing w:after="0"/>
            </w:pPr>
            <w:r>
              <w:rPr>
                <w:b w:val="false"/>
                <w:bCs w:val="false"/>
                <w:sz w:val="21"/>
                <w:szCs w:val="21"/>
              </w:rPr>
              <w:t xml:space="preserve">Items_alle</w:t>
            </w:r>
          </w:p>
        </w:tc>
        <w:tc>
          <w:tcPr>
            <w:tcW w:type="pct" w:w="3800"/>
            <w:shd w:fill="F5F8FB" w:val="clear"/>
            <w:tcMar>
              <w:top w:type="dxa" w:w="90"/>
              <w:left w:type="dxa" w:w="130"/>
              <w:bottom w:type="dxa" w:w="90"/>
              <w:right w:type="dxa" w:w="130"/>
            </w:tcMar>
          </w:tcPr>
          <w:p>
            <w:pPr>
              <w:spacing w:after="0"/>
            </w:pPr>
            <w:r>
              <w:rPr>
                <w:b w:val="false"/>
                <w:bCs w:val="false"/>
                <w:sz w:val="21"/>
                <w:szCs w:val="21"/>
              </w:rPr>
              <w:t xml:space="preserve">alle varer, inden GM%-grænserne</w:t>
            </w:r>
          </w:p>
        </w:tc>
      </w:tr>
      <w:tr>
        <w:tc>
          <w:tcPr>
            <w:tcW w:type="pct" w:w="1200"/>
            <w:tcMar>
              <w:top w:type="dxa" w:w="90"/>
              <w:left w:type="dxa" w:w="130"/>
              <w:bottom w:type="dxa" w:w="90"/>
              <w:right w:type="dxa" w:w="130"/>
            </w:tcMar>
          </w:tcPr>
          <w:p>
            <w:pPr>
              <w:spacing w:after="0"/>
            </w:pPr>
            <w:r>
              <w:rPr>
                <w:b w:val="false"/>
                <w:bCs w:val="false"/>
                <w:sz w:val="21"/>
                <w:szCs w:val="21"/>
              </w:rPr>
              <w:t xml:space="preserve">Items_filt</w:t>
            </w:r>
          </w:p>
        </w:tc>
        <w:tc>
          <w:tcPr>
            <w:tcW w:type="pct" w:w="3800"/>
            <w:tcMar>
              <w:top w:type="dxa" w:w="90"/>
              <w:left w:type="dxa" w:w="130"/>
              <w:bottom w:type="dxa" w:w="90"/>
              <w:right w:type="dxa" w:w="130"/>
            </w:tcMar>
          </w:tcPr>
          <w:p>
            <w:pPr>
              <w:spacing w:after="0"/>
            </w:pPr>
            <w:r>
              <w:rPr>
                <w:b w:val="false"/>
                <w:bCs w:val="false"/>
                <w:sz w:val="21"/>
                <w:szCs w:val="21"/>
              </w:rPr>
              <w:t xml:space="preserve">de varer der faktisk blev tegnet</w:t>
            </w:r>
          </w:p>
        </w:tc>
      </w:tr>
      <w:tr>
        <w:tc>
          <w:tcPr>
            <w:tcW w:type="pct" w:w="1200"/>
            <w:shd w:fill="F5F8FB" w:val="clear"/>
            <w:tcMar>
              <w:top w:type="dxa" w:w="90"/>
              <w:left w:type="dxa" w:w="130"/>
              <w:bottom w:type="dxa" w:w="90"/>
              <w:right w:type="dxa" w:w="130"/>
            </w:tcMar>
          </w:tcPr>
          <w:p>
            <w:pPr>
              <w:spacing w:after="0"/>
            </w:pPr>
            <w:r>
              <w:rPr>
                <w:b w:val="false"/>
                <w:bCs w:val="false"/>
                <w:sz w:val="21"/>
                <w:szCs w:val="21"/>
              </w:rPr>
              <w:t xml:space="preserve">Parametre</w:t>
            </w:r>
          </w:p>
        </w:tc>
        <w:tc>
          <w:tcPr>
            <w:tcW w:type="pct" w:w="3800"/>
            <w:shd w:fill="F5F8FB" w:val="clear"/>
            <w:tcMar>
              <w:top w:type="dxa" w:w="90"/>
              <w:left w:type="dxa" w:w="130"/>
              <w:bottom w:type="dxa" w:w="90"/>
              <w:right w:type="dxa" w:w="130"/>
            </w:tcMar>
          </w:tcPr>
          <w:p>
            <w:pPr>
              <w:spacing w:after="0"/>
            </w:pPr>
            <w:r>
              <w:rPr>
                <w:b w:val="false"/>
                <w:bCs w:val="false"/>
                <w:sz w:val="21"/>
                <w:szCs w:val="21"/>
              </w:rPr>
              <w:t xml:space="preserve">de indstillinger kørslen brugte</w:t>
            </w:r>
          </w:p>
        </w:tc>
      </w:tr>
    </w:tbl>
    <w:p>
      <w:pPr>
        <w:spacing w:after="200"/>
      </w:pPr>
      <w:r>
        <w:t xml:space="preserve"/>
      </w:r>
    </w:p>
    <w:p>
      <w:pPr>
        <w:spacing w:after="140"/>
      </w:pPr>
      <w:r>
        <w:rPr>
          <w:b w:val="false"/>
          <w:bCs w:val="false"/>
          <w:i w:val="false"/>
          <w:iCs w:val="false"/>
          <w:sz w:val="22"/>
          <w:szCs w:val="22"/>
        </w:rPr>
        <w:t xml:space="preserve">Er der sat en GM%-grænse, kan det ses i rapporten hvilke varer der blev sorteret fra, og hvorfor.</w:t>
      </w:r>
    </w:p>
    <w:p>
      <w:pPr>
        <w:pStyle w:val="Heading1"/>
        <w:spacing w:after="160" w:before="360"/>
      </w:pPr>
      <w:r>
        <w:rPr>
          <w:b/>
          <w:bCs/>
          <w:color w:val="1A4A7A"/>
          <w:sz w:val="32"/>
          <w:szCs w:val="32"/>
        </w:rPr>
        <w:t xml:space="preserve">10  Indstillinger og egne standardværdier</w:t>
      </w:r>
    </w:p>
    <w:p>
      <w:pPr>
        <w:spacing w:after="140"/>
      </w:pPr>
      <w:r>
        <w:rPr>
          <w:b w:val="false"/>
          <w:bCs w:val="false"/>
          <w:i w:val="false"/>
          <w:iCs w:val="false"/>
          <w:sz w:val="22"/>
          <w:szCs w:val="22"/>
        </w:rPr>
        <w:t xml:space="preserve">Knappen </w:t>
      </w:r>
      <w:r>
        <w:rPr>
          <w:b/>
          <w:bCs/>
          <w:i w:val="false"/>
          <w:iCs w:val="false"/>
          <w:sz w:val="22"/>
          <w:szCs w:val="22"/>
        </w:rPr>
        <w:t xml:space="preserve">Indstillinger</w:t>
      </w:r>
      <w:r>
        <w:rPr>
          <w:b w:val="false"/>
          <w:bCs w:val="false"/>
          <w:i w:val="false"/>
          <w:iCs w:val="false"/>
          <w:sz w:val="22"/>
          <w:szCs w:val="22"/>
        </w:rPr>
        <w:t xml:space="preserve"> åbner alt det der ikke skal røres hver gang. Indstillingerne deler felter med forsiden, så en ændring slår igennem med det samme — der er ikke noget at gemme eller bekræfte.</w:t>
      </w:r>
    </w:p>
    <w:tbl>
      <w:tblPr>
        <w:tblW w:type="pct" w:w="5000"/>
        <w:tblBorders>
          <w:top w:val="single" w:color="C8D4E0" w:sz="1"/>
          <w:left w:val="single" w:color="C8D4E0" w:sz="1"/>
          <w:bottom w:val="single" w:color="C8D4E0" w:sz="1"/>
          <w:right w:val="single" w:color="C8D4E0" w:sz="1"/>
          <w:insideH w:val="single" w:color="C8D4E0" w:sz="1"/>
          <w:insideV w:val="single" w:color="C8D4E0" w:sz="1"/>
        </w:tblBorders>
      </w:tblPr>
      <w:tblGrid>
        <w:gridCol w:w="2708"/>
        <w:gridCol w:w="6318"/>
      </w:tblGrid>
      <w:tr>
        <w:trPr>
          <w:tblHeader/>
        </w:trPr>
        <w:tc>
          <w:tcPr>
            <w:tcW w:type="pct" w:w="1500"/>
            <w:shd w:fill="1A4A7A" w:val="clear"/>
            <w:tcMar>
              <w:top w:type="dxa" w:w="90"/>
              <w:left w:type="dxa" w:w="130"/>
              <w:bottom w:type="dxa" w:w="90"/>
              <w:right w:type="dxa" w:w="130"/>
            </w:tcMar>
          </w:tcPr>
          <w:p>
            <w:pPr>
              <w:spacing w:after="0"/>
            </w:pPr>
            <w:r>
              <w:rPr>
                <w:b/>
                <w:bCs/>
                <w:color w:val="FFFFFF"/>
                <w:sz w:val="21"/>
                <w:szCs w:val="21"/>
              </w:rPr>
              <w:t xml:space="preserve">Afsnit</w:t>
            </w:r>
          </w:p>
        </w:tc>
        <w:tc>
          <w:tcPr>
            <w:tcW w:type="pct" w:w="3500"/>
            <w:shd w:fill="1A4A7A" w:val="clear"/>
            <w:tcMar>
              <w:top w:type="dxa" w:w="90"/>
              <w:left w:type="dxa" w:w="130"/>
              <w:bottom w:type="dxa" w:w="90"/>
              <w:right w:type="dxa" w:w="130"/>
            </w:tcMar>
          </w:tcPr>
          <w:p>
            <w:pPr>
              <w:spacing w:after="0"/>
            </w:pPr>
            <w:r>
              <w:rPr>
                <w:b/>
                <w:bCs/>
                <w:color w:val="FFFFFF"/>
                <w:sz w:val="21"/>
                <w:szCs w:val="21"/>
              </w:rPr>
              <w:t xml:space="preserve">Handler om</w:t>
            </w:r>
          </w:p>
        </w:tc>
      </w:tr>
      <w:tr>
        <w:tc>
          <w:tcPr>
            <w:tcW w:type="pct" w:w="1500"/>
            <w:tcMar>
              <w:top w:type="dxa" w:w="90"/>
              <w:left w:type="dxa" w:w="130"/>
              <w:bottom w:type="dxa" w:w="90"/>
              <w:right w:type="dxa" w:w="130"/>
            </w:tcMar>
          </w:tcPr>
          <w:p>
            <w:pPr>
              <w:spacing w:after="0"/>
            </w:pPr>
            <w:r>
              <w:rPr>
                <w:b w:val="false"/>
                <w:bCs w:val="false"/>
                <w:sz w:val="21"/>
                <w:szCs w:val="21"/>
              </w:rPr>
              <w:t xml:space="preserve">Placering af resultatet</w:t>
            </w:r>
          </w:p>
        </w:tc>
        <w:tc>
          <w:tcPr>
            <w:tcW w:type="pct" w:w="3500"/>
            <w:tcMar>
              <w:top w:type="dxa" w:w="90"/>
              <w:left w:type="dxa" w:w="130"/>
              <w:bottom w:type="dxa" w:w="90"/>
              <w:right w:type="dxa" w:w="130"/>
            </w:tcMar>
          </w:tcPr>
          <w:p>
            <w:pPr>
              <w:spacing w:after="0"/>
            </w:pPr>
            <w:r>
              <w:rPr>
                <w:b w:val="false"/>
                <w:bCs w:val="false"/>
                <w:sz w:val="21"/>
                <w:szCs w:val="21"/>
              </w:rPr>
              <w:t xml:space="preserve">output-mappe, basisnavn på filerne og engelsk udgave af graferne</w:t>
            </w:r>
          </w:p>
        </w:tc>
      </w:tr>
      <w:tr>
        <w:tc>
          <w:tcPr>
            <w:tcW w:type="pct" w:w="1500"/>
            <w:shd w:fill="F5F8FB" w:val="clear"/>
            <w:tcMar>
              <w:top w:type="dxa" w:w="90"/>
              <w:left w:type="dxa" w:w="130"/>
              <w:bottom w:type="dxa" w:w="90"/>
              <w:right w:type="dxa" w:w="130"/>
            </w:tcMar>
          </w:tcPr>
          <w:p>
            <w:pPr>
              <w:spacing w:after="0"/>
            </w:pPr>
            <w:r>
              <w:rPr>
                <w:b w:val="false"/>
                <w:bCs w:val="false"/>
                <w:sz w:val="21"/>
                <w:szCs w:val="21"/>
              </w:rPr>
              <w:t xml:space="preserve">Valuta</w:t>
            </w:r>
          </w:p>
        </w:tc>
        <w:tc>
          <w:tcPr>
            <w:tcW w:type="pct" w:w="3500"/>
            <w:shd w:fill="F5F8FB" w:val="clear"/>
            <w:tcMar>
              <w:top w:type="dxa" w:w="90"/>
              <w:left w:type="dxa" w:w="130"/>
              <w:bottom w:type="dxa" w:w="90"/>
              <w:right w:type="dxa" w:w="130"/>
            </w:tcMar>
          </w:tcPr>
          <w:p>
            <w:pPr>
              <w:spacing w:after="0"/>
            </w:pPr>
            <w:r>
              <w:rPr>
                <w:b w:val="false"/>
                <w:bCs w:val="false"/>
                <w:sz w:val="21"/>
                <w:szCs w:val="21"/>
              </w:rPr>
              <w:t xml:space="preserve">valuta for hver udgave af graferne, og kurserne pr. 100 DKK</w:t>
            </w:r>
          </w:p>
        </w:tc>
      </w:tr>
      <w:tr>
        <w:tc>
          <w:tcPr>
            <w:tcW w:type="pct" w:w="1500"/>
            <w:tcMar>
              <w:top w:type="dxa" w:w="90"/>
              <w:left w:type="dxa" w:w="130"/>
              <w:bottom w:type="dxa" w:w="90"/>
              <w:right w:type="dxa" w:w="130"/>
            </w:tcMar>
          </w:tcPr>
          <w:p>
            <w:pPr>
              <w:spacing w:after="0"/>
            </w:pPr>
            <w:r>
              <w:rPr>
                <w:b w:val="false"/>
                <w:bCs w:val="false"/>
                <w:sz w:val="21"/>
                <w:szCs w:val="21"/>
              </w:rPr>
              <w:t xml:space="preserve">Kundetyper</w:t>
            </w:r>
          </w:p>
        </w:tc>
        <w:tc>
          <w:tcPr>
            <w:tcW w:type="pct" w:w="3500"/>
            <w:tcMar>
              <w:top w:type="dxa" w:w="90"/>
              <w:left w:type="dxa" w:w="130"/>
              <w:bottom w:type="dxa" w:w="90"/>
              <w:right w:type="dxa" w:w="130"/>
            </w:tcMar>
          </w:tcPr>
          <w:p>
            <w:pPr>
              <w:spacing w:after="0"/>
            </w:pPr>
            <w:r>
              <w:rPr>
                <w:b w:val="false"/>
                <w:bCs w:val="false"/>
                <w:sz w:val="21"/>
                <w:szCs w:val="21"/>
              </w:rPr>
              <w:t xml:space="preserve">hvor mange måneder bagud en kunde regnes som eksisterende</w:t>
            </w:r>
          </w:p>
        </w:tc>
      </w:tr>
      <w:tr>
        <w:tc>
          <w:tcPr>
            <w:tcW w:type="pct" w:w="1500"/>
            <w:shd w:fill="F5F8FB" w:val="clear"/>
            <w:tcMar>
              <w:top w:type="dxa" w:w="90"/>
              <w:left w:type="dxa" w:w="130"/>
              <w:bottom w:type="dxa" w:w="90"/>
              <w:right w:type="dxa" w:w="130"/>
            </w:tcMar>
          </w:tcPr>
          <w:p>
            <w:pPr>
              <w:spacing w:after="0"/>
            </w:pPr>
            <w:r>
              <w:rPr>
                <w:b w:val="false"/>
                <w:bCs w:val="false"/>
                <w:sz w:val="21"/>
                <w:szCs w:val="21"/>
              </w:rPr>
              <w:t xml:space="preserve">Frasortering</w:t>
            </w:r>
          </w:p>
        </w:tc>
        <w:tc>
          <w:tcPr>
            <w:tcW w:type="pct" w:w="3500"/>
            <w:shd w:fill="F5F8FB" w:val="clear"/>
            <w:tcMar>
              <w:top w:type="dxa" w:w="90"/>
              <w:left w:type="dxa" w:w="130"/>
              <w:bottom w:type="dxa" w:w="90"/>
              <w:right w:type="dxa" w:w="130"/>
            </w:tcMar>
          </w:tcPr>
          <w:p>
            <w:pPr>
              <w:spacing w:after="0"/>
            </w:pPr>
            <w:r>
              <w:rPr>
                <w:b w:val="false"/>
                <w:bCs w:val="false"/>
                <w:sz w:val="21"/>
                <w:szCs w:val="21"/>
              </w:rPr>
              <w:t xml:space="preserve">ekskluderede grupper og typer, nul-rækker, døde items og GM%-grænser</w:t>
            </w:r>
          </w:p>
        </w:tc>
      </w:tr>
      <w:tr>
        <w:tc>
          <w:tcPr>
            <w:tcW w:type="pct" w:w="1500"/>
            <w:tcMar>
              <w:top w:type="dxa" w:w="90"/>
              <w:left w:type="dxa" w:w="130"/>
              <w:bottom w:type="dxa" w:w="90"/>
              <w:right w:type="dxa" w:w="130"/>
            </w:tcMar>
          </w:tcPr>
          <w:p>
            <w:pPr>
              <w:spacing w:after="0"/>
            </w:pPr>
            <w:r>
              <w:rPr>
                <w:b w:val="false"/>
                <w:bCs w:val="false"/>
                <w:sz w:val="21"/>
                <w:szCs w:val="21"/>
              </w:rPr>
              <w:t xml:space="preserve">Opdeling af plots</w:t>
            </w:r>
          </w:p>
        </w:tc>
        <w:tc>
          <w:tcPr>
            <w:tcW w:type="pct" w:w="3500"/>
            <w:tcMar>
              <w:top w:type="dxa" w:w="90"/>
              <w:left w:type="dxa" w:w="130"/>
              <w:bottom w:type="dxa" w:w="90"/>
              <w:right w:type="dxa" w:w="130"/>
            </w:tcMar>
          </w:tcPr>
          <w:p>
            <w:pPr>
              <w:spacing w:after="0"/>
            </w:pPr>
            <w:r>
              <w:rPr>
                <w:b w:val="false"/>
                <w:bCs w:val="false"/>
                <w:sz w:val="21"/>
                <w:szCs w:val="21"/>
              </w:rPr>
              <w:t xml:space="preserve">sinter/støb og DK/CN, og hvilke turnover-typer der hører til hvad</w:t>
            </w:r>
          </w:p>
        </w:tc>
      </w:tr>
      <w:tr>
        <w:tc>
          <w:tcPr>
            <w:tcW w:type="pct" w:w="1500"/>
            <w:shd w:fill="F5F8FB" w:val="clear"/>
            <w:tcMar>
              <w:top w:type="dxa" w:w="90"/>
              <w:left w:type="dxa" w:w="130"/>
              <w:bottom w:type="dxa" w:w="90"/>
              <w:right w:type="dxa" w:w="130"/>
            </w:tcMar>
          </w:tcPr>
          <w:p>
            <w:pPr>
              <w:spacing w:after="0"/>
            </w:pPr>
            <w:r>
              <w:rPr>
                <w:b w:val="false"/>
                <w:bCs w:val="false"/>
                <w:sz w:val="21"/>
                <w:szCs w:val="21"/>
              </w:rPr>
              <w:t xml:space="preserve">Beregning</w:t>
            </w:r>
          </w:p>
        </w:tc>
        <w:tc>
          <w:tcPr>
            <w:tcW w:type="pct" w:w="3500"/>
            <w:shd w:fill="F5F8FB" w:val="clear"/>
            <w:tcMar>
              <w:top w:type="dxa" w:w="90"/>
              <w:left w:type="dxa" w:w="130"/>
              <w:bottom w:type="dxa" w:w="90"/>
              <w:right w:type="dxa" w:w="130"/>
            </w:tcMar>
          </w:tcPr>
          <w:p>
            <w:pPr>
              <w:spacing w:after="0"/>
            </w:pPr>
            <w:r>
              <w:rPr>
                <w:b w:val="false"/>
                <w:bCs w:val="false"/>
                <w:sz w:val="21"/>
                <w:szCs w:val="21"/>
              </w:rPr>
              <w:t xml:space="preserve">turnover-vinduets længde, forankring, dækningsbidrag-kolonne, vægtet GM%</w:t>
            </w:r>
          </w:p>
        </w:tc>
      </w:tr>
      <w:tr>
        <w:tc>
          <w:tcPr>
            <w:tcW w:type="pct" w:w="1500"/>
            <w:tcMar>
              <w:top w:type="dxa" w:w="90"/>
              <w:left w:type="dxa" w:w="130"/>
              <w:bottom w:type="dxa" w:w="90"/>
              <w:right w:type="dxa" w:w="130"/>
            </w:tcMar>
          </w:tcPr>
          <w:p>
            <w:pPr>
              <w:spacing w:after="0"/>
            </w:pPr>
            <w:r>
              <w:rPr>
                <w:b w:val="false"/>
                <w:bCs w:val="false"/>
                <w:sz w:val="21"/>
                <w:szCs w:val="21"/>
              </w:rPr>
              <w:t xml:space="preserve">Grænser og områder</w:t>
            </w:r>
          </w:p>
        </w:tc>
        <w:tc>
          <w:tcPr>
            <w:tcW w:type="pct" w:w="3500"/>
            <w:tcMar>
              <w:top w:type="dxa" w:w="90"/>
              <w:left w:type="dxa" w:w="130"/>
              <w:bottom w:type="dxa" w:w="90"/>
              <w:right w:type="dxa" w:w="130"/>
            </w:tcMar>
          </w:tcPr>
          <w:p>
            <w:pPr>
              <w:spacing w:after="0"/>
            </w:pPr>
            <w:r>
              <w:rPr>
                <w:b w:val="false"/>
                <w:bCs w:val="false"/>
                <w:sz w:val="21"/>
                <w:szCs w:val="21"/>
              </w:rPr>
              <w:t xml:space="preserve">kategori-grænser og volumenområder</w:t>
            </w:r>
          </w:p>
        </w:tc>
      </w:tr>
    </w:tbl>
    <w:p>
      <w:pPr>
        <w:spacing w:after="200"/>
      </w:pPr>
      <w:r>
        <w:t xml:space="preserve"/>
      </w:r>
    </w:p>
    <w:p>
      <w:pPr>
        <w:pStyle w:val="Heading2"/>
        <w:spacing w:after="100" w:before="260"/>
      </w:pPr>
      <w:r>
        <w:rPr>
          <w:b/>
          <w:bCs/>
          <w:color w:val="2A5A8A"/>
          <w:sz w:val="24"/>
          <w:szCs w:val="24"/>
        </w:rPr>
        <w:t xml:space="preserve">Gem dine egne standardværdier</w:t>
      </w:r>
    </w:p>
    <w:p>
      <w:pPr>
        <w:spacing w:after="140"/>
      </w:pPr>
      <w:r>
        <w:rPr>
          <w:b w:val="false"/>
          <w:bCs w:val="false"/>
          <w:i w:val="false"/>
          <w:iCs w:val="false"/>
          <w:sz w:val="22"/>
          <w:szCs w:val="22"/>
        </w:rPr>
        <w:t xml:space="preserve">Nederst i indstillingsvinduet er der to knapper. </w:t>
      </w:r>
      <w:r>
        <w:rPr>
          <w:b/>
          <w:bCs/>
          <w:i w:val="false"/>
          <w:iCs w:val="false"/>
          <w:sz w:val="22"/>
          <w:szCs w:val="22"/>
        </w:rPr>
        <w:t xml:space="preserve">Gem som mine standardværdier</w:t>
      </w:r>
      <w:r>
        <w:rPr>
          <w:b w:val="false"/>
          <w:bCs w:val="false"/>
          <w:i w:val="false"/>
          <w:iCs w:val="false"/>
          <w:sz w:val="22"/>
          <w:szCs w:val="22"/>
        </w:rPr>
        <w:t xml:space="preserve"> skriver de nuværende indstillinger til en lille fil ved siden af programmet. Den læses næste gang programmet åbnes, og følger med hvis mappen kopieres til en kollega.</w:t>
      </w:r>
    </w:p>
    <w:p>
      <w:pPr>
        <w:spacing w:after="140"/>
      </w:pPr>
      <w:r>
        <w:rPr>
          <w:b/>
          <w:bCs/>
          <w:i w:val="false"/>
          <w:iCs w:val="false"/>
          <w:sz w:val="22"/>
          <w:szCs w:val="22"/>
        </w:rPr>
        <w:t xml:space="preserve">Nulstil til fabriksindstillinger</w:t>
      </w:r>
      <w:r>
        <w:rPr>
          <w:b w:val="false"/>
          <w:bCs w:val="false"/>
          <w:i w:val="false"/>
          <w:iCs w:val="false"/>
          <w:sz w:val="22"/>
          <w:szCs w:val="22"/>
        </w:rPr>
        <w:t xml:space="preserve"> kasserer den fil igen. Dags dato og ny-regnskabsår gemmes aldrig — de udfyldes altid ud fra dagens dato, så programmet ikke stivner på den dag indstillingerne blev gemt.</w:t>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Et godt råd:  </w:t>
      </w:r>
      <w:r>
        <w:rPr>
          <w:sz w:val="21"/>
          <w:szCs w:val="21"/>
        </w:rPr>
        <w:t xml:space="preserve">sæt indstillingerne én gang sammen med den der har brugt værktøjet før, og gem dem som standard. Så er der kun tre felter at forholde sig til på forsiden derefter.</w:t>
      </w:r>
    </w:p>
    <w:p>
      <w:r>
        <w:br w:type="page"/>
      </w:r>
    </w:p>
    <w:p>
      <w:pPr>
        <w:pStyle w:val="Heading1"/>
        <w:spacing w:after="160" w:before="360"/>
      </w:pPr>
      <w:r>
        <w:rPr>
          <w:b/>
          <w:bCs/>
          <w:color w:val="1A4A7A"/>
          <w:sz w:val="32"/>
          <w:szCs w:val="32"/>
        </w:rPr>
        <w:t xml:space="preserve">11  Når noget går galt</w:t>
      </w:r>
    </w:p>
    <w:tbl>
      <w:tblPr>
        <w:tblW w:type="pct" w:w="5000"/>
        <w:tblBorders>
          <w:top w:val="single" w:color="C8D4E0" w:sz="1"/>
          <w:left w:val="single" w:color="C8D4E0" w:sz="1"/>
          <w:bottom w:val="single" w:color="C8D4E0" w:sz="1"/>
          <w:right w:val="single" w:color="C8D4E0" w:sz="1"/>
          <w:insideH w:val="single" w:color="C8D4E0" w:sz="1"/>
          <w:insideV w:val="single" w:color="C8D4E0" w:sz="1"/>
        </w:tblBorders>
      </w:tblPr>
      <w:tblGrid>
        <w:gridCol w:w="3430"/>
        <w:gridCol w:w="5596"/>
      </w:tblGrid>
      <w:tr>
        <w:trPr>
          <w:tblHeader/>
        </w:trPr>
        <w:tc>
          <w:tcPr>
            <w:tcW w:type="pct" w:w="1900"/>
            <w:shd w:fill="1A4A7A" w:val="clear"/>
            <w:tcMar>
              <w:top w:type="dxa" w:w="90"/>
              <w:left w:type="dxa" w:w="130"/>
              <w:bottom w:type="dxa" w:w="90"/>
              <w:right w:type="dxa" w:w="130"/>
            </w:tcMar>
          </w:tcPr>
          <w:p>
            <w:pPr>
              <w:spacing w:after="0"/>
            </w:pPr>
            <w:r>
              <w:rPr>
                <w:b/>
                <w:bCs/>
                <w:color w:val="FFFFFF"/>
                <w:sz w:val="21"/>
                <w:szCs w:val="21"/>
              </w:rPr>
              <w:t xml:space="preserve">Det ser sådan ud</w:t>
            </w:r>
          </w:p>
        </w:tc>
        <w:tc>
          <w:tcPr>
            <w:tcW w:type="pct" w:w="3100"/>
            <w:shd w:fill="1A4A7A" w:val="clear"/>
            <w:tcMar>
              <w:top w:type="dxa" w:w="90"/>
              <w:left w:type="dxa" w:w="130"/>
              <w:bottom w:type="dxa" w:w="90"/>
              <w:right w:type="dxa" w:w="130"/>
            </w:tcMar>
          </w:tcPr>
          <w:p>
            <w:pPr>
              <w:spacing w:after="0"/>
            </w:pPr>
            <w:r>
              <w:rPr>
                <w:b/>
                <w:bCs/>
                <w:color w:val="FFFFFF"/>
                <w:sz w:val="21"/>
                <w:szCs w:val="21"/>
              </w:rPr>
              <w:t xml:space="preserve">Det er som regel</w:t>
            </w:r>
          </w:p>
        </w:tc>
      </w:tr>
      <w:tr>
        <w:tc>
          <w:tcPr>
            <w:tcW w:type="pct" w:w="1900"/>
            <w:tcMar>
              <w:top w:type="dxa" w:w="90"/>
              <w:left w:type="dxa" w:w="130"/>
              <w:bottom w:type="dxa" w:w="90"/>
              <w:right w:type="dxa" w:w="130"/>
            </w:tcMar>
          </w:tcPr>
          <w:p>
            <w:pPr>
              <w:spacing w:after="0"/>
            </w:pPr>
            <w:r>
              <w:rPr>
                <w:b w:val="false"/>
                <w:bCs w:val="false"/>
                <w:sz w:val="21"/>
                <w:szCs w:val="21"/>
              </w:rPr>
              <w:t xml:space="preserve">“Følgende påkrævede kolonner mangler …”</w:t>
            </w:r>
          </w:p>
        </w:tc>
        <w:tc>
          <w:tcPr>
            <w:tcW w:type="pct" w:w="3100"/>
            <w:tcMar>
              <w:top w:type="dxa" w:w="90"/>
              <w:left w:type="dxa" w:w="130"/>
              <w:bottom w:type="dxa" w:w="90"/>
              <w:right w:type="dxa" w:w="130"/>
            </w:tcMar>
          </w:tcPr>
          <w:p>
            <w:pPr>
              <w:spacing w:after="0"/>
            </w:pPr>
            <w:r>
              <w:rPr>
                <w:b w:val="false"/>
                <w:bCs w:val="false"/>
                <w:sz w:val="21"/>
                <w:szCs w:val="21"/>
              </w:rPr>
              <w:t xml:space="preserve">En kolonne er blevet stavet om i udtrækket. Beskeden viser både hvad der mangler, og hvad der faktisk stod. Er det Cons_GP_DKK eller Local_GP_DKK der mangler, er det som regel indstillingen under Beregning → Dækningsbidrag der peger på den forkerte — beskeden siger det.</w:t>
            </w:r>
          </w:p>
        </w:tc>
      </w:tr>
      <w:tr>
        <w:tc>
          <w:tcPr>
            <w:tcW w:type="pct" w:w="1900"/>
            <w:shd w:fill="F5F8FB" w:val="clear"/>
            <w:tcMar>
              <w:top w:type="dxa" w:w="90"/>
              <w:left w:type="dxa" w:w="130"/>
              <w:bottom w:type="dxa" w:w="90"/>
              <w:right w:type="dxa" w:w="130"/>
            </w:tcMar>
          </w:tcPr>
          <w:p>
            <w:pPr>
              <w:spacing w:after="0"/>
            </w:pPr>
            <w:r>
              <w:rPr>
                <w:b w:val="false"/>
                <w:bCs w:val="false"/>
                <w:sz w:val="21"/>
                <w:szCs w:val="21"/>
              </w:rPr>
              <w:t xml:space="preserve">Ingen kunder er “Ny”</w:t>
            </w:r>
          </w:p>
        </w:tc>
        <w:tc>
          <w:tcPr>
            <w:tcW w:type="pct" w:w="3100"/>
            <w:shd w:fill="F5F8FB" w:val="clear"/>
            <w:tcMar>
              <w:top w:type="dxa" w:w="90"/>
              <w:left w:type="dxa" w:w="130"/>
              <w:bottom w:type="dxa" w:w="90"/>
              <w:right w:type="dxa" w:w="130"/>
            </w:tcMar>
          </w:tcPr>
          <w:p>
            <w:pPr>
              <w:spacing w:after="0"/>
            </w:pPr>
            <w:r>
              <w:rPr>
                <w:b w:val="false"/>
                <w:bCs w:val="false"/>
                <w:sz w:val="21"/>
                <w:szCs w:val="21"/>
              </w:rPr>
              <w:t xml:space="preserve">Ny-regnskabsåret passer ikke med kolonnen “Fiscal year”. Tjek formatet — der skal stå fx 2026/27.</w:t>
            </w:r>
          </w:p>
        </w:tc>
      </w:tr>
      <w:tr>
        <w:tc>
          <w:tcPr>
            <w:tcW w:type="pct" w:w="1900"/>
            <w:tcMar>
              <w:top w:type="dxa" w:w="90"/>
              <w:left w:type="dxa" w:w="130"/>
              <w:bottom w:type="dxa" w:w="90"/>
              <w:right w:type="dxa" w:w="130"/>
            </w:tcMar>
          </w:tcPr>
          <w:p>
            <w:pPr>
              <w:spacing w:after="0"/>
            </w:pPr>
            <w:r>
              <w:rPr>
                <w:b w:val="false"/>
                <w:bCs w:val="false"/>
                <w:sz w:val="21"/>
                <w:szCs w:val="21"/>
              </w:rPr>
              <w:t xml:space="preserve">Færre kunder end forventet</w:t>
            </w:r>
          </w:p>
        </w:tc>
        <w:tc>
          <w:tcPr>
            <w:tcW w:type="pct" w:w="3100"/>
            <w:tcMar>
              <w:top w:type="dxa" w:w="90"/>
              <w:left w:type="dxa" w:w="130"/>
              <w:bottom w:type="dxa" w:w="90"/>
              <w:right w:type="dxa" w:w="130"/>
            </w:tcMar>
          </w:tcPr>
          <w:p>
            <w:pPr>
              <w:spacing w:after="0"/>
            </w:pPr>
            <w:r>
              <w:rPr>
                <w:b w:val="false"/>
                <w:bCs w:val="false"/>
                <w:sz w:val="21"/>
                <w:szCs w:val="21"/>
              </w:rPr>
              <w:t xml:space="preserve">Perioder efter dags dato er skåret fra som budgettal, en kundegruppe står på ekskluder-listen, eller kunden mistede alle sine varer til GM%-grænsen. Det sidste siges undervejs, og varerne står på fanen Outliers.</w:t>
            </w:r>
          </w:p>
        </w:tc>
      </w:tr>
      <w:tr>
        <w:tc>
          <w:tcPr>
            <w:tcW w:type="pct" w:w="1900"/>
            <w:shd w:fill="F5F8FB" w:val="clear"/>
            <w:tcMar>
              <w:top w:type="dxa" w:w="90"/>
              <w:left w:type="dxa" w:w="130"/>
              <w:bottom w:type="dxa" w:w="90"/>
              <w:right w:type="dxa" w:w="130"/>
            </w:tcMar>
          </w:tcPr>
          <w:p>
            <w:pPr>
              <w:spacing w:after="0"/>
            </w:pPr>
            <w:r>
              <w:rPr>
                <w:b w:val="false"/>
                <w:bCs w:val="false"/>
                <w:sz w:val="21"/>
                <w:szCs w:val="21"/>
              </w:rPr>
              <w:t xml:space="preserve">En graf er helt tom</w:t>
            </w:r>
          </w:p>
        </w:tc>
        <w:tc>
          <w:tcPr>
            <w:tcW w:type="pct" w:w="3100"/>
            <w:shd w:fill="F5F8FB" w:val="clear"/>
            <w:tcMar>
              <w:top w:type="dxa" w:w="90"/>
              <w:left w:type="dxa" w:w="130"/>
              <w:bottom w:type="dxa" w:w="90"/>
              <w:right w:type="dxa" w:w="130"/>
            </w:tcMar>
          </w:tcPr>
          <w:p>
            <w:pPr>
              <w:spacing w:after="0"/>
            </w:pPr>
            <w:r>
              <w:rPr>
                <w:b w:val="false"/>
                <w:bCs w:val="false"/>
                <w:sz w:val="21"/>
                <w:szCs w:val="21"/>
              </w:rPr>
              <w:t xml:space="preserve">Udsnittet indeholder ingen rækker — fx kun sinter i en fil uden sinter-varer.</w:t>
            </w:r>
          </w:p>
        </w:tc>
      </w:tr>
      <w:tr>
        <w:tc>
          <w:tcPr>
            <w:tcW w:type="pct" w:w="1900"/>
            <w:tcMar>
              <w:top w:type="dxa" w:w="90"/>
              <w:left w:type="dxa" w:w="130"/>
              <w:bottom w:type="dxa" w:w="90"/>
              <w:right w:type="dxa" w:w="130"/>
            </w:tcMar>
          </w:tcPr>
          <w:p>
            <w:pPr>
              <w:spacing w:after="0"/>
            </w:pPr>
            <w:r>
              <w:rPr>
                <w:b w:val="false"/>
                <w:bCs w:val="false"/>
                <w:sz w:val="21"/>
                <w:szCs w:val="21"/>
              </w:rPr>
              <w:t xml:space="preserve">En vare mangler på item-grafen</w:t>
            </w:r>
          </w:p>
        </w:tc>
        <w:tc>
          <w:tcPr>
            <w:tcW w:type="pct" w:w="3100"/>
            <w:tcMar>
              <w:top w:type="dxa" w:w="90"/>
              <w:left w:type="dxa" w:w="130"/>
              <w:bottom w:type="dxa" w:w="90"/>
              <w:right w:type="dxa" w:w="130"/>
            </w:tcMar>
          </w:tcPr>
          <w:p>
            <w:pPr>
              <w:spacing w:after="0"/>
            </w:pPr>
            <w:r>
              <w:rPr>
                <w:b w:val="false"/>
                <w:bCs w:val="false"/>
                <w:sz w:val="21"/>
                <w:szCs w:val="21"/>
              </w:rPr>
              <w:t xml:space="preserve">Enten mangler varen et turnover-tal i vinduet og kan derfor ikke placeres, eller også er den sorteret fra af GM%-grænsen. Fanen Outliers i Excel-rapporten viser hvilke varer der blev fjernet, og hvorfor.</w:t>
            </w:r>
          </w:p>
        </w:tc>
      </w:tr>
      <w:tr>
        <w:tc>
          <w:tcPr>
            <w:tcW w:type="pct" w:w="1900"/>
            <w:shd w:fill="F5F8FB" w:val="clear"/>
            <w:tcMar>
              <w:top w:type="dxa" w:w="90"/>
              <w:left w:type="dxa" w:w="130"/>
              <w:bottom w:type="dxa" w:w="90"/>
              <w:right w:type="dxa" w:w="130"/>
            </w:tcMar>
          </w:tcPr>
          <w:p>
            <w:pPr>
              <w:spacing w:after="0"/>
            </w:pPr>
            <w:r>
              <w:rPr>
                <w:b w:val="false"/>
                <w:bCs w:val="false"/>
                <w:sz w:val="21"/>
                <w:szCs w:val="21"/>
              </w:rPr>
              <w:t xml:space="preserve">Y-aksen ser anderledes ud end sidst</w:t>
            </w:r>
          </w:p>
        </w:tc>
        <w:tc>
          <w:tcPr>
            <w:tcW w:type="pct" w:w="3100"/>
            <w:shd w:fill="F5F8FB" w:val="clear"/>
            <w:tcMar>
              <w:top w:type="dxa" w:w="90"/>
              <w:left w:type="dxa" w:w="130"/>
              <w:bottom w:type="dxa" w:w="90"/>
              <w:right w:type="dxa" w:w="130"/>
            </w:tcMar>
          </w:tcPr>
          <w:p>
            <w:pPr>
              <w:spacing w:after="0"/>
            </w:pPr>
            <w:r>
              <w:rPr>
                <w:b w:val="false"/>
                <w:bCs w:val="false"/>
                <w:sz w:val="21"/>
                <w:szCs w:val="21"/>
              </w:rPr>
              <w:t xml:space="preserve">Der er kommet kunder eller varer med negativ omsætning med. Så skifter aksen til symlog og får negative mærker — se kapitel 6.</w:t>
            </w:r>
          </w:p>
        </w:tc>
      </w:tr>
      <w:tr>
        <w:tc>
          <w:tcPr>
            <w:tcW w:type="pct" w:w="1900"/>
            <w:tcMar>
              <w:top w:type="dxa" w:w="90"/>
              <w:left w:type="dxa" w:w="130"/>
              <w:bottom w:type="dxa" w:w="90"/>
              <w:right w:type="dxa" w:w="130"/>
            </w:tcMar>
          </w:tcPr>
          <w:p>
            <w:pPr>
              <w:spacing w:after="0"/>
            </w:pPr>
            <w:r>
              <w:rPr>
                <w:b w:val="false"/>
                <w:bCs w:val="false"/>
                <w:sz w:val="21"/>
                <w:szCs w:val="21"/>
              </w:rPr>
              <w:t xml:space="preserve">Programmet kan ikke gemme</w:t>
            </w:r>
          </w:p>
        </w:tc>
        <w:tc>
          <w:tcPr>
            <w:tcW w:type="pct" w:w="3100"/>
            <w:tcMar>
              <w:top w:type="dxa" w:w="90"/>
              <w:left w:type="dxa" w:w="130"/>
              <w:bottom w:type="dxa" w:w="90"/>
              <w:right w:type="dxa" w:w="130"/>
            </w:tcMar>
          </w:tcPr>
          <w:p>
            <w:pPr>
              <w:spacing w:after="0"/>
            </w:pPr>
            <w:r>
              <w:rPr>
                <w:b w:val="false"/>
                <w:bCs w:val="false"/>
                <w:sz w:val="21"/>
                <w:szCs w:val="21"/>
              </w:rPr>
              <w:t xml:space="preserve">Det ligger et sted der er skrivebeskyttet. Flyt det til skrivebordet eller et drev.</w:t>
            </w:r>
          </w:p>
        </w:tc>
      </w:tr>
      <w:tr>
        <w:tc>
          <w:tcPr>
            <w:tcW w:type="pct" w:w="1900"/>
            <w:shd w:fill="F5F8FB" w:val="clear"/>
            <w:tcMar>
              <w:top w:type="dxa" w:w="90"/>
              <w:left w:type="dxa" w:w="130"/>
              <w:bottom w:type="dxa" w:w="90"/>
              <w:right w:type="dxa" w:w="130"/>
            </w:tcMar>
          </w:tcPr>
          <w:p>
            <w:pPr>
              <w:spacing w:after="0"/>
            </w:pPr>
            <w:r>
              <w:rPr>
                <w:b w:val="false"/>
                <w:bCs w:val="false"/>
                <w:sz w:val="21"/>
                <w:szCs w:val="21"/>
              </w:rPr>
              <w:t xml:space="preserve">Vinduet forsvinder ved start</w:t>
            </w:r>
          </w:p>
        </w:tc>
        <w:tc>
          <w:tcPr>
            <w:tcW w:type="pct" w:w="3100"/>
            <w:shd w:fill="F5F8FB" w:val="clear"/>
            <w:tcMar>
              <w:top w:type="dxa" w:w="90"/>
              <w:left w:type="dxa" w:w="130"/>
              <w:bottom w:type="dxa" w:w="90"/>
              <w:right w:type="dxa" w:w="130"/>
            </w:tcMar>
          </w:tcPr>
          <w:p>
            <w:pPr>
              <w:spacing w:after="0"/>
            </w:pPr>
            <w:r>
              <w:rPr>
                <w:b w:val="false"/>
                <w:bCs w:val="false"/>
                <w:sz w:val="21"/>
                <w:szCs w:val="21"/>
              </w:rPr>
              <w:t xml:space="preserve">Antivirus har sat filen i karantæne. Den er ikke underskrevet med et certifikat, og det reagerer nogle opsætninger på.</w:t>
            </w:r>
          </w:p>
        </w:tc>
      </w:tr>
    </w:tbl>
    <w:p>
      <w:pPr>
        <w:spacing w:after="200"/>
      </w:pPr>
      <w:r>
        <w:t xml:space="preserve"/>
      </w:r>
    </w:p>
    <w:p>
      <w:pPr>
        <w:spacing w:after="140"/>
      </w:pPr>
      <w:r>
        <w:rPr>
          <w:b w:val="false"/>
          <w:bCs w:val="false"/>
          <w:i w:val="false"/>
          <w:iCs w:val="false"/>
          <w:sz w:val="22"/>
          <w:szCs w:val="22"/>
        </w:rPr>
        <w:t xml:space="preserve">Fejlbeskeden vises i en boks når analysen stopper. Den er det første sted at kigge — og det der skal sendes med videre hvis nogen skal hjælpe.</w:t>
      </w:r>
    </w:p>
    <w:p>
      <w:pPr>
        <w:pStyle w:val="Heading1"/>
        <w:spacing w:after="160" w:before="360"/>
      </w:pPr>
      <w:r>
        <w:rPr>
          <w:b/>
          <w:bCs/>
          <w:color w:val="1A4A7A"/>
          <w:sz w:val="32"/>
          <w:szCs w:val="32"/>
        </w:rPr>
        <w:t xml:space="preserve">12  Ordliste</w:t>
      </w:r>
    </w:p>
    <w:tbl>
      <w:tblPr>
        <w:tblW w:type="pct" w:w="5000"/>
        <w:tblBorders>
          <w:top w:val="single" w:color="C8D4E0" w:sz="1"/>
          <w:left w:val="single" w:color="C8D4E0" w:sz="1"/>
          <w:bottom w:val="single" w:color="C8D4E0" w:sz="1"/>
          <w:right w:val="single" w:color="C8D4E0" w:sz="1"/>
          <w:insideH w:val="single" w:color="C8D4E0" w:sz="1"/>
          <w:insideV w:val="single" w:color="C8D4E0" w:sz="1"/>
        </w:tblBorders>
      </w:tblPr>
      <w:tblGrid>
        <w:gridCol w:w="2166"/>
        <w:gridCol w:w="6860"/>
      </w:tblGrid>
      <w:tr>
        <w:trPr>
          <w:tblHeader/>
        </w:trPr>
        <w:tc>
          <w:tcPr>
            <w:tcW w:type="pct" w:w="1200"/>
            <w:shd w:fill="1A4A7A" w:val="clear"/>
            <w:tcMar>
              <w:top w:type="dxa" w:w="90"/>
              <w:left w:type="dxa" w:w="130"/>
              <w:bottom w:type="dxa" w:w="90"/>
              <w:right w:type="dxa" w:w="130"/>
            </w:tcMar>
          </w:tcPr>
          <w:p>
            <w:pPr>
              <w:spacing w:after="0"/>
            </w:pPr>
            <w:r>
              <w:rPr>
                <w:b/>
                <w:bCs/>
                <w:color w:val="FFFFFF"/>
                <w:sz w:val="21"/>
                <w:szCs w:val="21"/>
              </w:rPr>
              <w:t xml:space="preserve">Ord</w:t>
            </w:r>
          </w:p>
        </w:tc>
        <w:tc>
          <w:tcPr>
            <w:tcW w:type="pct" w:w="3800"/>
            <w:shd w:fill="1A4A7A" w:val="clear"/>
            <w:tcMar>
              <w:top w:type="dxa" w:w="90"/>
              <w:left w:type="dxa" w:w="130"/>
              <w:bottom w:type="dxa" w:w="90"/>
              <w:right w:type="dxa" w:w="130"/>
            </w:tcMar>
          </w:tcPr>
          <w:p>
            <w:pPr>
              <w:spacing w:after="0"/>
            </w:pPr>
            <w:r>
              <w:rPr>
                <w:b/>
                <w:bCs/>
                <w:color w:val="FFFFFF"/>
                <w:sz w:val="21"/>
                <w:szCs w:val="21"/>
              </w:rPr>
              <w:t xml:space="preserve">Betyder</w:t>
            </w:r>
          </w:p>
        </w:tc>
      </w:tr>
      <w:tr>
        <w:tc>
          <w:tcPr>
            <w:tcW w:type="pct" w:w="1200"/>
            <w:tcMar>
              <w:top w:type="dxa" w:w="90"/>
              <w:left w:type="dxa" w:w="130"/>
              <w:bottom w:type="dxa" w:w="90"/>
              <w:right w:type="dxa" w:w="130"/>
            </w:tcMar>
          </w:tcPr>
          <w:p>
            <w:pPr>
              <w:spacing w:after="0"/>
            </w:pPr>
            <w:r>
              <w:rPr>
                <w:b w:val="false"/>
                <w:bCs w:val="false"/>
                <w:sz w:val="21"/>
                <w:szCs w:val="21"/>
              </w:rPr>
              <w:t xml:space="preserve">Kundegruppe</w:t>
            </w:r>
          </w:p>
        </w:tc>
        <w:tc>
          <w:tcPr>
            <w:tcW w:type="pct" w:w="3800"/>
            <w:tcMar>
              <w:top w:type="dxa" w:w="90"/>
              <w:left w:type="dxa" w:w="130"/>
              <w:bottom w:type="dxa" w:w="90"/>
              <w:right w:type="dxa" w:w="130"/>
            </w:tcMar>
          </w:tcPr>
          <w:p>
            <w:pPr>
              <w:spacing w:after="0"/>
            </w:pPr>
            <w:r>
              <w:rPr>
                <w:b w:val="false"/>
                <w:bCs w:val="false"/>
                <w:sz w:val="21"/>
                <w:szCs w:val="21"/>
              </w:rPr>
              <w:t xml:space="preserve">Værdien i kolonnen “Statistics group”. Ét punkt på kundegruppe-grafen.</w:t>
            </w:r>
          </w:p>
        </w:tc>
      </w:tr>
      <w:tr>
        <w:tc>
          <w:tcPr>
            <w:tcW w:type="pct" w:w="1200"/>
            <w:shd w:fill="F5F8FB" w:val="clear"/>
            <w:tcMar>
              <w:top w:type="dxa" w:w="90"/>
              <w:left w:type="dxa" w:w="130"/>
              <w:bottom w:type="dxa" w:w="90"/>
              <w:right w:type="dxa" w:w="130"/>
            </w:tcMar>
          </w:tcPr>
          <w:p>
            <w:pPr>
              <w:spacing w:after="0"/>
            </w:pPr>
            <w:r>
              <w:rPr>
                <w:b w:val="false"/>
                <w:bCs w:val="false"/>
                <w:sz w:val="21"/>
                <w:szCs w:val="21"/>
              </w:rPr>
              <w:t xml:space="preserve">GM% / Gross Margin</w:t>
            </w:r>
          </w:p>
        </w:tc>
        <w:tc>
          <w:tcPr>
            <w:tcW w:type="pct" w:w="3800"/>
            <w:shd w:fill="F5F8FB" w:val="clear"/>
            <w:tcMar>
              <w:top w:type="dxa" w:w="90"/>
              <w:left w:type="dxa" w:w="130"/>
              <w:bottom w:type="dxa" w:w="90"/>
              <w:right w:type="dxa" w:w="130"/>
            </w:tcMar>
          </w:tcPr>
          <w:p>
            <w:pPr>
              <w:spacing w:after="0"/>
            </w:pPr>
            <w:r>
              <w:rPr>
                <w:b w:val="false"/>
                <w:bCs w:val="false"/>
                <w:sz w:val="21"/>
                <w:szCs w:val="21"/>
              </w:rPr>
              <w:t xml:space="preserve">Dækningsbidrag delt med omsætning, i procent. X-aksen.</w:t>
            </w:r>
          </w:p>
        </w:tc>
      </w:tr>
      <w:tr>
        <w:tc>
          <w:tcPr>
            <w:tcW w:type="pct" w:w="1200"/>
            <w:tcMar>
              <w:top w:type="dxa" w:w="90"/>
              <w:left w:type="dxa" w:w="130"/>
              <w:bottom w:type="dxa" w:w="90"/>
              <w:right w:type="dxa" w:w="130"/>
            </w:tcMar>
          </w:tcPr>
          <w:p>
            <w:pPr>
              <w:spacing w:after="0"/>
            </w:pPr>
            <w:r>
              <w:rPr>
                <w:b w:val="false"/>
                <w:bCs w:val="false"/>
                <w:sz w:val="21"/>
                <w:szCs w:val="21"/>
              </w:rPr>
              <w:t xml:space="preserve">GP</w:t>
            </w:r>
          </w:p>
        </w:tc>
        <w:tc>
          <w:tcPr>
            <w:tcW w:type="pct" w:w="3800"/>
            <w:tcMar>
              <w:top w:type="dxa" w:w="90"/>
              <w:left w:type="dxa" w:w="130"/>
              <w:bottom w:type="dxa" w:w="90"/>
              <w:right w:type="dxa" w:w="130"/>
            </w:tcMar>
          </w:tcPr>
          <w:p>
            <w:pPr>
              <w:spacing w:after="0"/>
            </w:pPr>
            <w:r>
              <w:rPr>
                <w:b w:val="false"/>
                <w:bCs w:val="false"/>
                <w:sz w:val="21"/>
                <w:szCs w:val="21"/>
              </w:rPr>
              <w:t xml:space="preserve">Gross Profit — dækningsbidraget i kroner.</w:t>
            </w:r>
          </w:p>
        </w:tc>
      </w:tr>
      <w:tr>
        <w:tc>
          <w:tcPr>
            <w:tcW w:type="pct" w:w="1200"/>
            <w:shd w:fill="F5F8FB" w:val="clear"/>
            <w:tcMar>
              <w:top w:type="dxa" w:w="90"/>
              <w:left w:type="dxa" w:w="130"/>
              <w:bottom w:type="dxa" w:w="90"/>
              <w:right w:type="dxa" w:w="130"/>
            </w:tcMar>
          </w:tcPr>
          <w:p>
            <w:pPr>
              <w:spacing w:after="0"/>
            </w:pPr>
            <w:r>
              <w:rPr>
                <w:b w:val="false"/>
                <w:bCs w:val="false"/>
                <w:sz w:val="21"/>
                <w:szCs w:val="21"/>
              </w:rPr>
              <w:t xml:space="preserve">COGS</w:t>
            </w:r>
          </w:p>
        </w:tc>
        <w:tc>
          <w:tcPr>
            <w:tcW w:type="pct" w:w="3800"/>
            <w:shd w:fill="F5F8FB" w:val="clear"/>
            <w:tcMar>
              <w:top w:type="dxa" w:w="90"/>
              <w:left w:type="dxa" w:w="130"/>
              <w:bottom w:type="dxa" w:w="90"/>
              <w:right w:type="dxa" w:w="130"/>
            </w:tcMar>
          </w:tcPr>
          <w:p>
            <w:pPr>
              <w:spacing w:after="0"/>
            </w:pPr>
            <w:r>
              <w:rPr>
                <w:b w:val="false"/>
                <w:bCs w:val="false"/>
                <w:sz w:val="21"/>
                <w:szCs w:val="21"/>
              </w:rPr>
              <w:t xml:space="preserve">Cost of Goods Sold — vareforbruget.</w:t>
            </w:r>
          </w:p>
        </w:tc>
      </w:tr>
      <w:tr>
        <w:tc>
          <w:tcPr>
            <w:tcW w:type="pct" w:w="1200"/>
            <w:tcMar>
              <w:top w:type="dxa" w:w="90"/>
              <w:left w:type="dxa" w:w="130"/>
              <w:bottom w:type="dxa" w:w="90"/>
              <w:right w:type="dxa" w:w="130"/>
            </w:tcMar>
          </w:tcPr>
          <w:p>
            <w:pPr>
              <w:spacing w:after="0"/>
            </w:pPr>
            <w:r>
              <w:rPr>
                <w:b w:val="false"/>
                <w:bCs w:val="false"/>
                <w:sz w:val="21"/>
                <w:szCs w:val="21"/>
              </w:rPr>
              <w:t xml:space="preserve">Turnover-vindue</w:t>
            </w:r>
          </w:p>
        </w:tc>
        <w:tc>
          <w:tcPr>
            <w:tcW w:type="pct" w:w="3800"/>
            <w:tcMar>
              <w:top w:type="dxa" w:w="90"/>
              <w:left w:type="dxa" w:w="130"/>
              <w:bottom w:type="dxa" w:w="90"/>
              <w:right w:type="dxa" w:w="130"/>
            </w:tcMar>
          </w:tcPr>
          <w:p>
            <w:pPr>
              <w:spacing w:after="0"/>
            </w:pPr>
            <w:r>
              <w:rPr>
                <w:b w:val="false"/>
                <w:bCs w:val="false"/>
                <w:sz w:val="21"/>
                <w:szCs w:val="21"/>
              </w:rPr>
              <w:t xml:space="preserve">De seneste N måneder der tælles med i omsætningen. Y-aksen.</w:t>
            </w:r>
          </w:p>
        </w:tc>
      </w:tr>
      <w:tr>
        <w:tc>
          <w:tcPr>
            <w:tcW w:type="pct" w:w="1200"/>
            <w:shd w:fill="F5F8FB" w:val="clear"/>
            <w:tcMar>
              <w:top w:type="dxa" w:w="90"/>
              <w:left w:type="dxa" w:w="130"/>
              <w:bottom w:type="dxa" w:w="90"/>
              <w:right w:type="dxa" w:w="130"/>
            </w:tcMar>
          </w:tcPr>
          <w:p>
            <w:pPr>
              <w:spacing w:after="0"/>
            </w:pPr>
            <w:r>
              <w:rPr>
                <w:b w:val="false"/>
                <w:bCs w:val="false"/>
                <w:sz w:val="21"/>
                <w:szCs w:val="21"/>
              </w:rPr>
              <w:t xml:space="preserve">Forankring</w:t>
            </w:r>
          </w:p>
        </w:tc>
        <w:tc>
          <w:tcPr>
            <w:tcW w:type="pct" w:w="3800"/>
            <w:shd w:fill="F5F8FB" w:val="clear"/>
            <w:tcMar>
              <w:top w:type="dxa" w:w="90"/>
              <w:left w:type="dxa" w:w="130"/>
              <w:bottom w:type="dxa" w:w="90"/>
              <w:right w:type="dxa" w:w="130"/>
            </w:tcMar>
          </w:tcPr>
          <w:p>
            <w:pPr>
              <w:spacing w:after="0"/>
            </w:pPr>
            <w:r>
              <w:rPr>
                <w:b w:val="false"/>
                <w:bCs w:val="false"/>
                <w:sz w:val="21"/>
                <w:szCs w:val="21"/>
              </w:rPr>
              <w:t xml:space="preserve">Om vinduet regnes fra kundens eller fra varens seneste aktivitet.</w:t>
            </w:r>
          </w:p>
        </w:tc>
      </w:tr>
      <w:tr>
        <w:tc>
          <w:tcPr>
            <w:tcW w:type="pct" w:w="1200"/>
            <w:tcMar>
              <w:top w:type="dxa" w:w="90"/>
              <w:left w:type="dxa" w:w="130"/>
              <w:bottom w:type="dxa" w:w="90"/>
              <w:right w:type="dxa" w:w="130"/>
            </w:tcMar>
          </w:tcPr>
          <w:p>
            <w:pPr>
              <w:spacing w:after="0"/>
            </w:pPr>
            <w:r>
              <w:rPr>
                <w:b w:val="false"/>
                <w:bCs w:val="false"/>
                <w:sz w:val="21"/>
                <w:szCs w:val="21"/>
              </w:rPr>
              <w:t xml:space="preserve">Kundekategori</w:t>
            </w:r>
          </w:p>
        </w:tc>
        <w:tc>
          <w:tcPr>
            <w:tcW w:type="pct" w:w="3800"/>
            <w:tcMar>
              <w:top w:type="dxa" w:w="90"/>
              <w:left w:type="dxa" w:w="130"/>
              <w:bottom w:type="dxa" w:w="90"/>
              <w:right w:type="dxa" w:w="130"/>
            </w:tcMar>
          </w:tcPr>
          <w:p>
            <w:pPr>
              <w:spacing w:after="0"/>
            </w:pPr>
            <w:r>
              <w:rPr>
                <w:b w:val="false"/>
                <w:bCs w:val="false"/>
                <w:sz w:val="21"/>
                <w:szCs w:val="21"/>
              </w:rPr>
              <w:t xml:space="preserve">A+, A-, B+ … Bogstavet er volumen, tegnet er om marginen når kravet.</w:t>
            </w:r>
          </w:p>
        </w:tc>
      </w:tr>
      <w:tr>
        <w:tc>
          <w:tcPr>
            <w:tcW w:type="pct" w:w="1200"/>
            <w:shd w:fill="F5F8FB" w:val="clear"/>
            <w:tcMar>
              <w:top w:type="dxa" w:w="90"/>
              <w:left w:type="dxa" w:w="130"/>
              <w:bottom w:type="dxa" w:w="90"/>
              <w:right w:type="dxa" w:w="130"/>
            </w:tcMar>
          </w:tcPr>
          <w:p>
            <w:pPr>
              <w:spacing w:after="0"/>
            </w:pPr>
            <w:r>
              <w:rPr>
                <w:b w:val="false"/>
                <w:bCs w:val="false"/>
                <w:sz w:val="21"/>
                <w:szCs w:val="21"/>
              </w:rPr>
              <w:t xml:space="preserve">Kundetype</w:t>
            </w:r>
          </w:p>
        </w:tc>
        <w:tc>
          <w:tcPr>
            <w:tcW w:type="pct" w:w="3800"/>
            <w:shd w:fill="F5F8FB" w:val="clear"/>
            <w:tcMar>
              <w:top w:type="dxa" w:w="90"/>
              <w:left w:type="dxa" w:w="130"/>
              <w:bottom w:type="dxa" w:w="90"/>
              <w:right w:type="dxa" w:w="130"/>
            </w:tcMar>
          </w:tcPr>
          <w:p>
            <w:pPr>
              <w:spacing w:after="0"/>
            </w:pPr>
            <w:r>
              <w:rPr>
                <w:b w:val="false"/>
                <w:bCs w:val="false"/>
                <w:sz w:val="21"/>
                <w:szCs w:val="21"/>
              </w:rPr>
              <w:t xml:space="preserve">Eksisterende, Ny eller Tidligere.</w:t>
            </w:r>
          </w:p>
        </w:tc>
      </w:tr>
      <w:tr>
        <w:tc>
          <w:tcPr>
            <w:tcW w:type="pct" w:w="1200"/>
            <w:tcMar>
              <w:top w:type="dxa" w:w="90"/>
              <w:left w:type="dxa" w:w="130"/>
              <w:bottom w:type="dxa" w:w="90"/>
              <w:right w:type="dxa" w:w="130"/>
            </w:tcMar>
          </w:tcPr>
          <w:p>
            <w:pPr>
              <w:spacing w:after="0"/>
            </w:pPr>
            <w:r>
              <w:rPr>
                <w:b w:val="false"/>
                <w:bCs w:val="false"/>
                <w:sz w:val="21"/>
                <w:szCs w:val="21"/>
              </w:rPr>
              <w:t xml:space="preserve">Item-type</w:t>
            </w:r>
          </w:p>
        </w:tc>
        <w:tc>
          <w:tcPr>
            <w:tcW w:type="pct" w:w="3800"/>
            <w:tcMar>
              <w:top w:type="dxa" w:w="90"/>
              <w:left w:type="dxa" w:w="130"/>
              <w:bottom w:type="dxa" w:w="90"/>
              <w:right w:type="dxa" w:w="130"/>
            </w:tcMar>
          </w:tcPr>
          <w:p>
            <w:pPr>
              <w:spacing w:after="0"/>
            </w:pPr>
            <w:r>
              <w:rPr>
                <w:b w:val="false"/>
                <w:bCs w:val="false"/>
                <w:sz w:val="21"/>
                <w:szCs w:val="21"/>
              </w:rPr>
              <w:t xml:space="preserve">Sinter eller støb, udledt af varenummeret.</w:t>
            </w:r>
          </w:p>
        </w:tc>
      </w:tr>
      <w:tr>
        <w:tc>
          <w:tcPr>
            <w:tcW w:type="pct" w:w="1200"/>
            <w:shd w:fill="F5F8FB" w:val="clear"/>
            <w:tcMar>
              <w:top w:type="dxa" w:w="90"/>
              <w:left w:type="dxa" w:w="130"/>
              <w:bottom w:type="dxa" w:w="90"/>
              <w:right w:type="dxa" w:w="130"/>
            </w:tcMar>
          </w:tcPr>
          <w:p>
            <w:pPr>
              <w:spacing w:after="0"/>
            </w:pPr>
            <w:r>
              <w:rPr>
                <w:b w:val="false"/>
                <w:bCs w:val="false"/>
                <w:sz w:val="21"/>
                <w:szCs w:val="21"/>
              </w:rPr>
              <w:t xml:space="preserve">Outlier</w:t>
            </w:r>
          </w:p>
        </w:tc>
        <w:tc>
          <w:tcPr>
            <w:tcW w:type="pct" w:w="3800"/>
            <w:shd w:fill="F5F8FB" w:val="clear"/>
            <w:tcMar>
              <w:top w:type="dxa" w:w="90"/>
              <w:left w:type="dxa" w:w="130"/>
              <w:bottom w:type="dxa" w:w="90"/>
              <w:right w:type="dxa" w:w="130"/>
            </w:tcMar>
          </w:tcPr>
          <w:p>
            <w:pPr>
              <w:spacing w:after="0"/>
            </w:pPr>
            <w:r>
              <w:rPr>
                <w:b w:val="false"/>
                <w:bCs w:val="false"/>
                <w:sz w:val="21"/>
                <w:szCs w:val="21"/>
              </w:rPr>
              <w:t xml:space="preserve">En vare der ligger så langt fra kundens gennemsnit at den kan sorteres fra.</w:t>
            </w:r>
          </w:p>
        </w:tc>
      </w:tr>
      <w:tr>
        <w:tc>
          <w:tcPr>
            <w:tcW w:type="pct" w:w="1200"/>
            <w:tcMar>
              <w:top w:type="dxa" w:w="90"/>
              <w:left w:type="dxa" w:w="130"/>
              <w:bottom w:type="dxa" w:w="90"/>
              <w:right w:type="dxa" w:w="130"/>
            </w:tcMar>
          </w:tcPr>
          <w:p>
            <w:pPr>
              <w:spacing w:after="0"/>
            </w:pPr>
            <w:r>
              <w:rPr>
                <w:b w:val="false"/>
                <w:bCs w:val="false"/>
                <w:sz w:val="21"/>
                <w:szCs w:val="21"/>
              </w:rPr>
              <w:t xml:space="preserve">Udsnit</w:t>
            </w:r>
          </w:p>
        </w:tc>
        <w:tc>
          <w:tcPr>
            <w:tcW w:type="pct" w:w="3800"/>
            <w:tcMar>
              <w:top w:type="dxa" w:w="90"/>
              <w:left w:type="dxa" w:w="130"/>
              <w:bottom w:type="dxa" w:w="90"/>
              <w:right w:type="dxa" w:w="130"/>
            </w:tcMar>
          </w:tcPr>
          <w:p>
            <w:pPr>
              <w:spacing w:after="0"/>
            </w:pPr>
            <w:r>
              <w:rPr>
                <w:b w:val="false"/>
                <w:bCs w:val="false"/>
                <w:sz w:val="21"/>
                <w:szCs w:val="21"/>
              </w:rPr>
              <w:t xml:space="preserve">Én kombination af emne-type, geografi og kundeudvalg. Får sit eget sæt filer.</w:t>
            </w:r>
          </w:p>
        </w:tc>
      </w:tr>
      <w:tr>
        <w:tc>
          <w:tcPr>
            <w:tcW w:type="pct" w:w="1200"/>
            <w:shd w:fill="F5F8FB" w:val="clear"/>
            <w:tcMar>
              <w:top w:type="dxa" w:w="90"/>
              <w:left w:type="dxa" w:w="130"/>
              <w:bottom w:type="dxa" w:w="90"/>
              <w:right w:type="dxa" w:w="130"/>
            </w:tcMar>
          </w:tcPr>
          <w:p>
            <w:pPr>
              <w:spacing w:after="0"/>
            </w:pPr>
            <w:r>
              <w:rPr>
                <w:b w:val="false"/>
                <w:bCs w:val="false"/>
                <w:sz w:val="21"/>
                <w:szCs w:val="21"/>
              </w:rPr>
              <w:t xml:space="preserve">KAM</w:t>
            </w:r>
          </w:p>
        </w:tc>
        <w:tc>
          <w:tcPr>
            <w:tcW w:type="pct" w:w="3800"/>
            <w:shd w:fill="F5F8FB" w:val="clear"/>
            <w:tcMar>
              <w:top w:type="dxa" w:w="90"/>
              <w:left w:type="dxa" w:w="130"/>
              <w:bottom w:type="dxa" w:w="90"/>
              <w:right w:type="dxa" w:w="130"/>
            </w:tcMar>
          </w:tcPr>
          <w:p>
            <w:pPr>
              <w:spacing w:after="0"/>
            </w:pPr>
            <w:r>
              <w:rPr>
                <w:b w:val="false"/>
                <w:bCs w:val="false"/>
                <w:sz w:val="21"/>
                <w:szCs w:val="21"/>
              </w:rPr>
              <w:t xml:space="preserve">Key Account Manager — den ansvarlige for kunden.</w:t>
            </w:r>
          </w:p>
        </w:tc>
      </w:tr>
      <w:tr>
        <w:tc>
          <w:tcPr>
            <w:tcW w:type="pct" w:w="1200"/>
            <w:tcMar>
              <w:top w:type="dxa" w:w="90"/>
              <w:left w:type="dxa" w:w="130"/>
              <w:bottom w:type="dxa" w:w="90"/>
              <w:right w:type="dxa" w:w="130"/>
            </w:tcMar>
          </w:tcPr>
          <w:p>
            <w:pPr>
              <w:spacing w:after="0"/>
            </w:pPr>
            <w:r>
              <w:rPr>
                <w:b w:val="false"/>
                <w:bCs w:val="false"/>
                <w:sz w:val="21"/>
                <w:szCs w:val="21"/>
              </w:rPr>
              <w:t xml:space="preserve">Dags dato</w:t>
            </w:r>
          </w:p>
        </w:tc>
        <w:tc>
          <w:tcPr>
            <w:tcW w:type="pct" w:w="3800"/>
            <w:tcMar>
              <w:top w:type="dxa" w:w="90"/>
              <w:left w:type="dxa" w:w="130"/>
              <w:bottom w:type="dxa" w:w="90"/>
              <w:right w:type="dxa" w:w="130"/>
            </w:tcMar>
          </w:tcPr>
          <w:p>
            <w:pPr>
              <w:spacing w:after="0"/>
            </w:pPr>
            <w:r>
              <w:rPr>
                <w:b w:val="false"/>
                <w:bCs w:val="false"/>
                <w:sz w:val="21"/>
                <w:szCs w:val="21"/>
              </w:rPr>
              <w:t xml:space="preserve">Skæringsdatoen. Perioder efter den regnes som budget og tælles ikke med.</w:t>
            </w:r>
          </w:p>
        </w:tc>
      </w:tr>
    </w:tbl>
    <w:p>
      <w:r>
        <w:br w:type="page"/>
      </w:r>
    </w:p>
    <w:p>
      <w:pPr>
        <w:pStyle w:val="Heading1"/>
        <w:spacing w:after="160" w:before="360"/>
      </w:pPr>
      <w:r>
        <w:rPr>
          <w:b/>
          <w:bCs/>
          <w:color w:val="1A4A7A"/>
          <w:sz w:val="32"/>
          <w:szCs w:val="32"/>
        </w:rPr>
        <w:t xml:space="preserve">13  Sådan bygges programmet igen</w:t>
      </w:r>
    </w:p>
    <w:p>
      <w:pPr>
        <w:spacing w:after="140"/>
      </w:pPr>
      <w:r>
        <w:rPr>
          <w:b w:val="false"/>
          <w:bCs w:val="false"/>
          <w:i w:val="false"/>
          <w:iCs w:val="false"/>
          <w:sz w:val="22"/>
          <w:szCs w:val="22"/>
        </w:rPr>
        <w:t xml:space="preserve">Dette kapitel er til den der skal vedligeholde værktøjet. Til daglig brug er det ikke nødvendigt.</w:t>
      </w:r>
    </w:p>
    <w:p>
      <w:pPr>
        <w:spacing w:after="140"/>
      </w:pPr>
      <w:r>
        <w:rPr>
          <w:b w:val="false"/>
          <w:bCs w:val="false"/>
          <w:i w:val="false"/>
          <w:iCs w:val="false"/>
          <w:sz w:val="22"/>
          <w:szCs w:val="22"/>
        </w:rPr>
        <w:t xml:space="preserve">Programfilen bygges af kildekoden med ét script. På den maskine der bygger, skal der være </w:t>
      </w:r>
      <w:r>
        <w:rPr>
          <w:b/>
          <w:bCs/>
          <w:i w:val="false"/>
          <w:iCs w:val="false"/>
          <w:sz w:val="22"/>
          <w:szCs w:val="22"/>
        </w:rPr>
        <w:t xml:space="preserve">Python 3.10 eller nyere</w:t>
      </w:r>
      <w:r>
        <w:rPr>
          <w:b w:val="false"/>
          <w:bCs w:val="false"/>
          <w:i w:val="false"/>
          <w:iCs w:val="false"/>
          <w:sz w:val="22"/>
          <w:szCs w:val="22"/>
        </w:rPr>
        <w:t xml:space="preserve"> installeret fra python.org — resten henter scriptet selv.</w:t>
      </w:r>
    </w:p>
    <w:p>
      <w:pPr>
        <w:shd w:fill="F2F2F2" w:val="clear"/>
        <w:spacing w:after="160" w:before="100"/>
        <w:ind w:left="288"/>
      </w:pPr>
      <w:r>
        <w:rPr>
          <w:rFonts w:ascii="Consolas" w:cs="Consolas" w:eastAsia="Consolas" w:hAnsi="Consolas"/>
          <w:sz w:val="19"/>
          <w:szCs w:val="19"/>
        </w:rPr>
        <w:t xml:space="preserve">python build_exe.py</w:t>
      </w:r>
      <w:r>
        <w:br/>
      </w:r>
      <w:r>
        <w:rPr>
          <w:rFonts w:ascii="Consolas" w:cs="Consolas" w:eastAsia="Consolas" w:hAnsi="Consolas"/>
          <w:sz w:val="19"/>
          <w:szCs w:val="19"/>
        </w:rPr>
        <w:t xml:space="preserve"/>
      </w:r>
      <w:r>
        <w:br/>
      </w:r>
      <w:r>
        <w:rPr>
          <w:rFonts w:ascii="Consolas" w:cs="Consolas" w:eastAsia="Consolas" w:hAnsi="Consolas"/>
          <w:sz w:val="19"/>
          <w:szCs w:val="19"/>
        </w:rPr>
        <w:t xml:space="preserve">eller på Windows: dobbeltklik byg_exe.bat</w:t>
      </w:r>
    </w:p>
    <w:p>
      <w:pPr>
        <w:spacing w:after="140"/>
      </w:pPr>
      <w:r>
        <w:rPr>
          <w:b w:val="false"/>
          <w:bCs w:val="false"/>
          <w:i w:val="false"/>
          <w:iCs w:val="false"/>
          <w:sz w:val="22"/>
          <w:szCs w:val="22"/>
        </w:rPr>
        <w:t xml:space="preserve">Resultatet lægges i mappen </w:t>
      </w:r>
      <w:r>
        <w:rPr>
          <w:b/>
          <w:bCs/>
          <w:i w:val="false"/>
          <w:iCs w:val="false"/>
          <w:sz w:val="22"/>
          <w:szCs w:val="22"/>
        </w:rPr>
        <w:t xml:space="preserve">dist</w:t>
      </w:r>
      <w:r>
        <w:rPr>
          <w:b w:val="false"/>
          <w:bCs w:val="false"/>
          <w:i w:val="false"/>
          <w:iCs w:val="false"/>
          <w:sz w:val="22"/>
          <w:szCs w:val="22"/>
        </w:rPr>
        <w:t xml:space="preserve">. Første byg tager et par minutter; derefter går det hurtigere.</w:t>
      </w:r>
    </w:p>
    <w:tbl>
      <w:tblPr>
        <w:tblW w:type="pct" w:w="5000"/>
        <w:tblBorders>
          <w:top w:val="single" w:color="C8D4E0" w:sz="1"/>
          <w:left w:val="single" w:color="C8D4E0" w:sz="1"/>
          <w:bottom w:val="single" w:color="C8D4E0" w:sz="1"/>
          <w:right w:val="single" w:color="C8D4E0" w:sz="1"/>
          <w:insideH w:val="single" w:color="C8D4E0" w:sz="1"/>
          <w:insideV w:val="single" w:color="C8D4E0" w:sz="1"/>
        </w:tblBorders>
      </w:tblPr>
      <w:tblGrid>
        <w:gridCol w:w="2166"/>
        <w:gridCol w:w="6860"/>
      </w:tblGrid>
      <w:tr>
        <w:trPr>
          <w:tblHeader/>
        </w:trPr>
        <w:tc>
          <w:tcPr>
            <w:tcW w:type="pct" w:w="1200"/>
            <w:shd w:fill="1A4A7A" w:val="clear"/>
            <w:tcMar>
              <w:top w:type="dxa" w:w="90"/>
              <w:left w:type="dxa" w:w="130"/>
              <w:bottom w:type="dxa" w:w="90"/>
              <w:right w:type="dxa" w:w="130"/>
            </w:tcMar>
          </w:tcPr>
          <w:p>
            <w:pPr>
              <w:spacing w:after="0"/>
            </w:pPr>
            <w:r>
              <w:rPr>
                <w:b/>
                <w:bCs/>
                <w:color w:val="FFFFFF"/>
                <w:sz w:val="21"/>
                <w:szCs w:val="21"/>
              </w:rPr>
              <w:t xml:space="preserve">Tilvalg</w:t>
            </w:r>
          </w:p>
        </w:tc>
        <w:tc>
          <w:tcPr>
            <w:tcW w:type="pct" w:w="3800"/>
            <w:shd w:fill="1A4A7A" w:val="clear"/>
            <w:tcMar>
              <w:top w:type="dxa" w:w="90"/>
              <w:left w:type="dxa" w:w="130"/>
              <w:bottom w:type="dxa" w:w="90"/>
              <w:right w:type="dxa" w:w="130"/>
            </w:tcMar>
          </w:tcPr>
          <w:p>
            <w:pPr>
              <w:spacing w:after="0"/>
            </w:pPr>
            <w:r>
              <w:rPr>
                <w:b/>
                <w:bCs/>
                <w:color w:val="FFFFFF"/>
                <w:sz w:val="21"/>
                <w:szCs w:val="21"/>
              </w:rPr>
              <w:t xml:space="preserve">Gør</w:t>
            </w:r>
          </w:p>
        </w:tc>
      </w:tr>
      <w:tr>
        <w:tc>
          <w:tcPr>
            <w:tcW w:type="pct" w:w="1200"/>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--mappe</w:t>
            </w:r>
          </w:p>
        </w:tc>
        <w:tc>
          <w:tcPr>
            <w:tcW w:type="pct" w:w="3800"/>
            <w:tcMar>
              <w:top w:type="dxa" w:w="90"/>
              <w:left w:type="dxa" w:w="130"/>
              <w:bottom w:type="dxa" w:w="90"/>
              <w:right w:type="dxa" w:w="130"/>
            </w:tcMar>
          </w:tcPr>
          <w:p>
            <w:pPr>
              <w:spacing w:after="0"/>
            </w:pPr>
            <w:r>
              <w:rPr>
                <w:b w:val="false"/>
                <w:bCs w:val="false"/>
                <w:sz w:val="21"/>
                <w:szCs w:val="21"/>
              </w:rPr>
              <w:t xml:space="preserve">bygger en mappe i stedet for én fil. Starter hurtigere, men hele mappen skal følge med.</w:t>
            </w:r>
          </w:p>
        </w:tc>
      </w:tr>
      <w:tr>
        <w:tc>
          <w:tcPr>
            <w:tcW w:type="pct" w:w="1200"/>
            <w:shd w:fill="F5F8FB" w:val="clear"/>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--spring-over</w:t>
            </w:r>
          </w:p>
        </w:tc>
        <w:tc>
          <w:tcPr>
            <w:tcW w:type="pct" w:w="3800"/>
            <w:shd w:fill="F5F8FB" w:val="clear"/>
            <w:tcMar>
              <w:top w:type="dxa" w:w="90"/>
              <w:left w:type="dxa" w:w="130"/>
              <w:bottom w:type="dxa" w:w="90"/>
              <w:right w:type="dxa" w:w="130"/>
            </w:tcMar>
          </w:tcPr>
          <w:p>
            <w:pPr>
              <w:spacing w:after="0"/>
            </w:pPr>
            <w:r>
              <w:rPr>
                <w:b w:val="false"/>
                <w:bCs w:val="false"/>
                <w:sz w:val="21"/>
                <w:szCs w:val="21"/>
              </w:rPr>
              <w:t xml:space="preserve">installerer ikke afhængigheder først.</w:t>
            </w:r>
          </w:p>
        </w:tc>
      </w:tr>
      <w:tr>
        <w:tc>
          <w:tcPr>
            <w:tcW w:type="pct" w:w="1200"/>
            <w:tcMar>
              <w:top w:type="dxa" w:w="90"/>
              <w:left w:type="dxa" w:w="130"/>
              <w:bottom w:type="dxa" w:w="90"/>
              <w:right w:type="dxa" w:w="130"/>
            </w:tcMar>
          </w:tcPr>
          <w:p>
            <w:pPr>
              <w:spacing w:after="0"/>
            </w:pPr>
            <w:r>
              <w:rPr>
                <w:rFonts w:ascii="Consolas" w:cs="Consolas" w:eastAsia="Consolas" w:hAnsi="Consolas"/>
                <w:b w:val="false"/>
                <w:bCs w:val="false"/>
                <w:sz w:val="19"/>
                <w:szCs w:val="19"/>
              </w:rPr>
              <w:t xml:space="preserve">--behold</w:t>
            </w:r>
          </w:p>
        </w:tc>
        <w:tc>
          <w:tcPr>
            <w:tcW w:type="pct" w:w="3800"/>
            <w:tcMar>
              <w:top w:type="dxa" w:w="90"/>
              <w:left w:type="dxa" w:w="130"/>
              <w:bottom w:type="dxa" w:w="90"/>
              <w:right w:type="dxa" w:w="130"/>
            </w:tcMar>
          </w:tcPr>
          <w:p>
            <w:pPr>
              <w:spacing w:after="0"/>
            </w:pPr>
            <w:r>
              <w:rPr>
                <w:b w:val="false"/>
                <w:bCs w:val="false"/>
                <w:sz w:val="21"/>
                <w:szCs w:val="21"/>
              </w:rPr>
              <w:t xml:space="preserve">rydder ikke op bagefter — til fejlsøgning.</w:t>
            </w:r>
          </w:p>
        </w:tc>
      </w:tr>
    </w:tbl>
    <w:p>
      <w:pPr>
        <w:spacing w:after="200"/>
      </w:pPr>
      <w:r>
        <w:t xml:space="preserve"/>
      </w:r>
    </w:p>
    <w:p>
      <w:pPr>
        <w:pBdr>
          <w:top w:val="single" w:color="E8D48B" w:sz="2"/>
          <w:left w:val="single" w:color="E8B44B" w:sz="12"/>
          <w:bottom w:val="single" w:color="E8D48B" w:sz="2"/>
          <w:right w:val="single" w:color="E8D48B" w:sz="2"/>
        </w:pBdr>
        <w:shd w:fill="FFF8E1" w:val="clear"/>
        <w:spacing w:after="180" w:before="140"/>
        <w:ind w:left="172" w:right="172"/>
      </w:pPr>
      <w:r>
        <w:rPr>
          <w:b/>
          <w:bCs/>
          <w:sz w:val="21"/>
          <w:szCs w:val="21"/>
        </w:rPr>
        <w:t xml:space="preserve">Vigtigt:  </w:t>
      </w:r>
      <w:r>
        <w:rPr>
          <w:sz w:val="21"/>
          <w:szCs w:val="21"/>
        </w:rPr>
        <w:t xml:space="preserve">PyInstaller kan ikke bygge på tværs af styresystemer. En Windows-exe skal bygges på en Windows-maskine, og et Mac-program på en Mac.</w:t>
      </w:r>
    </w:p>
    <w:p>
      <w:pPr>
        <w:spacing w:after="140"/>
      </w:pPr>
      <w:r>
        <w:rPr>
          <w:b w:val="false"/>
          <w:bCs w:val="false"/>
          <w:i w:val="false"/>
          <w:iCs w:val="false"/>
          <w:sz w:val="22"/>
          <w:szCs w:val="22"/>
        </w:rPr>
        <w:t xml:space="preserve">Beregningen kan også bruges uden brugerfladen — fra et script eller en notebook — hvis der en dag skal laves noget andet med de samme tal. Det er beskrevet i projektets README sammen med testene.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Kundesegmentering  ·  side </w:t>
    </w:r>
    <w:r>
      <w:rPr>
        <w:color w:val="555555"/>
        <w:sz w:val="18"/>
        <w:szCs w:val="18"/>
      </w:rPr>
      <w:fldChar w:fldCharType="begin"/>
    </w:r>
    <w:r>
      <w:rPr>
        <w:color w:val="555555"/>
        <w:sz w:val="18"/>
        <w:szCs w:val="18"/>
      </w:rPr>
      <w:instrText xml:space="preserve">PAGE</w:instrText>
    </w:r>
    <w:r>
      <w:rPr>
        <w:color w:val="555555"/>
        <w:sz w:val="18"/>
        <w:szCs w:val="18"/>
      </w:rPr>
      <w:fldChar w:fldCharType="separate"/>
    </w:r>
    <w:r>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58a4908b897274452d63ec4a49d6e20b7af437c.png"/><Relationship Id="rId9" Type="http://schemas.openxmlformats.org/officeDocument/2006/relationships/image" Target="media/f6cb1fad795c6307f8cb942cad011f1724421315.png"/><Relationship Id="rId10" Type="http://schemas.openxmlformats.org/officeDocument/2006/relationships/image" Target="media/58982250987e646401131079b2e53d7f20cebe7a.png"/><Relationship Id="rId11" Type="http://schemas.openxmlformats.org/officeDocument/2006/relationships/image" Target="media/98bc33d29a81598bbb5ee8f522fc3137b02db702.png"/><Relationship Id="rId12" Type="http://schemas.openxmlformats.org/officeDocument/2006/relationships/image" Target="media/2e4d66a77edc533ad5a32a12364b67b07697b18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Kundesegmentering – introduktion</dc:title>
  <dc:creator>Kundesegmentering</dc:creator>
  <dc:description>Sådan virker kundesegmenteringen</dc:description>
  <cp:lastModifiedBy>Un-named</cp:lastModifiedBy>
  <cp:revision>1</cp:revision>
  <dcterms:created xsi:type="dcterms:W3CDTF">2026-10-29T13:21:13.050Z</dcterms:created>
  <dcterms:modified xsi:type="dcterms:W3CDTF">2026-10-29T13:21:13.050Z</dcterms:modified>
</cp:coreProperties>
</file>

<file path=docProps/custom.xml><?xml version="1.0" encoding="utf-8"?>
<Properties xmlns="http://schemas.openxmlformats.org/officeDocument/2006/custom-properties" xmlns:vt="http://schemas.openxmlformats.org/officeDocument/2006/docPropsVTypes"/>
</file>