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15.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analyse-log.txt</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Hver kundegruppe bliver én af tre typer: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Seneste aktivitet ligger inden for “Eksisterende kunde vindue” bagud fra dags dato — typisk 24 måneder.</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Ny</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Aktivitet kun i det angivne ny-regnskabsår, og ingen tidligere historik.</w:t>
            </w:r>
          </w:p>
        </w:tc>
      </w:tr>
      <w:tr>
        <w:tc>
          <w:tcPr>
            <w:tcW w:type="pct" w:w="22%"/>
            <w:tcMar>
              <w:top w:type="dxa" w:w="90"/>
              <w:left w:type="dxa" w:w="130"/>
              <w:bottom w:type="dxa" w:w="90"/>
              <w:right w:type="dxa" w:w="130"/>
            </w:tcMar>
          </w:tcPr>
          <w:p>
            <w:pPr>
              <w:spacing w:after="0"/>
            </w:pPr>
            <w:r>
              <w:rPr>
                <w:b w:val="false"/>
                <w:bCs w:val="false"/>
                <w:sz w:val="21"/>
                <w:szCs w:val="21"/>
              </w:rPr>
              <w:t xml:space="preserve">Tidligere</w:t>
            </w:r>
          </w:p>
        </w:tc>
        <w:tc>
          <w:tcPr>
            <w:tcW w:type="pct" w:w="78%"/>
            <w:tcMar>
              <w:top w:type="dxa" w:w="90"/>
              <w:left w:type="dxa" w:w="130"/>
              <w:bottom w:type="dxa" w:w="90"/>
              <w:right w:type="dxa" w:w="130"/>
            </w:tcMar>
          </w:tcPr>
          <w:p>
            <w:pPr>
              <w:spacing w:after="0"/>
            </w:pPr>
            <w:r>
              <w:rPr>
                <w:b w:val="false"/>
                <w:bCs w:val="false"/>
                <w:sz w:val="21"/>
                <w:szCs w:val="21"/>
              </w:rPr>
              <w:t xml:space="preserve">Al aktivitet ligger uden for begge ovenstående vinduer.</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ÅÅÅÅ/ÅÅÅÅ, fx 2026/2027, og skal stemme nøjagtigt overens med det der står i kolonnen “Fiscal year”. Gør det ikke det, findes der ingen nye kunder overhovedet.</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w:t>
            </w:r>
          </w:p>
        </w:tc>
        <w:tc>
          <w:tcPr>
            <w:tcW w:type="pct" w:w="18%"/>
            <w:tcMar>
              <w:top w:type="dxa" w:w="90"/>
              <w:left w:type="dxa" w:w="130"/>
              <w:bottom w:type="dxa" w:w="90"/>
              <w:right w:type="dxa" w:w="130"/>
            </w:tcMar>
          </w:tcPr>
          <w:p>
            <w:pPr>
              <w:spacing w:after="0"/>
            </w:pPr>
            <w:r>
              <w:rPr>
                <w:b w:val="false"/>
                <w:bCs w:val="false"/>
                <w:sz w:val="21"/>
                <w:szCs w:val="21"/>
              </w:rPr>
              <w:t xml:space="preserve">—</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dobbeltklik viser kun det ene.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I mappen ligger også </w:t>
      </w:r>
      <w:r>
        <w:rPr>
          <w:b/>
          <w:bCs/>
          <w:i w:val="false"/>
          <w:iCs w:val="false"/>
          <w:sz w:val="22"/>
          <w:szCs w:val="22"/>
        </w:rPr>
        <w:t xml:space="preserve">analyse-log.txt</w:t>
      </w:r>
      <w:r>
        <w:rPr>
          <w:b w:val="false"/>
          <w:bCs w:val="false"/>
          <w:i w:val="false"/>
          <w:iCs w:val="false"/>
          <w:sz w:val="22"/>
          <w:szCs w:val="22"/>
        </w:rPr>
        <w:t xml:space="preserve"> med hele udskriften fra kørslen. Den er der til at slå op i når noget ser forkert ud.</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faner pr. udsnit, og hvor detaljeret de er, styres af indstillingen </w:t>
      </w:r>
      <w:r>
        <w:rPr>
          <w:b/>
          <w:bCs/>
          <w:i w:val="false"/>
          <w:iCs w:val="false"/>
          <w:sz w:val="22"/>
          <w:szCs w:val="22"/>
        </w:rPr>
        <w:t xml:space="preserve">Excel-detaljeringsgrad</w:t>
      </w:r>
      <w:r>
        <w:rPr>
          <w:b w:val="false"/>
          <w:bCs w:val="false"/>
          <w:i w:val="false"/>
          <w:iCs w:val="false"/>
          <w:sz w:val="22"/>
          <w:szCs w:val="22"/>
        </w:rPr>
        <w:t xml:space="preserv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Grad</w:t>
            </w:r>
          </w:p>
        </w:tc>
        <w:tc>
          <w:tcPr>
            <w:tcW w:type="pct" w:w="80%"/>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minimal</w:t>
            </w:r>
          </w:p>
        </w:tc>
        <w:tc>
          <w:tcPr>
            <w:tcW w:type="pct" w:w="80%"/>
            <w:tcMar>
              <w:top w:type="dxa" w:w="90"/>
              <w:left w:type="dxa" w:w="130"/>
              <w:bottom w:type="dxa" w:w="90"/>
              <w:right w:type="dxa" w:w="130"/>
            </w:tcMar>
          </w:tcPr>
          <w:p>
            <w:pPr>
              <w:spacing w:after="0"/>
            </w:pPr>
            <w:r>
              <w:rPr>
                <w:b w:val="false"/>
                <w:bCs w:val="false"/>
                <w:sz w:val="21"/>
                <w:szCs w:val="21"/>
              </w:rPr>
              <w:t xml:space="preserve">kun det absolut nødvendige — kunde, akser, kategori</w:t>
            </w:r>
          </w:p>
        </w:tc>
      </w:tr>
      <w:tr>
        <w:tc>
          <w:tcPr>
            <w:tcW w:type="pct" w:w="2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kompakt</w:t>
            </w:r>
          </w:p>
        </w:tc>
        <w:tc>
          <w:tcPr>
            <w:tcW w:type="pct" w:w="80%"/>
            <w:shd w:fill="F5F8FB" w:val="clear"/>
            <w:tcMar>
              <w:top w:type="dxa" w:w="90"/>
              <w:left w:type="dxa" w:w="130"/>
              <w:bottom w:type="dxa" w:w="90"/>
              <w:right w:type="dxa" w:w="130"/>
            </w:tcMar>
          </w:tcPr>
          <w:p>
            <w:pPr>
              <w:spacing w:after="0"/>
            </w:pPr>
            <w:r>
              <w:rPr>
                <w:b w:val="false"/>
                <w:bCs w:val="false"/>
                <w:sz w:val="21"/>
                <w:szCs w:val="21"/>
              </w:rPr>
              <w:t xml:space="preserve">de samlede tal pr. kundegruppe (anbefalet)</w:t>
            </w:r>
          </w:p>
        </w:tc>
      </w:tr>
      <w:tr>
        <w:tc>
          <w:tcPr>
            <w:tcW w:type="pct" w:w="2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fuld</w:t>
            </w:r>
          </w:p>
        </w:tc>
        <w:tc>
          <w:tcPr>
            <w:tcW w:type="pct" w:w="80%"/>
            <w:tcMar>
              <w:top w:type="dxa" w:w="90"/>
              <w:left w:type="dxa" w:w="130"/>
              <w:bottom w:type="dxa" w:w="90"/>
              <w:right w:type="dxa" w:w="130"/>
            </w:tcMar>
          </w:tcPr>
          <w:p>
            <w:pPr>
              <w:spacing w:after="0"/>
            </w:pPr>
            <w:r>
              <w:rPr>
                <w:b w:val="false"/>
                <w:bCs w:val="false"/>
                <w:sz w:val="21"/>
                <w:szCs w:val="21"/>
              </w:rPr>
              <w:t xml:space="preserve">alle kolonner, inklusive gennemsnitstal pr. kundegruppe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og basisnavn på filerne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Akser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linear eller logaritmisk skala, kategori-grænser, volumenområder</w:t>
            </w:r>
          </w:p>
        </w:tc>
      </w:tr>
      <w:tr>
        <w:tc>
          <w:tcPr>
            <w:tcW w:type="pct" w:w="30%"/>
            <w:tcMar>
              <w:top w:type="dxa" w:w="90"/>
              <w:left w:type="dxa" w:w="130"/>
              <w:bottom w:type="dxa" w:w="90"/>
              <w:right w:type="dxa" w:w="130"/>
            </w:tcMar>
          </w:tcPr>
          <w:p>
            <w:pPr>
              <w:spacing w:after="0"/>
            </w:pPr>
            <w:r>
              <w:rPr>
                <w:b w:val="false"/>
                <w:bCs w:val="false"/>
                <w:sz w:val="21"/>
                <w:szCs w:val="21"/>
              </w:rPr>
              <w:t xml:space="preserve">Output</w:t>
            </w:r>
          </w:p>
        </w:tc>
        <w:tc>
          <w:tcPr>
            <w:tcW w:type="pct" w:w="70%"/>
            <w:tcMar>
              <w:top w:type="dxa" w:w="90"/>
              <w:left w:type="dxa" w:w="130"/>
              <w:bottom w:type="dxa" w:w="90"/>
              <w:right w:type="dxa" w:w="130"/>
            </w:tcMar>
          </w:tcPr>
          <w:p>
            <w:pPr>
              <w:spacing w:after="0"/>
            </w:pPr>
            <w:r>
              <w:rPr>
                <w:b w:val="false"/>
                <w:bCs w:val="false"/>
                <w:sz w:val="21"/>
                <w:szCs w:val="21"/>
              </w:rPr>
              <w:t xml:space="preserve">Excel-detaljeringsgrad</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2026/2027.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Uanset hvad står hele udskriften fra kørslen i </w:t>
      </w:r>
      <w:r>
        <w:rPr>
          <w:b/>
          <w:bCs/>
          <w:i w:val="false"/>
          <w:iCs w:val="false"/>
          <w:sz w:val="22"/>
          <w:szCs w:val="22"/>
        </w:rPr>
        <w:t xml:space="preserve">analyse-log.txt</w:t>
      </w:r>
      <w:r>
        <w:rPr>
          <w:b w:val="false"/>
          <w:bCs w:val="false"/>
          <w:i w:val="false"/>
          <w:iCs w:val="false"/>
          <w:sz w:val="22"/>
          <w:szCs w:val="22"/>
        </w:rPr>
        <w:t xml:space="preserve"> i mappen med resultatet.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2026-09-15T19:25:09.021Z</dcterms:created>
  <dcterms:modified xsi:type="dcterms:W3CDTF">2026-09-15T19:25:09.021Z</dcterms:modified>
</cp:coreProperties>
</file>

<file path=docProps/custom.xml><?xml version="1.0" encoding="utf-8"?>
<Properties xmlns="http://schemas.openxmlformats.org/officeDocument/2006/custom-properties" xmlns:vt="http://schemas.openxmlformats.org/officeDocument/2006/docPropsVTypes"/>
</file>