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27.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pStyle w:val="Heading2"/>
        <w:spacing w:after="100" w:before="260"/>
      </w:pPr>
      <w:r>
        <w:rPr>
          <w:b/>
          <w:bCs/>
          <w:color w:val="2A5A8A"/>
          <w:sz w:val="24"/>
          <w:szCs w:val="24"/>
        </w:rPr>
        <w:t xml:space="preserve">Adgangskoden</w:t>
      </w:r>
    </w:p>
    <w:p>
      <w:pPr>
        <w:spacing w:after="140"/>
      </w:pPr>
      <w:r>
        <w:rPr>
          <w:b w:val="false"/>
          <w:bCs w:val="false"/>
          <w:i w:val="false"/>
          <w:iCs w:val="false"/>
          <w:sz w:val="22"/>
          <w:szCs w:val="22"/>
        </w:rPr>
        <w:t xml:space="preserve">Først kommer en lille boks der beder om en adgangskode. Tastes den rigtigt, åbner programmet; ellers lukker det efter tre forsøg. Koden får du af den der har givet dig programmet. Store og små bogstaver er uden betydning.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Hvad koden er — og ikke er:  </w:t>
      </w:r>
      <w:r>
        <w:rPr>
          <w:sz w:val="21"/>
          <w:szCs w:val="21"/>
        </w:rPr>
        <w:t xml:space="preserve">den holder programmet fra at blive åbnet af nogen der ikke skal bruge det. Den beskytter ikke data: selve Excel-filen og de mapper programmet skriver i er ikke låst, og den der kan køre programmet kan også prøve sig frem. Betragt den som en dørklokke, ikke som en lås.</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tcMar>
              <w:top w:type="dxa" w:w="90"/>
              <w:left w:type="dxa" w:w="130"/>
              <w:bottom w:type="dxa" w:w="90"/>
              <w:right w:type="dxa" w:w="130"/>
            </w:tcMar>
          </w:tcPr>
          <w:p>
            <w:pPr>
              <w:spacing w:after="0"/>
            </w:pPr>
            <w:r>
              <w:rPr>
                <w:b w:val="false"/>
                <w:bCs w:val="false"/>
                <w:sz w:val="21"/>
                <w:szCs w:val="21"/>
              </w:rPr>
              <w:t xml:space="preserve">Kostpris.</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Rammer det så de tidligere kunder?</w:t>
      </w:r>
    </w:p>
    <w:p>
      <w:pPr>
        <w:spacing w:after="140"/>
      </w:pPr>
      <w:r>
        <w:rPr>
          <w:b w:val="false"/>
          <w:bCs w:val="false"/>
          <w:i w:val="false"/>
          <w:iCs w:val="false"/>
          <w:sz w:val="22"/>
          <w:szCs w:val="22"/>
        </w:rPr>
        <w:t xml:space="preserve">Nej. Det er det første man frygter, når man hører at gamle varer sorteres fra — for en tidligere kunde er jo netop en hvis handel ligger tilbage i tiden. Men vinduet er </w:t>
      </w:r>
      <w:r>
        <w:rPr>
          <w:b/>
          <w:bCs/>
          <w:i w:val="false"/>
          <w:iCs w:val="false"/>
          <w:sz w:val="22"/>
          <w:szCs w:val="22"/>
        </w:rPr>
        <w:t xml:space="preserve">ikke</w:t>
      </w:r>
      <w:r>
        <w:rPr>
          <w:b w:val="false"/>
          <w:bCs w:val="false"/>
          <w:i w:val="false"/>
          <w:iCs w:val="false"/>
          <w:sz w:val="22"/>
          <w:szCs w:val="22"/>
        </w:rPr>
        <w:t xml:space="preserve"> låst til kalenderen. Det lægges 12 måneder bagud fra </w:t>
      </w:r>
      <w:r>
        <w:rPr>
          <w:b/>
          <w:bCs/>
          <w:i w:val="false"/>
          <w:iCs w:val="false"/>
          <w:sz w:val="22"/>
          <w:szCs w:val="22"/>
        </w:rPr>
        <w:t xml:space="preserve">den enkelte kundes egen seneste aktivitet</w:t>
      </w:r>
      <w:r>
        <w:rPr>
          <w:b w:val="false"/>
          <w:bCs w:val="false"/>
          <w:i w:val="false"/>
          <w:iCs w:val="false"/>
          <w:sz w:val="22"/>
          <w:szCs w:val="22"/>
        </w:rPr>
        <w:t xml:space="preserve">, og det gælder alle kunder, uanset type.</w:t>
      </w:r>
    </w:p>
    <w:p>
      <w:pPr>
        <w:spacing w:after="60" w:before="200"/>
        <w:jc w:val="center"/>
      </w:pPr>
      <w:r>
        <w:drawing>
          <wp:inline distT="0" distB="0" distL="0" distR="0">
            <wp:extent cx="56007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4276725"/>
                    </a:xfrm>
                    <a:prstGeom prst="rect">
                      <a:avLst/>
                    </a:prstGeom>
                  </pic:spPr>
                </pic:pic>
              </a:graphicData>
            </a:graphic>
          </wp:inline>
        </w:drawing>
      </w:r>
    </w:p>
    <w:p>
      <w:pPr>
        <w:spacing w:after="220"/>
        <w:jc w:val="center"/>
      </w:pPr>
      <w:r>
        <w:rPr>
          <w:i/>
          <w:iCs/>
          <w:color w:val="555555"/>
          <w:sz w:val="19"/>
          <w:szCs w:val="19"/>
        </w:rPr>
        <w:t xml:space="preserve">Figur 3 — Hver kunde får sit eget vindue. Nederst ses hvad der ville ske hvis vinduet i stedet lå fast på dags dato.</w:t>
      </w:r>
    </w:p>
    <w:p>
      <w:pPr>
        <w:spacing w:after="140"/>
      </w:pPr>
      <w:r>
        <w:rPr>
          <w:b w:val="false"/>
          <w:bCs w:val="false"/>
          <w:i w:val="false"/>
          <w:iCs w:val="false"/>
          <w:sz w:val="22"/>
          <w:szCs w:val="22"/>
        </w:rPr>
        <w:t xml:space="preserve">En tidligere kunde bliver altså målt på sine egne sidste 12 handelsmåneder, præcis som en aktiv kunde bliver målt på sine. Begge mister det de handlede før det — samme regel, samme udfald.</w:t>
      </w:r>
    </w:p>
    <w:p>
      <w:pPr>
        <w:spacing w:after="140"/>
      </w:pPr>
      <w:r>
        <w:rPr>
          <w:b w:val="false"/>
          <w:bCs w:val="false"/>
          <w:i w:val="false"/>
          <w:iCs w:val="false"/>
          <w:sz w:val="22"/>
          <w:szCs w:val="22"/>
        </w:rPr>
        <w:t xml:space="preserve">Havde vinduet ligget fast på dags dato, ville billedet være et helt andet: så ville en kunde der stoppede for fire år siden ikke have en eneste vare inden for vinduet, og hele kunden ville forsvinde ud af analysen. Det er lige netop dét, forankringen i kunden forhindrer.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Og kundetypen flytter sig ikke:  </w:t>
      </w:r>
      <w:r>
        <w:rPr>
          <w:sz w:val="21"/>
          <w:szCs w:val="21"/>
        </w:rPr>
        <w:t xml:space="preserve">den vare der bærer kundens seneste aktivitet er per definition inde i kundens eget vindue, så den overlever altid filteret. Derfor kan frasorteringen aldrig ændre hvornår en kunde sidst handlede — og dermed heller ikke om den er Eksisterende, Ny eller Tidligere.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To perioder afgør det hele, og begge regnes ud fra </w:t>
      </w:r>
      <w:r>
        <w:rPr>
          <w:b/>
          <w:bCs/>
          <w:i w:val="false"/>
          <w:iCs w:val="false"/>
          <w:sz w:val="22"/>
          <w:szCs w:val="22"/>
        </w:rPr>
        <w:t xml:space="preserve">datoerne i data</w:t>
      </w:r>
      <w:r>
        <w:rPr>
          <w:b w:val="false"/>
          <w:bCs w:val="false"/>
          <w:i w:val="false"/>
          <w:iCs w:val="false"/>
          <w:sz w:val="22"/>
          <w:szCs w:val="22"/>
        </w:rPr>
        <w:t xml:space="preserve">. Kolonnen “Fiscal year” bruges ikke længere: den kunne være skrevet “2026/27” ét sted og “2026/2027” et andet, og så faldt en ny kunde stiltiende ned i “Eksisterende”.</w:t>
      </w:r>
    </w:p>
    <w:p>
      <w:pPr>
        <w:pStyle w:val="ListParagraph"/>
        <w:numPr>
          <w:ilvl w:val="0"/>
          <w:numId w:val="1"/>
        </w:numPr>
        <w:spacing w:after="60"/>
      </w:pPr>
      <w:r>
        <w:rPr>
          <w:b/>
          <w:bCs/>
          <w:sz w:val="22"/>
          <w:szCs w:val="22"/>
        </w:rPr>
        <w:t xml:space="preserve">Ny-regnskabsåret</w:t>
      </w:r>
      <w:r>
        <w:rPr>
          <w:b w:val="false"/>
          <w:bCs w:val="false"/>
          <w:sz w:val="22"/>
          <w:szCs w:val="22"/>
        </w:rPr>
        <w:t xml:space="preserve"> løber fra sin startmåned og tolv måneder frem. Begynder året i maj, er 2026/27 altså 05-2026 til og med 04-2027.</w:t>
      </w:r>
    </w:p>
    <w:p>
      <w:pPr>
        <w:pStyle w:val="ListParagraph"/>
        <w:numPr>
          <w:ilvl w:val="0"/>
          <w:numId w:val="1"/>
        </w:numPr>
        <w:spacing w:after="60"/>
      </w:pPr>
      <w:r>
        <w:rPr>
          <w:b/>
          <w:bCs/>
          <w:sz w:val="22"/>
          <w:szCs w:val="22"/>
        </w:rPr>
        <w:t xml:space="preserve">Eksisterende-vinduet</w:t>
      </w:r>
      <w:r>
        <w:rPr>
          <w:b w:val="false"/>
          <w:bCs w:val="false"/>
          <w:sz w:val="22"/>
          <w:szCs w:val="22"/>
        </w:rPr>
        <w:t xml:space="preserve"> er N måneder bagud fra dags dato, typisk 24. Med dags dato 09-2026 er det 09-2024 til og med 09-2026.</w:t>
      </w:r>
    </w:p>
    <w:p>
      <w:pPr>
        <w:spacing w:after="140"/>
      </w:pPr>
      <w:r>
        <w:rPr>
          <w:b w:val="false"/>
          <w:bCs w:val="false"/>
          <w:i w:val="false"/>
          <w:iCs w:val="false"/>
          <w:sz w:val="22"/>
          <w:szCs w:val="22"/>
        </w:rPr>
        <w:t xml:space="preserve">De to perioder </w:t>
      </w:r>
      <w:r>
        <w:rPr>
          <w:b/>
          <w:bCs/>
          <w:i w:val="false"/>
          <w:iCs w:val="false"/>
          <w:sz w:val="22"/>
          <w:szCs w:val="22"/>
        </w:rPr>
        <w:t xml:space="preserve">overlapper</w:t>
      </w:r>
      <w:r>
        <w:rPr>
          <w:b w:val="false"/>
          <w:bCs w:val="false"/>
          <w:i w:val="false"/>
          <w:iCs w:val="false"/>
          <w:sz w:val="22"/>
          <w:szCs w:val="22"/>
        </w:rPr>
        <w:t xml:space="preserve"> — her fra 05-2026 og frem. Derfor afgøres typen i en fast rækkefølge: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Ny</w:t>
            </w:r>
          </w:p>
        </w:tc>
        <w:tc>
          <w:tcPr>
            <w:tcW w:type="pct" w:w="78%"/>
            <w:tcMar>
              <w:top w:type="dxa" w:w="90"/>
              <w:left w:type="dxa" w:w="130"/>
              <w:bottom w:type="dxa" w:w="90"/>
              <w:right w:type="dxa" w:w="130"/>
            </w:tcMar>
          </w:tcPr>
          <w:p>
            <w:pPr>
              <w:spacing w:after="0"/>
            </w:pPr>
            <w:r>
              <w:rPr>
                <w:b w:val="false"/>
                <w:bCs w:val="false"/>
                <w:sz w:val="21"/>
                <w:szCs w:val="21"/>
              </w:rPr>
              <w:t xml:space="preserve">HELE kundens historik ligger inden for ny-regnskabsåret. Det er ikke nok at den seneste handel gør det.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Genopstået</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Handler i ny-året, men har ikke handlet i vinduet i tiden op til året begyndte. Kunden har ligget stille og er tilbage.</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Ikke ny eller genopstået, men mindst én handel ligger inden for eksisterende-vinduet.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Tidligere</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Al aktivitet ligger før vinduet.</w:t>
            </w:r>
          </w:p>
        </w:tc>
      </w:tr>
    </w:tbl>
    <w:p>
      <w:pPr>
        <w:spacing w:after="60" w:before="200"/>
        <w:jc w:val="center"/>
      </w:pPr>
      <w:r>
        <w:drawing>
          <wp:inline distT="0" distB="0" distL="0" distR="0">
            <wp:extent cx="56007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3581400"/>
                    </a:xfrm>
                    <a:prstGeom prst="rect">
                      <a:avLst/>
                    </a:prstGeom>
                  </pic:spPr>
                </pic:pic>
              </a:graphicData>
            </a:graphic>
          </wp:inline>
        </w:drawing>
      </w:r>
    </w:p>
    <w:p>
      <w:pPr>
        <w:spacing w:after="220"/>
        <w:jc w:val="center"/>
      </w:pPr>
      <w:r>
        <w:rPr>
          <w:i/>
          <w:iCs/>
          <w:color w:val="555555"/>
          <w:sz w:val="19"/>
          <w:szCs w:val="19"/>
        </w:rPr>
        <w:t xml:space="preserve">Figur 4 — De fem tilfælde. De to perioder overlapper, og rækkefølgen af reglerne afgør hvad der sker i overlappet.</w:t>
      </w:r>
    </w:p>
    <w:p>
      <w:pPr>
        <w:spacing w:after="140"/>
      </w:pPr>
      <w:r>
        <w:rPr>
          <w:b w:val="false"/>
          <w:bCs w:val="false"/>
          <w:i w:val="false"/>
          <w:iCs w:val="false"/>
          <w:sz w:val="22"/>
          <w:szCs w:val="22"/>
        </w:rPr>
        <w:t xml:space="preserve">Kunde C er den genopståede. Den handlede i 2023 og igen i 2026, altså med tre års pause. Den er </w:t>
      </w:r>
      <w:r>
        <w:rPr>
          <w:b/>
          <w:bCs/>
          <w:i w:val="false"/>
          <w:iCs w:val="false"/>
          <w:sz w:val="22"/>
          <w:szCs w:val="22"/>
        </w:rPr>
        <w:t xml:space="preserve">ikke</w:t>
      </w:r>
      <w:r>
        <w:rPr>
          <w:b w:val="false"/>
          <w:bCs w:val="false"/>
          <w:i w:val="false"/>
          <w:iCs w:val="false"/>
          <w:sz w:val="22"/>
          <w:szCs w:val="22"/>
        </w:rPr>
        <w:t xml:space="preserve"> ny — en kunde man har handlet med før er ikke en ny kunde — og den er heller ikke tidligere, for den handler jo igen.</w:t>
      </w:r>
    </w:p>
    <w:p>
      <w:pPr>
        <w:spacing w:after="140"/>
      </w:pPr>
      <w:r>
        <w:rPr>
          <w:b w:val="false"/>
          <w:bCs w:val="false"/>
          <w:i w:val="false"/>
          <w:iCs w:val="false"/>
          <w:sz w:val="22"/>
          <w:szCs w:val="22"/>
        </w:rPr>
        <w:t xml:space="preserve">Forskellen på </w:t>
      </w:r>
      <w:r>
        <w:rPr>
          <w:b/>
          <w:bCs/>
          <w:i w:val="false"/>
          <w:iCs w:val="false"/>
          <w:sz w:val="22"/>
          <w:szCs w:val="22"/>
        </w:rPr>
        <w:t xml:space="preserve">Genopstået</w:t>
      </w:r>
      <w:r>
        <w:rPr>
          <w:b w:val="false"/>
          <w:bCs w:val="false"/>
          <w:i w:val="false"/>
          <w:iCs w:val="false"/>
          <w:sz w:val="22"/>
          <w:szCs w:val="22"/>
        </w:rPr>
        <w:t xml:space="preserve"> og </w:t>
      </w:r>
      <w:r>
        <w:rPr>
          <w:b/>
          <w:bCs/>
          <w:i w:val="false"/>
          <w:iCs w:val="false"/>
          <w:sz w:val="22"/>
          <w:szCs w:val="22"/>
        </w:rPr>
        <w:t xml:space="preserve">Eksisterende</w:t>
      </w:r>
      <w:r>
        <w:rPr>
          <w:b w:val="false"/>
          <w:bCs w:val="false"/>
          <w:i w:val="false"/>
          <w:iCs w:val="false"/>
          <w:sz w:val="22"/>
          <w:szCs w:val="22"/>
        </w:rPr>
        <w:t xml:space="preserve"> er hullet. To kunder kan begge have handlet i sidste måned og begge have gammel historik; den ene har handlet støt hele vejen, den anden har ikke rørt os i årevis. Det er to forskellige situationer for en sælger, og de har derfor hver sin farve på kundegruppe-grafen.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I praksis:  </w:t>
      </w:r>
      <w:r>
        <w:rPr>
          <w:sz w:val="21"/>
          <w:szCs w:val="21"/>
        </w:rPr>
        <w:t xml:space="preserve">måneder efter dags dato er budgettal og sorteres fra i trin 1. Den del af ny-regnskabsåret der ligger ude i fremtiden kan derfor ikke gøre nogen til en ny kunde — reelt er ny-året 05-2026 til 09-2026.</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 fx 2026/27 — samme form som salgsudtrækket bruger. Hvilken måned året begynder i sættes under Indstillinger → Kundetyper; som udgangspunkt er det maj.</w:t>
      </w:r>
    </w:p>
    <w:p>
      <w:pPr>
        <w:pStyle w:val="Heading2"/>
        <w:spacing w:after="100" w:before="260"/>
      </w:pPr>
      <w:r>
        <w:rPr>
          <w:b/>
          <w:bCs/>
          <w:color w:val="2A5A8A"/>
          <w:sz w:val="24"/>
          <w:szCs w:val="24"/>
        </w:rPr>
        <w:t xml:space="preserve">Trin 4 — Gross Margin % pr. vare</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5 — Samme to varer, samme data. Forankringen afgør hvilken periode hver vare måles over.</w:t>
      </w:r>
    </w:p>
    <w:p>
      <w:pPr>
        <w:pStyle w:val="Heading2"/>
        <w:spacing w:after="100" w:before="260"/>
      </w:pPr>
      <w:r>
        <w:rPr>
          <w:b/>
          <w:bCs/>
          <w:color w:val="2A5A8A"/>
          <w:sz w:val="24"/>
          <w:szCs w:val="24"/>
        </w:rPr>
        <w:t xml:space="preserve">Trin 6 — GM%-grænser</w:t>
      </w:r>
    </w:p>
    <w:p>
      <w:pPr>
        <w:spacing w:after="140"/>
      </w:pPr>
      <w:r>
        <w:rPr>
          <w:b w:val="false"/>
          <w:bCs w:val="false"/>
          <w:i w:val="false"/>
          <w:iCs w:val="false"/>
          <w:sz w:val="22"/>
          <w:szCs w:val="22"/>
        </w:rPr>
        <w:t xml:space="preserve">Varer hvis margin ligger uden for et fast spænd sorteres fra, inden varerne lægges sammen til kundegruppe-niveau. Standarden er </w:t>
      </w:r>
      <w:r>
        <w:rPr>
          <w:b/>
          <w:bCs/>
          <w:i w:val="false"/>
          <w:iCs w:val="false"/>
          <w:sz w:val="22"/>
          <w:szCs w:val="22"/>
        </w:rPr>
        <w:t xml:space="preserve">under −50 %</w:t>
      </w:r>
      <w:r>
        <w:rPr>
          <w:b w:val="false"/>
          <w:bCs w:val="false"/>
          <w:i w:val="false"/>
          <w:iCs w:val="false"/>
          <w:sz w:val="22"/>
          <w:szCs w:val="22"/>
        </w:rPr>
        <w:t xml:space="preserve">, og der er ingen øvre grænse. Lader man et felt stå tomt, er der ingen grænse i den retning.</w:t>
      </w:r>
    </w:p>
    <w:p>
      <w:pPr>
        <w:spacing w:after="140"/>
      </w:pPr>
      <w:r>
        <w:rPr>
          <w:b w:val="false"/>
          <w:bCs w:val="false"/>
          <w:i w:val="false"/>
          <w:iCs w:val="false"/>
          <w:sz w:val="22"/>
          <w:szCs w:val="22"/>
        </w:rPr>
        <w:t xml:space="preserve">Den nedre standard fanger de rækker hvor omkostningen og omsætningen er landet i hver sin måned — en kreditnota eller en returvare — uden at røre ved varer der bare er solgt med tab. En øvre grænse omkring 100 % er værd at overveje: en GM over 100 % betyder at dækningsbidraget er større end omsætningen, hvilket ikke kan lade sig gøre ved et normalt salg.</w:t>
      </w:r>
    </w:p>
    <w:p>
      <w:pPr>
        <w:spacing w:after="140"/>
      </w:pPr>
      <w:r>
        <w:rPr>
          <w:b w:val="false"/>
          <w:bCs w:val="false"/>
          <w:i w:val="false"/>
          <w:iCs w:val="false"/>
          <w:sz w:val="22"/>
          <w:szCs w:val="22"/>
        </w:rPr>
        <w:t xml:space="preserve">Grænsen kender ikke til kundens størrelse. En kunde med én vare under grænsen mister den vare, ligesom en kunde med halvtreds ville.</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En frasorteret vare tæller ikke med.  </w:t>
      </w:r>
      <w:r>
        <w:rPr>
          <w:sz w:val="21"/>
          <w:szCs w:val="21"/>
        </w:rPr>
        <w:t xml:space="preserve">Den ryger også ud af kundens samlede omsætning, GP og GM%. Mister en kunde alle sine varer, forsvinder den derfor helt ud af analysen — har den kun urimelige tal tilbage, ville den blive tegnet et meningsløst sted. Kunden nævnes ved navn undervejs, og dens varer står stadig på Excel-fanen Outliers med en årsag.</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Overskriften</w:t>
            </w:r>
          </w:p>
        </w:tc>
        <w:tc>
          <w:tcPr>
            <w:tcW w:type="pct" w:w="40%"/>
            <w:tcMar>
              <w:top w:type="dxa" w:w="90"/>
              <w:left w:type="dxa" w:w="130"/>
              <w:bottom w:type="dxa" w:w="90"/>
              <w:right w:type="dxa" w:w="130"/>
            </w:tcMar>
          </w:tcPr>
          <w:p>
            <w:pPr>
              <w:spacing w:after="0"/>
            </w:pPr>
            <w:r>
              <w:rPr>
                <w:b w:val="false"/>
                <w:bCs w:val="false"/>
                <w:sz w:val="21"/>
                <w:szCs w:val="21"/>
              </w:rPr>
              <w:t xml:space="preserve">Kundesegmentering – Kundegruppe – &lt;udsnit&gt;</w:t>
            </w:r>
          </w:p>
        </w:tc>
        <w:tc>
          <w:tcPr>
            <w:tcW w:type="pct" w:w="40%"/>
            <w:tcMar>
              <w:top w:type="dxa" w:w="90"/>
              <w:left w:type="dxa" w:w="130"/>
              <w:bottom w:type="dxa" w:w="90"/>
              <w:right w:type="dxa" w:w="130"/>
            </w:tcMar>
          </w:tcPr>
          <w:p>
            <w:pPr>
              <w:spacing w:after="0"/>
            </w:pPr>
            <w:r>
              <w:rPr>
                <w:b w:val="false"/>
                <w:bCs w:val="false"/>
                <w:sz w:val="21"/>
                <w:szCs w:val="21"/>
              </w:rPr>
              <w:t xml:space="preserve">Kundesegmentering – Item – &lt;udsnit&gt;</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Ét punkt 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én kundegruppe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tcMar>
              <w:top w:type="dxa" w:w="90"/>
              <w:left w:type="dxa" w:w="130"/>
              <w:bottom w:type="dxa" w:w="90"/>
              <w:right w:type="dxa" w:w="130"/>
            </w:tcMar>
          </w:tcPr>
          <w:p>
            <w:pPr>
              <w:spacing w:after="0"/>
            </w:pPr>
            <w:r>
              <w:rPr>
                <w:b w:val="false"/>
                <w:bCs w:val="false"/>
                <w:sz w:val="21"/>
                <w:szCs w:val="21"/>
              </w:rPr>
              <w:t xml:space="preserve">Farven følger</w:t>
            </w:r>
          </w:p>
        </w:tc>
        <w:tc>
          <w:tcPr>
            <w:tcW w:type="pct" w:w="40%"/>
            <w:tcMar>
              <w:top w:type="dxa" w:w="90"/>
              <w:left w:type="dxa" w:w="130"/>
              <w:bottom w:type="dxa" w:w="90"/>
              <w:right w:type="dxa" w:w="130"/>
            </w:tcMar>
          </w:tcPr>
          <w:p>
            <w:pPr>
              <w:spacing w:after="0"/>
            </w:pPr>
            <w:r>
              <w:rPr>
                <w:b w:val="false"/>
                <w:bCs w:val="false"/>
                <w:sz w:val="21"/>
                <w:szCs w:val="21"/>
              </w:rPr>
              <w:t xml:space="preserve">kundetypen</w:t>
            </w:r>
          </w:p>
        </w:tc>
        <w:tc>
          <w:tcPr>
            <w:tcW w:type="pct" w:w="40%"/>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Legenden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tcMar>
              <w:top w:type="dxa" w:w="90"/>
              <w:left w:type="dxa" w:w="130"/>
              <w:bottom w:type="dxa" w:w="90"/>
              <w:right w:type="dxa" w:w="130"/>
            </w:tcMar>
          </w:tcPr>
          <w:p>
            <w:pPr>
              <w:spacing w:after="0"/>
            </w:pPr>
            <w:r>
              <w:rPr>
                <w:b w:val="false"/>
                <w:bCs w:val="false"/>
                <w:sz w:val="21"/>
                <w:szCs w:val="21"/>
              </w:rPr>
              <w:t xml:space="preserve">Baggrunden viser</w:t>
            </w:r>
          </w:p>
        </w:tc>
        <w:tc>
          <w:tcPr>
            <w:tcW w:type="pct" w:w="40%"/>
            <w:tcMar>
              <w:top w:type="dxa" w:w="90"/>
              <w:left w:type="dxa" w:w="130"/>
              <w:bottom w:type="dxa" w:w="90"/>
              <w:right w:type="dxa" w:w="130"/>
            </w:tcMar>
          </w:tcPr>
          <w:p>
            <w:pPr>
              <w:spacing w:after="0"/>
            </w:pPr>
            <w:r>
              <w:rPr>
                <w:b w:val="false"/>
                <w:bCs w:val="false"/>
                <w:sz w:val="21"/>
                <w:szCs w:val="21"/>
              </w:rPr>
              <w:t xml:space="preserve">A/B/C/D-zonerne</w:t>
            </w:r>
          </w:p>
        </w:tc>
        <w:tc>
          <w:tcPr>
            <w:tcW w:type="pct" w:w="40%"/>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Bruges til</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w:t>
      </w:r>
      <w:r>
        <w:rPr>
          <w:b/>
          <w:bCs/>
          <w:i w:val="false"/>
          <w:iCs w:val="false"/>
          <w:sz w:val="22"/>
          <w:szCs w:val="22"/>
        </w:rPr>
        <w:t xml:space="preserve">dobbeltklik</w:t>
      </w:r>
      <w:r>
        <w:rPr>
          <w:b w:val="false"/>
          <w:bCs w:val="false"/>
          <w:i w:val="false"/>
          <w:iCs w:val="false"/>
          <w:sz w:val="22"/>
          <w:szCs w:val="22"/>
        </w:rPr>
        <w:t xml:space="preserve"> viser kun den ene kunde og skjuler alle andre — det virker både på navnet i legenden og på selve punktet i grafen. Dobbeltklik igen bringer resten tilbage.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Akserne:  </w:t>
      </w:r>
      <w:r>
        <w:rPr>
          <w:sz w:val="21"/>
          <w:szCs w:val="21"/>
        </w:rPr>
        <w:t xml:space="preserve">X-aksen er lineær og Y-aksen logaritmisk, og det kan ikke laves om. Gross Margin % ligger inden for et snævert interval og læses som procentpoint. Omsætningen spænder derimod over flere størrelsesordener, og på en lineær akse ville alt andet end de største kunder klumpe sammen nede ved nul.</w:t>
      </w:r>
    </w:p>
    <w:p>
      <w:pPr>
        <w:pStyle w:val="Heading2"/>
        <w:spacing w:after="100" w:before="260"/>
      </w:pPr>
      <w:r>
        <w:rPr>
          <w:b/>
          <w:bCs/>
          <w:color w:val="2A5A8A"/>
          <w:sz w:val="24"/>
          <w:szCs w:val="24"/>
        </w:rPr>
        <w:t xml:space="preserve">Negativ omsætning</w:t>
      </w:r>
    </w:p>
    <w:p>
      <w:pPr>
        <w:spacing w:after="140"/>
      </w:pPr>
      <w:r>
        <w:rPr>
          <w:b w:val="false"/>
          <w:bCs w:val="false"/>
          <w:i w:val="false"/>
          <w:iCs w:val="false"/>
          <w:sz w:val="22"/>
          <w:szCs w:val="22"/>
        </w:rPr>
        <w:t xml:space="preserve">En logaritmisk akse kan ikke vise nul eller negative tal — logaritmen af dem findes ikke. Kunder og varer med negativ omsætning, altså kreditnotaer og returvarer, faldt derfor tidligere helt ud af grafen, selvom de talte med i kundens tal.</w:t>
      </w:r>
    </w:p>
    <w:p>
      <w:pPr>
        <w:spacing w:after="140"/>
      </w:pPr>
      <w:r>
        <w:rPr>
          <w:b w:val="false"/>
          <w:bCs w:val="false"/>
          <w:i w:val="false"/>
          <w:iCs w:val="false"/>
          <w:sz w:val="22"/>
          <w:szCs w:val="22"/>
        </w:rPr>
        <w:t xml:space="preserve">Er der nuller eller negative tal at vise, skifter Y-aksen nu til en </w:t>
      </w:r>
      <w:r>
        <w:rPr>
          <w:b/>
          <w:bCs/>
          <w:i w:val="false"/>
          <w:iCs w:val="false"/>
          <w:sz w:val="22"/>
          <w:szCs w:val="22"/>
        </w:rPr>
        <w:t xml:space="preserve">symlog-akse</w:t>
      </w:r>
      <w:r>
        <w:rPr>
          <w:b w:val="false"/>
          <w:bCs w:val="false"/>
          <w:i w:val="false"/>
          <w:iCs w:val="false"/>
          <w:sz w:val="22"/>
          <w:szCs w:val="22"/>
        </w:rPr>
        <w:t xml:space="preserve">: logaritmisk i begge retninger, med et lille lineært bælte omkring nul så tallene tæt på nul ikke breder sig ud i det uendelige. Mærkerne på aksen står stadig ved rigtige kronebeløb, og hover-boksen viser altid kroner. Er alt positivt, ser aksen ud præcis som før.</w:t>
      </w:r>
    </w:p>
    <w:p>
      <w:pPr>
        <w:spacing w:after="140"/>
      </w:pPr>
      <w:r>
        <w:rPr>
          <w:b w:val="false"/>
          <w:bCs w:val="false"/>
          <w:i w:val="false"/>
          <w:iCs w:val="false"/>
          <w:sz w:val="22"/>
          <w:szCs w:val="22"/>
        </w:rPr>
        <w:t xml:space="preserve">Under kundegruppe-grafen — mellem x-aksen og den første knaprække — står en lille </w:t>
      </w:r>
      <w:r>
        <w:rPr>
          <w:b/>
          <w:bCs/>
          <w:i w:val="false"/>
          <w:iCs w:val="false"/>
          <w:sz w:val="22"/>
          <w:szCs w:val="22"/>
        </w:rPr>
        <w:t xml:space="preserve">farvekode</w:t>
      </w:r>
      <w:r>
        <w:rPr>
          <w:b w:val="false"/>
          <w:bCs w:val="false"/>
          <w:i w:val="false"/>
          <w:iCs w:val="false"/>
          <w:sz w:val="22"/>
          <w:szCs w:val="22"/>
        </w:rPr>
        <w:t xml:space="preserve">, der siger hvilken farve der hører til hvilken kundetype. Den ligger uden for selve grafen, så den hverken stjæler plads fra punkterne eller kan slås fra ved et uheld. Farvelægges der efter Industry segment i stedet, viser farvekoden brancherne.</w:t>
      </w:r>
    </w:p>
    <w:p>
      <w:pPr>
        <w:pStyle w:val="Heading2"/>
        <w:spacing w:after="100" w:before="260"/>
      </w:pPr>
      <w:r>
        <w:rPr>
          <w:b/>
          <w:bCs/>
          <w:color w:val="2A5A8A"/>
          <w:sz w:val="24"/>
          <w:szCs w:val="24"/>
        </w:rPr>
        <w:t xml:space="preserve">Søg efter et varenummer</w:t>
      </w:r>
    </w:p>
    <w:p>
      <w:pPr>
        <w:spacing w:after="140"/>
      </w:pPr>
      <w:r>
        <w:rPr>
          <w:b w:val="false"/>
          <w:bCs w:val="false"/>
          <w:i w:val="false"/>
          <w:iCs w:val="false"/>
          <w:sz w:val="22"/>
          <w:szCs w:val="22"/>
        </w:rPr>
        <w:t xml:space="preserve">Under item-grafen, samme sted som farvekoden sidder på den anden graf, er der et søgefelt. Skriv et varenummer, og varen bliver fremhævet, mens resten af punkterne tones ned — de forsvinder ikke, så du kan se hvor varen ligger i forhold til alle de andre. </w:t>
      </w:r>
      <w:r>
        <w:rPr>
          <w:b/>
          <w:bCs/>
          <w:i w:val="false"/>
          <w:iCs w:val="false"/>
          <w:sz w:val="22"/>
          <w:szCs w:val="22"/>
        </w:rPr>
        <w:t xml:space="preserve">Ryd</w:t>
      </w:r>
      <w:r>
        <w:rPr>
          <w:b w:val="false"/>
          <w:bCs w:val="false"/>
          <w:i w:val="false"/>
          <w:iCs w:val="false"/>
          <w:sz w:val="22"/>
          <w:szCs w:val="22"/>
        </w:rPr>
        <w:t xml:space="preserve"> fjerner markeringen igen.</w:t>
      </w:r>
    </w:p>
    <w:p>
      <w:pPr>
        <w:pStyle w:val="ListParagraph"/>
        <w:numPr>
          <w:ilvl w:val="0"/>
          <w:numId w:val="1"/>
        </w:numPr>
        <w:spacing w:after="60"/>
      </w:pPr>
      <w:r>
        <w:rPr>
          <w:b/>
          <w:bCs/>
          <w:sz w:val="22"/>
          <w:szCs w:val="22"/>
        </w:rPr>
        <w:t xml:space="preserve">Flere varer ad gangen:</w:t>
      </w:r>
      <w:r>
        <w:rPr>
          <w:b w:val="false"/>
          <w:bCs w:val="false"/>
          <w:sz w:val="22"/>
          <w:szCs w:val="22"/>
        </w:rPr>
        <w:t xml:space="preserve"> skriv numrene efter hinanden adskilt af komma eller mellemrum, for eksempel 701234, 712345.</w:t>
      </w:r>
    </w:p>
    <w:p>
      <w:pPr>
        <w:pStyle w:val="ListParagraph"/>
        <w:numPr>
          <w:ilvl w:val="0"/>
          <w:numId w:val="1"/>
        </w:numPr>
        <w:spacing w:after="60"/>
      </w:pPr>
      <w:r>
        <w:rPr>
          <w:b/>
          <w:bCs/>
          <w:sz w:val="22"/>
          <w:szCs w:val="22"/>
        </w:rPr>
        <w:t xml:space="preserve">Dele af et nummer tæller med:</w:t>
      </w:r>
      <w:r>
        <w:rPr>
          <w:b w:val="false"/>
          <w:bCs w:val="false"/>
          <w:sz w:val="22"/>
          <w:szCs w:val="22"/>
        </w:rPr>
        <w:t xml:space="preserve"> skriver du 7010, fremhæves alle varer hvis nummer indeholder 7010.</w:t>
      </w:r>
    </w:p>
    <w:p>
      <w:pPr>
        <w:spacing w:after="140"/>
      </w:pPr>
      <w:r>
        <w:rPr>
          <w:b w:val="false"/>
          <w:bCs w:val="false"/>
          <w:i w:val="false"/>
          <w:iCs w:val="false"/>
          <w:sz w:val="22"/>
          <w:szCs w:val="22"/>
        </w:rPr>
        <w:t xml:space="preserve">Under feltet står hvor mange varer der blev fundet — eller at ingen varer matcher, hvis nummeret ikke findes i udsnittet.</w:t>
      </w:r>
    </w:p>
    <w:p>
      <w:pPr>
        <w:pStyle w:val="Heading2"/>
        <w:spacing w:after="100" w:before="260"/>
      </w:pPr>
      <w:r>
        <w:rPr>
          <w:b/>
          <w:bCs/>
          <w:color w:val="2A5A8A"/>
          <w:sz w:val="24"/>
          <w:szCs w:val="24"/>
        </w:rPr>
        <w:t xml:space="preserve">Hvad hover-boksen viser</w:t>
      </w:r>
    </w:p>
    <w:p>
      <w:pPr>
        <w:spacing w:after="140"/>
      </w:pPr>
      <w:r>
        <w:rPr>
          <w:b w:val="false"/>
          <w:bCs w:val="false"/>
          <w:i w:val="false"/>
          <w:iCs w:val="false"/>
          <w:sz w:val="22"/>
          <w:szCs w:val="22"/>
        </w:rPr>
        <w:t xml:space="preserve">Kører du musen hen over et punkt, kommer der en boks med kundegruppe, kategori, KAM, GM%, turnover og </w:t>
      </w:r>
      <w:r>
        <w:rPr>
          <w:b/>
          <w:bCs/>
          <w:i w:val="false"/>
          <w:iCs w:val="false"/>
          <w:sz w:val="22"/>
          <w:szCs w:val="22"/>
        </w:rPr>
        <w:t xml:space="preserve">seneste solgt</w:t>
      </w:r>
      <w:r>
        <w:rPr>
          <w:b w:val="false"/>
          <w:bCs w:val="false"/>
          <w:i w:val="false"/>
          <w:iCs w:val="false"/>
          <w:sz w:val="22"/>
          <w:szCs w:val="22"/>
        </w:rPr>
        <w:t xml:space="preserve"> — den måned varen sidst blev solgt til netop den kunde, skrevet som ÅÅÅÅ-MM. Står der en tankestreg, mangler datoen i data.</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Genopstået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Farverne på knapperne</w:t>
      </w:r>
    </w:p>
    <w:p>
      <w:pPr>
        <w:spacing w:after="140"/>
      </w:pPr>
      <w:r>
        <w:rPr>
          <w:b w:val="false"/>
          <w:bCs w:val="false"/>
          <w:i w:val="false"/>
          <w:iCs w:val="false"/>
          <w:sz w:val="22"/>
          <w:szCs w:val="22"/>
        </w:rPr>
        <w:t xml:space="preserve">En knap er </w:t>
      </w:r>
      <w:r>
        <w:rPr>
          <w:b/>
          <w:bCs/>
          <w:i w:val="false"/>
          <w:iCs w:val="false"/>
          <w:sz w:val="22"/>
          <w:szCs w:val="22"/>
        </w:rPr>
        <w:t xml:space="preserve">grøn når den er tændt</w:t>
      </w:r>
      <w:r>
        <w:rPr>
          <w:b w:val="false"/>
          <w:bCs w:val="false"/>
          <w:i w:val="false"/>
          <w:iCs w:val="false"/>
          <w:sz w:val="22"/>
          <w:szCs w:val="22"/>
        </w:rPr>
        <w:t xml:space="preserve"> og </w:t>
      </w:r>
      <w:r>
        <w:rPr>
          <w:b/>
          <w:bCs/>
          <w:i w:val="false"/>
          <w:iCs w:val="false"/>
          <w:sz w:val="22"/>
          <w:szCs w:val="22"/>
        </w:rPr>
        <w:t xml:space="preserve">rød når den er slukket</w:t>
      </w:r>
      <w:r>
        <w:rPr>
          <w:b w:val="false"/>
          <w:bCs w:val="false"/>
          <w:i w:val="false"/>
          <w:iCs w:val="false"/>
          <w:sz w:val="22"/>
          <w:szCs w:val="22"/>
        </w:rPr>
        <w:t xml:space="preserve">, så det kan ses på afstand hvad der er slået fra.</w:t>
      </w:r>
    </w:p>
    <w:p>
      <w:pPr>
        <w:pStyle w:val="ListParagraph"/>
        <w:numPr>
          <w:ilvl w:val="0"/>
          <w:numId w:val="1"/>
        </w:numPr>
        <w:spacing w:after="60"/>
      </w:pPr>
      <w:r>
        <w:rPr>
          <w:b/>
          <w:bCs/>
          <w:sz w:val="22"/>
          <w:szCs w:val="22"/>
        </w:rPr>
        <w:t xml:space="preserve">Filterknapper</w:t>
      </w:r>
      <w:r>
        <w:rPr>
          <w:b w:val="false"/>
          <w:bCs w:val="false"/>
          <w:sz w:val="22"/>
          <w:szCs w:val="22"/>
        </w:rPr>
        <w:t xml:space="preserve"> (kundetype, kategori, KAM): grøn betyder at værdien vises, rød at den er skjult. Alle starter grønne.</w:t>
      </w:r>
    </w:p>
    <w:p>
      <w:pPr>
        <w:pStyle w:val="ListParagraph"/>
        <w:numPr>
          <w:ilvl w:val="0"/>
          <w:numId w:val="1"/>
        </w:numPr>
        <w:spacing w:after="60"/>
      </w:pPr>
      <w:r>
        <w:rPr>
          <w:b/>
          <w:bCs/>
          <w:sz w:val="22"/>
          <w:szCs w:val="22"/>
        </w:rPr>
        <w:t xml:space="preserve">Volumenkrav</w:t>
      </w:r>
      <w:r>
        <w:rPr>
          <w:b w:val="false"/>
          <w:bCs w:val="false"/>
          <w:sz w:val="22"/>
          <w:szCs w:val="22"/>
        </w:rPr>
        <w:t xml:space="preserve"> har omvendt fortegn, fordi det er et enten-eller-valg: den valgte er grøn, de fravalgte røde.</w:t>
      </w:r>
    </w:p>
    <w:p>
      <w:pPr>
        <w:pStyle w:val="ListParagraph"/>
        <w:numPr>
          <w:ilvl w:val="0"/>
          <w:numId w:val="1"/>
        </w:numPr>
        <w:spacing w:after="60"/>
      </w:pPr>
      <w:r>
        <w:rPr>
          <w:b/>
          <w:bCs/>
          <w:sz w:val="22"/>
          <w:szCs w:val="22"/>
        </w:rPr>
        <w:t xml:space="preserve">Fremhæv branche</w:t>
      </w:r>
      <w:r>
        <w:rPr>
          <w:b w:val="false"/>
          <w:bCs w:val="false"/>
          <w:sz w:val="22"/>
          <w:szCs w:val="22"/>
        </w:rPr>
        <w:t xml:space="preserve"> bliver hverken grøn eller rød. De knapper skjuler ingenting — de gør kun én branche tykkere i kanten — og rød ville påstå at noget var slået fra.</w:t>
      </w:r>
    </w:p>
    <w:p>
      <w:pPr>
        <w:spacing w:after="140"/>
      </w:pPr>
      <w:r>
        <w:rPr>
          <w:b w:val="false"/>
          <w:bCs w:val="false"/>
          <w:i/>
          <w:iCs/>
          <w:color w:val="555555"/>
          <w:sz w:val="22"/>
          <w:szCs w:val="22"/>
        </w:rPr>
        <w:t xml:space="preserve">De to nuancer er valgt så de også er forskellige i lyshed: den røde er mærkbart mørkere end den grønne. Er man rødgrønt farveblind, kan tilstanden derfor stadig aflæses.</w:t>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Går noget galt undervejs, stopper programmet og viser fejlen i en boks. Der skrives ingen logfil.</w:t>
      </w:r>
    </w:p>
    <w:p>
      <w:pPr>
        <w:pStyle w:val="Heading2"/>
        <w:spacing w:after="100" w:before="260"/>
      </w:pPr>
      <w:r>
        <w:rPr>
          <w:b/>
          <w:bCs/>
          <w:color w:val="2A5A8A"/>
          <w:sz w:val="24"/>
          <w:szCs w:val="24"/>
        </w:rPr>
        <w:t xml:space="preserve">En engelsk udgave af graferne</w:t>
      </w:r>
    </w:p>
    <w:p>
      <w:pPr>
        <w:spacing w:after="140"/>
      </w:pPr>
      <w:r>
        <w:rPr>
          <w:b w:val="false"/>
          <w:bCs w:val="false"/>
          <w:i w:val="false"/>
          <w:iCs w:val="false"/>
          <w:sz w:val="22"/>
          <w:szCs w:val="22"/>
        </w:rPr>
        <w:t xml:space="preserve">Skal graferne sendes til en kunde eller en kollega der ikke læser dansk, sættes </w:t>
      </w:r>
      <w:r>
        <w:rPr>
          <w:b/>
          <w:bCs/>
          <w:i w:val="false"/>
          <w:iCs w:val="false"/>
          <w:sz w:val="22"/>
          <w:szCs w:val="22"/>
        </w:rPr>
        <w:t xml:space="preserve">Lav også graferne på engelsk</w:t>
      </w:r>
      <w:r>
        <w:rPr>
          <w:b w:val="false"/>
          <w:bCs w:val="false"/>
          <w:i w:val="false"/>
          <w:iCs w:val="false"/>
          <w:sz w:val="22"/>
          <w:szCs w:val="22"/>
        </w:rPr>
        <w:t xml:space="preserve"> til i indstillingerne. Så skrives de samme grafer en gang til i undermappen English/ — samme filnavne. Også filnavnene er oversat, så mappen kan sendes videre som den er.</w:t>
      </w:r>
    </w:p>
    <w:p>
      <w:pPr>
        <w:shd w:fill="F2F2F2" w:val="clear"/>
        <w:spacing w:after="160" w:before="100"/>
        <w:ind w:left="288"/>
      </w:pPr>
      <w:r>
        <w:rPr>
          <w:rFonts w:ascii="Consolas" w:cs="Consolas" w:eastAsia="Consolas" w:hAnsi="Consolas"/>
          <w:sz w:val="19"/>
          <w:szCs w:val="19"/>
        </w:rPr>
        <w:t xml:space="preserve">Kundesegmentering 2026-09-23/</w:t>
      </w:r>
      <w:r>
        <w:br/>
      </w:r>
      <w:r>
        <w:rPr>
          <w:rFonts w:ascii="Consolas" w:cs="Consolas" w:eastAsia="Consolas" w:hAnsi="Consolas"/>
          <w:sz w:val="19"/>
          <w:szCs w:val="19"/>
        </w:rPr>
        <w:t xml:space="preserve">  kunde_segmentering_kundegruppe_sinter.html</w:t>
      </w:r>
      <w:r>
        <w:br/>
      </w:r>
      <w:r>
        <w:rPr>
          <w:rFonts w:ascii="Consolas" w:cs="Consolas" w:eastAsia="Consolas" w:hAnsi="Consolas"/>
          <w:sz w:val="19"/>
          <w:szCs w:val="19"/>
        </w:rPr>
        <w:t xml:space="preserve">  kunde_segmentering_item_sinter.html</w:t>
      </w:r>
      <w:r>
        <w:br/>
      </w:r>
      <w:r>
        <w:rPr>
          <w:rFonts w:ascii="Consolas" w:cs="Consolas" w:eastAsia="Consolas" w:hAnsi="Consolas"/>
          <w:sz w:val="19"/>
          <w:szCs w:val="19"/>
        </w:rPr>
        <w:t xml:space="preserve">  kunde_segmentering.xlsx</w:t>
      </w:r>
      <w:r>
        <w:br/>
      </w:r>
      <w:r>
        <w:rPr>
          <w:rFonts w:ascii="Consolas" w:cs="Consolas" w:eastAsia="Consolas" w:hAnsi="Consolas"/>
          <w:sz w:val="19"/>
          <w:szCs w:val="19"/>
        </w:rPr>
        <w:t xml:space="preserve">  English/</w:t>
      </w:r>
      <w:r>
        <w:br/>
      </w:r>
      <w:r>
        <w:rPr>
          <w:rFonts w:ascii="Consolas" w:cs="Consolas" w:eastAsia="Consolas" w:hAnsi="Consolas"/>
          <w:sz w:val="19"/>
          <w:szCs w:val="19"/>
        </w:rPr>
        <w:t xml:space="preserve">    customer_segmentation_customer_group_sinter.html</w:t>
      </w:r>
      <w:r>
        <w:br/>
      </w:r>
      <w:r>
        <w:rPr>
          <w:rFonts w:ascii="Consolas" w:cs="Consolas" w:eastAsia="Consolas" w:hAnsi="Consolas"/>
          <w:sz w:val="19"/>
          <w:szCs w:val="19"/>
        </w:rPr>
        <w:t xml:space="preserve">    customer_segmentation_item_sinter.html</w:t>
      </w:r>
    </w:p>
    <w:p>
      <w:pPr>
        <w:spacing w:after="140"/>
      </w:pPr>
      <w:r>
        <w:rPr>
          <w:b w:val="false"/>
          <w:bCs w:val="false"/>
          <w:i w:val="false"/>
          <w:iCs w:val="false"/>
          <w:sz w:val="22"/>
          <w:szCs w:val="22"/>
        </w:rPr>
        <w:t xml:space="preserve">Alt i grafen er oversat: titel, akser, knapper, farvekode, søgefelt og hover-boksen. Kundetyperne hedder Existing, New, Revived og Former, og volumenkravene hedder Level A til D. Kundenavne, KAM-initialer og brancher står som de står i data — de er navne, ikke ord der kan oversættes.</w:t>
      </w:r>
    </w:p>
    <w:p>
      <w:pPr>
        <w:spacing w:after="140"/>
      </w:pPr>
      <w:r>
        <w:rPr>
          <w:b w:val="false"/>
          <w:bCs w:val="false"/>
          <w:i w:val="false"/>
          <w:iCs w:val="false"/>
          <w:sz w:val="22"/>
          <w:szCs w:val="22"/>
        </w:rPr>
        <w:t xml:space="preserve">Det samme gælder basisnavnet på filerne. Står feltet </w:t>
      </w:r>
      <w:r>
        <w:rPr>
          <w:b/>
          <w:bCs/>
          <w:i w:val="false"/>
          <w:iCs w:val="false"/>
          <w:sz w:val="22"/>
          <w:szCs w:val="22"/>
        </w:rPr>
        <w:t xml:space="preserve">Basisnavn (filer)</w:t>
      </w:r>
      <w:r>
        <w:rPr>
          <w:b w:val="false"/>
          <w:bCs w:val="false"/>
          <w:i w:val="false"/>
          <w:iCs w:val="false"/>
          <w:sz w:val="22"/>
          <w:szCs w:val="22"/>
        </w:rPr>
        <w:t xml:space="preserve"> på fabriksnavnet kunde_segmentering, er det vores eget ord, og det bliver til customer_segmentation. Har du selv skrevet et navn, er det dit, og det står uændret på begge sprog.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Tallene kan ikke komme til at afvige.  </w:t>
      </w:r>
      <w:r>
        <w:rPr>
          <w:sz w:val="21"/>
          <w:szCs w:val="21"/>
        </w:rPr>
        <w:t xml:space="preserve">Analysen køres ikke om for den engelske udgave. De to sæt grafer tegnes af ét og samme resultat, så et punkt ligger nøjagtig samme sted i begge. Det er kun teksten der er forskellig. Excel-rapporten og programmets egen brugerflade er på dansk.</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tre faner pr. udsnit og en fane med de indstillinger kørslen brugte. Fanerne ser ens ud hver gang; der er ikke noget at vælge.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Fane</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4%"/>
            <w:tcMar>
              <w:top w:type="dxa" w:w="90"/>
              <w:left w:type="dxa" w:w="130"/>
              <w:bottom w:type="dxa" w:w="90"/>
              <w:right w:type="dxa" w:w="130"/>
            </w:tcMar>
          </w:tcPr>
          <w:p>
            <w:pPr>
              <w:spacing w:after="0"/>
            </w:pPr>
            <w:r>
              <w:rPr>
                <w:b w:val="false"/>
                <w:bCs w:val="false"/>
                <w:sz w:val="21"/>
                <w:szCs w:val="21"/>
              </w:rPr>
              <w:t xml:space="preserve">Oversigt</w:t>
            </w:r>
          </w:p>
        </w:tc>
        <w:tc>
          <w:tcPr>
            <w:tcW w:type="pct" w:w="76%"/>
            <w:tcMar>
              <w:top w:type="dxa" w:w="90"/>
              <w:left w:type="dxa" w:w="130"/>
              <w:bottom w:type="dxa" w:w="90"/>
              <w:right w:type="dxa" w:w="130"/>
            </w:tcMar>
          </w:tcPr>
          <w:p>
            <w:pPr>
              <w:spacing w:after="0"/>
            </w:pPr>
            <w:r>
              <w:rPr>
                <w:b w:val="false"/>
                <w:bCs w:val="false"/>
                <w:sz w:val="21"/>
                <w:szCs w:val="21"/>
              </w:rPr>
              <w:t xml:space="preserve">én række pr. kundegruppe: type, KAM, kategori, omsætning og GM%</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Items_alle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alle varer, inden GM%-grænserne</w:t>
            </w:r>
          </w:p>
        </w:tc>
      </w:tr>
      <w:tr>
        <w:tc>
          <w:tcPr>
            <w:tcW w:type="pct" w:w="24%"/>
            <w:tcMar>
              <w:top w:type="dxa" w:w="90"/>
              <w:left w:type="dxa" w:w="130"/>
              <w:bottom w:type="dxa" w:w="90"/>
              <w:right w:type="dxa" w:w="130"/>
            </w:tcMar>
          </w:tcPr>
          <w:p>
            <w:pPr>
              <w:spacing w:after="0"/>
            </w:pPr>
            <w:r>
              <w:rPr>
                <w:b w:val="false"/>
                <w:bCs w:val="false"/>
                <w:sz w:val="21"/>
                <w:szCs w:val="21"/>
              </w:rPr>
              <w:t xml:space="preserve">Items_filt</w:t>
            </w:r>
          </w:p>
        </w:tc>
        <w:tc>
          <w:tcPr>
            <w:tcW w:type="pct" w:w="76%"/>
            <w:tcMar>
              <w:top w:type="dxa" w:w="90"/>
              <w:left w:type="dxa" w:w="130"/>
              <w:bottom w:type="dxa" w:w="90"/>
              <w:right w:type="dxa" w:w="130"/>
            </w:tcMar>
          </w:tcPr>
          <w:p>
            <w:pPr>
              <w:spacing w:after="0"/>
            </w:pPr>
            <w:r>
              <w:rPr>
                <w:b w:val="false"/>
                <w:bCs w:val="false"/>
                <w:sz w:val="21"/>
                <w:szCs w:val="21"/>
              </w:rPr>
              <w:t xml:space="preserve">de varer der faktisk blev tegnet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Parametre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de indstillinger kørslen brugte</w:t>
            </w:r>
          </w:p>
        </w:tc>
      </w:tr>
    </w:tbl>
    <w:p>
      <w:pPr>
        <w:spacing w:after="200"/>
      </w:pPr>
      <w:r>
        <w:t xml:space="preserve"/>
      </w:r>
    </w:p>
    <w:p>
      <w:pPr>
        <w:spacing w:after="140"/>
      </w:pPr>
      <w:r>
        <w:rPr>
          <w:b w:val="false"/>
          <w:bCs w:val="false"/>
          <w:i w:val="false"/>
          <w:iCs w:val="false"/>
          <w:sz w:val="22"/>
          <w:szCs w:val="22"/>
        </w:rPr>
        <w:t xml:space="preserve">Er der sat en GM%-grænse,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basisnavn på filerne og engelsk udgave af graferne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Kundetyper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tcMar>
              <w:top w:type="dxa" w:w="90"/>
              <w:left w:type="dxa" w:w="130"/>
              <w:bottom w:type="dxa" w:w="90"/>
              <w:right w:type="dxa" w:w="130"/>
            </w:tcMar>
          </w:tcPr>
          <w:p>
            <w:pPr>
              <w:spacing w:after="0"/>
            </w:pPr>
            <w:r>
              <w:rPr>
                <w:b w:val="false"/>
                <w:bCs w:val="false"/>
                <w:sz w:val="21"/>
                <w:szCs w:val="21"/>
              </w:rPr>
              <w:t xml:space="preserve">Frasortering</w:t>
            </w:r>
          </w:p>
        </w:tc>
        <w:tc>
          <w:tcPr>
            <w:tcW w:type="pct" w:w="70%"/>
            <w:tcMar>
              <w:top w:type="dxa" w:w="90"/>
              <w:left w:type="dxa" w:w="130"/>
              <w:bottom w:type="dxa" w:w="90"/>
              <w:right w:type="dxa" w:w="130"/>
            </w:tcMar>
          </w:tcPr>
          <w:p>
            <w:pPr>
              <w:spacing w:after="0"/>
            </w:pPr>
            <w:r>
              <w:rPr>
                <w:b w:val="false"/>
                <w:bCs w:val="false"/>
                <w:sz w:val="21"/>
                <w:szCs w:val="21"/>
              </w:rPr>
              <w:t xml:space="preserve">ekskluderede grupper og typer, nul-rækker, døde items og GM%-grænser</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Opdeling af plots</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tcMar>
              <w:top w:type="dxa" w:w="90"/>
              <w:left w:type="dxa" w:w="130"/>
              <w:bottom w:type="dxa" w:w="90"/>
              <w:right w:type="dxa" w:w="130"/>
            </w:tcMar>
          </w:tcPr>
          <w:p>
            <w:pPr>
              <w:spacing w:after="0"/>
            </w:pPr>
            <w:r>
              <w:rPr>
                <w:b w:val="false"/>
                <w:bCs w:val="false"/>
                <w:sz w:val="21"/>
                <w:szCs w:val="21"/>
              </w:rPr>
              <w:t xml:space="preserve">Beregning</w:t>
            </w:r>
          </w:p>
        </w:tc>
        <w:tc>
          <w:tcPr>
            <w:tcW w:type="pct" w:w="70%"/>
            <w:tcMar>
              <w:top w:type="dxa" w:w="90"/>
              <w:left w:type="dxa" w:w="130"/>
              <w:bottom w:type="dxa" w:w="90"/>
              <w:right w:type="dxa" w:w="130"/>
            </w:tcMar>
          </w:tcPr>
          <w:p>
            <w:pPr>
              <w:spacing w:after="0"/>
            </w:pPr>
            <w:r>
              <w:rPr>
                <w:b w:val="false"/>
                <w:bCs w:val="false"/>
                <w:sz w:val="21"/>
                <w:szCs w:val="21"/>
              </w:rPr>
              <w:t xml:space="preserve">turnover-vinduets længde, forankring, vægtet GM%</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Grænser og områder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kategori-grænser og volumenområder</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mangles, og hvad der faktisk stod.</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en kundegruppe står på ekskluder-listen, eller kunden mistede alle sine varer til GM%-grænsen. Det sidste siges undervejs, og varerne står på fanen Outliers.</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En vare mangler på item-grafen</w:t>
            </w:r>
          </w:p>
        </w:tc>
        <w:tc>
          <w:tcPr>
            <w:tcW w:type="pct" w:w="62%"/>
            <w:tcMar>
              <w:top w:type="dxa" w:w="90"/>
              <w:left w:type="dxa" w:w="130"/>
              <w:bottom w:type="dxa" w:w="90"/>
              <w:right w:type="dxa" w:w="130"/>
            </w:tcMar>
          </w:tcPr>
          <w:p>
            <w:pPr>
              <w:spacing w:after="0"/>
            </w:pPr>
            <w:r>
              <w:rPr>
                <w:b w:val="false"/>
                <w:bCs w:val="false"/>
                <w:sz w:val="21"/>
                <w:szCs w:val="21"/>
              </w:rPr>
              <w:t xml:space="preserve">Enten mangler varen et turnover-tal i vinduet og kan derfor ikke placeres, eller også er den sorteret fra af GM%-grænsen. Fanen Outliers i Excel-rapporten viser hvilke varer der blev fjernet, og hvorfor.</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Y-aksen ser anderledes ud end sidst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Der er kommet kunder eller varer med negativ omsætning med. Så skifter aksen til symlog og får negative mærker — se kapitel 6.</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Fejlbeskeden vises i en boks når analysen stopper.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58982250987e646401131079b2e53d7f20cebe7a.png"/><Relationship Id="rId11" Type="http://schemas.openxmlformats.org/officeDocument/2006/relationships/image" Target="media/98bc33d29a81598bbb5ee8f522fc3137b02db702.png"/><Relationship Id="rId12" Type="http://schemas.openxmlformats.org/officeDocument/2006/relationships/image" Target="media/2e4d66a77edc533ad5a32a12364b67b07697b18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2026-09-27T20:03:19.206Z</dcterms:created>
  <dcterms:modified xsi:type="dcterms:W3CDTF">2026-09-27T20:03:19.206Z</dcterms:modified>
</cp:coreProperties>
</file>

<file path=docProps/custom.xml><?xml version="1.0" encoding="utf-8"?>
<Properties xmlns="http://schemas.openxmlformats.org/officeDocument/2006/custom-properties" xmlns:vt="http://schemas.openxmlformats.org/officeDocument/2006/docPropsVTypes"/>
</file>