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0"/>
          <w:szCs w:val="200"/>
        </w:rPr>
        <w:t xml:space="preserve"/>
      </w:r>
    </w:p>
    <w:p>
      <w:pPr>
        <w:spacing w:after="0" w:before="0"/>
      </w:pPr>
      <w:r>
        <w:rPr>
          <w:rFonts w:ascii="Arial" w:cs="Arial" w:eastAsia="Arial" w:hAnsi="Arial"/>
          <w:b/>
          <w:bCs/>
          <w:color w:val="E4003A"/>
          <w:sz w:val="22"/>
          <w:szCs w:val="22"/>
        </w:rPr>
        <w:t xml:space="preserve">PRODUCT REQUIREMENTS DOCUMENT</w:t>
      </w:r>
    </w:p>
    <w:p>
      <w:pPr>
        <w:spacing w:after="0" w:before="0"/>
      </w:pPr>
      <w:r>
        <w:rPr>
          <w:sz w:val="8"/>
          <w:szCs w:val="8"/>
        </w:rPr>
        <w:t xml:space="preserve"/>
      </w:r>
    </w:p>
    <w:p>
      <w:pPr>
        <w:spacing w:after="0" w:before="0"/>
      </w:pPr>
      <w:r>
        <w:rPr>
          <w:rFonts w:ascii="Arial" w:cs="Arial" w:eastAsia="Arial" w:hAnsi="Arial"/>
          <w:b/>
          <w:bCs/>
          <w:color w:val="1B1F3B"/>
          <w:sz w:val="52"/>
          <w:szCs w:val="52"/>
        </w:rPr>
        <w:t xml:space="preserve">For You With You: Zasocitinib</w:t>
      </w:r>
    </w:p>
    <w:p>
      <w:pPr>
        <w:spacing w:after="0" w:before="40"/>
      </w:pPr>
      <w:r>
        <w:rPr>
          <w:rFonts w:ascii="Arial" w:cs="Arial" w:eastAsia="Arial" w:hAnsi="Arial"/>
          <w:color w:val="005F8E"/>
          <w:sz w:val="28"/>
          <w:szCs w:val="28"/>
        </w:rPr>
        <w:t xml:space="preserve">A Salesforce-Powered Personalised Patient Companion App</w:t>
      </w:r>
    </w:p>
    <w:p>
      <w:pPr>
        <w:spacing w:after="0" w:before="0"/>
      </w:pPr>
      <w:r>
        <w:rPr>
          <w:sz w:val="40"/>
          <w:szCs w:val="40"/>
        </w:rPr>
        <w:t xml:space="preserve"/>
      </w:r>
    </w:p>
    <w:p>
      <w:pPr>
        <w:pBdr>
          <w:bottom w:val="single" w:color="E4003A" w:sz="6" w:space="1"/>
        </w:pBdr>
        <w:spacing w:after="80" w:before="80"/>
      </w:pP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20"/>
                <w:szCs w:val="20"/>
              </w:rPr>
              <w:t xml:space="preserve">Product</w:t>
            </w:r>
          </w:p>
        </w:tc>
        <w:tc>
          <w:tcPr>
            <w:tcW w:type="dxa" w:w="69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For You With You: Zasocitinib — Mobile Companion App</w:t>
            </w:r>
          </w:p>
        </w:tc>
      </w:tr>
      <w:tr>
        <w:tc>
          <w:tcPr>
            <w:tcW w:type="dxa" w:w="2400"/>
            <w:tcBorders>
              <w:top w:val="none" w:color="FFFFFF" w:sz="0"/>
              <w:left w:val="none" w:color="FFFFFF" w:sz="0"/>
              <w:bottom w:val="none" w:color="FFFFFF" w:sz="0"/>
              <w:right w:val="none" w:color="FFFFFF" w:sz="0"/>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20"/>
                <w:szCs w:val="20"/>
              </w:rPr>
              <w:t xml:space="preserve">Version</w:t>
            </w:r>
          </w:p>
        </w:tc>
        <w:tc>
          <w:tcPr>
            <w:tcW w:type="dxa" w:w="69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1.0 — Initial PRD (Executive Pitch)</w:t>
            </w:r>
          </w:p>
        </w:tc>
      </w:tr>
      <w:tr>
        <w:tc>
          <w:tcPr>
            <w:tcW w:type="dxa" w:w="2400"/>
            <w:tcBorders>
              <w:top w:val="none" w:color="FFFFFF" w:sz="0"/>
              <w:left w:val="none" w:color="FFFFFF" w:sz="0"/>
              <w:bottom w:val="none" w:color="FFFFFF" w:sz="0"/>
              <w:right w:val="none" w:color="FFFFFF" w:sz="0"/>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20"/>
                <w:szCs w:val="20"/>
              </w:rPr>
              <w:t xml:space="preserve">Date</w:t>
            </w:r>
          </w:p>
        </w:tc>
        <w:tc>
          <w:tcPr>
            <w:tcW w:type="dxa" w:w="69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July 2026</w:t>
            </w:r>
          </w:p>
        </w:tc>
      </w:tr>
      <w:tr>
        <w:tc>
          <w:tcPr>
            <w:tcW w:type="dxa" w:w="2400"/>
            <w:tcBorders>
              <w:top w:val="none" w:color="FFFFFF" w:sz="0"/>
              <w:left w:val="none" w:color="FFFFFF" w:sz="0"/>
              <w:bottom w:val="none" w:color="FFFFFF" w:sz="0"/>
              <w:right w:val="none" w:color="FFFFFF" w:sz="0"/>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20"/>
                <w:szCs w:val="20"/>
              </w:rPr>
              <w:t xml:space="preserve">Prepared for</w:t>
            </w:r>
          </w:p>
        </w:tc>
        <w:tc>
          <w:tcPr>
            <w:tcW w:type="dxa" w:w="69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Takeda Digital Health Leadership &amp; Salesforce Partnership Team</w:t>
            </w:r>
          </w:p>
        </w:tc>
      </w:tr>
      <w:tr>
        <w:tc>
          <w:tcPr>
            <w:tcW w:type="dxa" w:w="2400"/>
            <w:tcBorders>
              <w:top w:val="none" w:color="FFFFFF" w:sz="0"/>
              <w:left w:val="none" w:color="FFFFFF" w:sz="0"/>
              <w:bottom w:val="none" w:color="FFFFFF" w:sz="0"/>
              <w:right w:val="none" w:color="FFFFFF" w:sz="0"/>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20"/>
                <w:szCs w:val="20"/>
              </w:rPr>
              <w:t xml:space="preserve">Status</w:t>
            </w:r>
          </w:p>
        </w:tc>
        <w:tc>
          <w:tcPr>
            <w:tcW w:type="dxa" w:w="69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20"/>
                <w:szCs w:val="20"/>
              </w:rPr>
              <w:t xml:space="preserve">DRAFT — For Review &amp; Alignment</w:t>
            </w:r>
          </w:p>
        </w:tc>
      </w:tr>
    </w:tbl>
    <w:p>
      <w:pPr>
        <w:spacing w:after="0" w:before="0"/>
      </w:pPr>
      <w:r>
        <w:rPr>
          <w:sz w:val="60"/>
          <w:szCs w:val="60"/>
        </w:rPr>
        <w:t xml:space="preserve"/>
      </w:r>
    </w:p>
    <w:p>
      <w:pPr>
        <w:pBdr>
          <w:left w:val="single" w:color="E4003A" w:sz="24" w:space="8"/>
        </w:pBdr>
        <w:spacing w:after="0" w:before="0"/>
        <w:ind w:left="360"/>
      </w:pPr>
      <w:r>
        <w:rPr>
          <w:rFonts w:ascii="Arial" w:cs="Arial" w:eastAsia="Arial" w:hAnsi="Arial"/>
          <w:color w:val="444455"/>
          <w:sz w:val="22"/>
          <w:szCs w:val="22"/>
        </w:rPr>
        <w:t xml:space="preserve">This document defines the product vision, feature requirements, personalisation logic, and Salesforce integration architecture for a mobile iOS-like companion app supporting patients prescribed zasocitinib for moderate-to-severe plaque psoriasis.</w:t>
      </w:r>
    </w:p>
    <w:p>
      <w:pPr>
        <w:spacing w:after="0" w:before="0"/>
      </w:pPr>
      <w:r>
        <w:rPr>
          <w:sz w:val="200"/>
          <w:szCs w:val="200"/>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 Executive Summary</w:t>
      </w:r>
    </w:p>
    <w:p>
      <w:pPr>
        <w:spacing w:after="100" w:before="60"/>
      </w:pPr>
      <w:r>
        <w:rPr>
          <w:rFonts w:ascii="Arial" w:cs="Arial" w:eastAsia="Arial" w:hAnsi="Arial"/>
          <w:b w:val="false"/>
          <w:bCs w:val="false"/>
          <w:color w:val="444455"/>
          <w:sz w:val="22"/>
          <w:szCs w:val="22"/>
        </w:rPr>
        <w:t xml:space="preserve">Zasocitinib (TAK-279) is Takeda's once-daily oral TYK2 inhibitor for moderate-to-severe plaque psoriasis, with Phase 3 data showing approximately twice the skin clearance of the current best oral therapy. To maximise patient outcomes and adherence, Takeda will build a dedicated mobile companion app — 'For You With You: Zasocitinib' — extending the proven 'For You With You: IBD' platform to dermatology.</w:t>
      </w:r>
    </w:p>
    <w:p>
      <w:pPr>
        <w:spacing w:after="0" w:before="0"/>
      </w:pPr>
      <w:r>
        <w:rPr>
          <w:sz w:val="8"/>
          <w:szCs w:val="8"/>
        </w:rPr>
        <w:t xml:space="preserve"/>
      </w:r>
    </w:p>
    <w:p>
      <w:pPr>
        <w:spacing w:after="100" w:before="60"/>
      </w:pPr>
      <w:r>
        <w:rPr>
          <w:rFonts w:ascii="Arial" w:cs="Arial" w:eastAsia="Arial" w:hAnsi="Arial"/>
          <w:b w:val="false"/>
          <w:bCs w:val="false"/>
          <w:color w:val="444455"/>
          <w:sz w:val="22"/>
          <w:szCs w:val="22"/>
        </w:rPr>
        <w:t xml:space="preserve">The app's defining capability is Salesforce-powered personalisation: as patients log their itch score (NRS) and PsOdisk multi-domain assessment, the Salesforce platform dynamically selects and serves educational content that is clinically relevant to where that patient is in their journey at that moment. This transforms the app from a passive information repository into an intelligent, responsive care companion.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Core product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iOS-style mobile companion app (web-based, laptop-displayable, Heroku-hostable)</w:t>
            </w:r>
          </w:p>
        </w:tc>
      </w:tr>
      <w:tr>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Key differentiator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Real-time personalisation: patient symptom inputs (NRS itch + PsOdisk) drive educational content selection via Salesforce</w:t>
            </w:r>
          </w:p>
        </w:tc>
      </w:tr>
      <w:tr>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Orchestration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Salesforce Health Cloud + Data Cloud + Agentforce — real API integration, not simulated</w:t>
            </w:r>
          </w:p>
        </w:tc>
      </w:tr>
      <w:tr>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Platform foundation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Extends 'For You With You: IBD' — dermatology-adapted, not built from scratch</w:t>
            </w:r>
          </w:p>
        </w:tc>
      </w:tr>
      <w:tr>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Demo 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Localhost (laptop) initially; hosted on Heroku for broader stakeholder access</w:t>
            </w:r>
          </w:p>
        </w:tc>
      </w:tr>
    </w:tbl>
    <w:p>
      <w:pPr>
        <w:spacing w:after="0" w:before="0"/>
      </w:pPr>
      <w:r>
        <w:rPr>
          <w:sz w:val="16"/>
          <w:szCs w:val="16"/>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2. Problem Statement</w:t>
      </w:r>
    </w:p>
    <w:p>
      <w:pPr>
        <w:pStyle w:val="Heading2"/>
        <w:spacing w:after="120" w:before="280"/>
      </w:pPr>
      <w:r>
        <w:rPr>
          <w:rFonts w:ascii="Arial" w:cs="Arial" w:eastAsia="Arial" w:hAnsi="Arial"/>
          <w:b/>
          <w:bCs/>
          <w:color w:val="1B1F3B"/>
          <w:sz w:val="26"/>
          <w:szCs w:val="26"/>
        </w:rPr>
        <w:t xml:space="preserve">2.1 The Patient Reality</w:t>
      </w:r>
    </w:p>
    <w:p>
      <w:pPr>
        <w:spacing w:after="100" w:before="60"/>
      </w:pPr>
      <w:r>
        <w:rPr>
          <w:rFonts w:ascii="Arial" w:cs="Arial" w:eastAsia="Arial" w:hAnsi="Arial"/>
          <w:b w:val="false"/>
          <w:bCs w:val="false"/>
          <w:color w:val="444455"/>
          <w:sz w:val="22"/>
          <w:szCs w:val="22"/>
        </w:rPr>
        <w:t xml:space="preserve">Patients with moderate-to-severe plaque psoriasis face three compounding challenges that a digital companion can meaningfully address:</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b/>
          <w:bCs/>
          <w:color w:val="1B1F3B"/>
          <w:sz w:val="22"/>
          <w:szCs w:val="22"/>
        </w:rPr>
        <w:t xml:space="preserve">Adherence drop-off: </w:t>
      </w:r>
      <w:r>
        <w:rPr>
          <w:rFonts w:ascii="Arial" w:cs="Arial" w:eastAsia="Arial" w:hAnsi="Arial"/>
          <w:color w:val="444455"/>
          <w:sz w:val="22"/>
          <w:szCs w:val="22"/>
        </w:rPr>
        <w:t xml:space="preserve">Oral daily therapies see adherence rates decline over time. Without active engagement, patients miss doses, underestimate improvement, or discontinue prematurely.</w:t>
      </w:r>
    </w:p>
    <w:p>
      <w:pPr>
        <w:pStyle w:val="ListParagraph"/>
        <w:numPr>
          <w:ilvl w:val="0"/>
          <w:numId w:val="2"/>
        </w:numPr>
        <w:spacing w:after="40" w:before="40"/>
      </w:pPr>
      <w:r>
        <w:rPr>
          <w:rFonts w:ascii="Arial" w:cs="Arial" w:eastAsia="Arial" w:hAnsi="Arial"/>
          <w:b/>
          <w:bCs/>
          <w:color w:val="1B1F3B"/>
          <w:sz w:val="22"/>
          <w:szCs w:val="22"/>
        </w:rPr>
        <w:t xml:space="preserve">Information mismatch: </w:t>
      </w:r>
      <w:r>
        <w:rPr>
          <w:rFonts w:ascii="Arial" w:cs="Arial" w:eastAsia="Arial" w:hAnsi="Arial"/>
          <w:color w:val="444455"/>
          <w:sz w:val="22"/>
          <w:szCs w:val="22"/>
        </w:rPr>
        <w:t xml:space="preserve">Generic educational content is either irrelevant to a patient's current stage or overwhelms them with information they are not ready to act on. A patient at week 2 needs different content to one at week 12.</w:t>
      </w:r>
    </w:p>
    <w:p>
      <w:pPr>
        <w:pStyle w:val="ListParagraph"/>
        <w:numPr>
          <w:ilvl w:val="0"/>
          <w:numId w:val="2"/>
        </w:numPr>
        <w:spacing w:after="40" w:before="40"/>
      </w:pPr>
      <w:r>
        <w:rPr>
          <w:rFonts w:ascii="Arial" w:cs="Arial" w:eastAsia="Arial" w:hAnsi="Arial"/>
          <w:b/>
          <w:bCs/>
          <w:color w:val="1B1F3B"/>
          <w:sz w:val="22"/>
          <w:szCs w:val="22"/>
        </w:rPr>
        <w:t xml:space="preserve">Silent deterioration: </w:t>
      </w:r>
      <w:r>
        <w:rPr>
          <w:rFonts w:ascii="Arial" w:cs="Arial" w:eastAsia="Arial" w:hAnsi="Arial"/>
          <w:color w:val="444455"/>
          <w:sz w:val="22"/>
          <w:szCs w:val="22"/>
        </w:rPr>
        <w:t xml:space="preserve">Without structured symptom tracking, early signs of flare or suboptimal response go unnoticed until the next HCP visit — often months away.</w:t>
      </w:r>
    </w:p>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2.2 The Takeda Opportunity</w:t>
      </w:r>
    </w:p>
    <w:p>
      <w:pPr>
        <w:spacing w:after="100" w:before="60"/>
      </w:pPr>
      <w:r>
        <w:rPr>
          <w:rFonts w:ascii="Arial" w:cs="Arial" w:eastAsia="Arial" w:hAnsi="Arial"/>
          <w:b w:val="false"/>
          <w:bCs w:val="false"/>
          <w:color w:val="444455"/>
          <w:sz w:val="22"/>
          <w:szCs w:val="22"/>
        </w:rPr>
        <w:t xml:space="preserve">Zasocitinib's Phase 3 data positions it as potentially the most effective oral psoriasis therapy available. The clinical story is compelling. The digital engagement story must match it. A companion app that adapts to each patient's data — not just delivering content, but delivering the right content at the right moment — creates measurable advantages:</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color w:val="444455"/>
          <w:sz w:val="22"/>
          <w:szCs w:val="22"/>
        </w:rPr>
        <w:t xml:space="preserve">Higher adherence through personalised, stage-appropriate engagement</w:t>
      </w:r>
    </w:p>
    <w:p>
      <w:pPr>
        <w:pStyle w:val="ListParagraph"/>
        <w:numPr>
          <w:ilvl w:val="0"/>
          <w:numId w:val="2"/>
        </w:numPr>
        <w:spacing w:after="40" w:before="40"/>
      </w:pPr>
      <w:r>
        <w:rPr>
          <w:rFonts w:ascii="Arial" w:cs="Arial" w:eastAsia="Arial" w:hAnsi="Arial"/>
          <w:color w:val="444455"/>
          <w:sz w:val="22"/>
          <w:szCs w:val="22"/>
        </w:rPr>
        <w:t xml:space="preserve">Earlier identification of suboptimal responders via symptom trend data</w:t>
      </w:r>
    </w:p>
    <w:p>
      <w:pPr>
        <w:pStyle w:val="ListParagraph"/>
        <w:numPr>
          <w:ilvl w:val="0"/>
          <w:numId w:val="2"/>
        </w:numPr>
        <w:spacing w:after="40" w:before="40"/>
      </w:pPr>
      <w:r>
        <w:rPr>
          <w:rFonts w:ascii="Arial" w:cs="Arial" w:eastAsia="Arial" w:hAnsi="Arial"/>
          <w:color w:val="444455"/>
          <w:sz w:val="22"/>
          <w:szCs w:val="22"/>
        </w:rPr>
        <w:t xml:space="preserve">Richer real-world evidence from structured patient-reported outcomes (NRS, PsOdisk, DLQI)</w:t>
      </w:r>
    </w:p>
    <w:p>
      <w:pPr>
        <w:pStyle w:val="ListParagraph"/>
        <w:numPr>
          <w:ilvl w:val="0"/>
          <w:numId w:val="2"/>
        </w:numPr>
        <w:spacing w:after="40" w:before="40"/>
      </w:pPr>
      <w:r>
        <w:rPr>
          <w:rFonts w:ascii="Arial" w:cs="Arial" w:eastAsia="Arial" w:hAnsi="Arial"/>
          <w:color w:val="444455"/>
          <w:sz w:val="22"/>
          <w:szCs w:val="22"/>
        </w:rPr>
        <w:t xml:space="preserve">Stronger HCP-patient-Takeda relationships through shared data and reports</w:t>
      </w:r>
    </w:p>
    <w:p>
      <w:pPr>
        <w:spacing w:after="0" w:before="0"/>
      </w:pPr>
      <w:r>
        <w:rPr>
          <w:sz w:val="4"/>
          <w:szCs w:val="4"/>
        </w:rPr>
        <w:t xml:space="preserve"/>
      </w:r>
    </w:p>
    <w:p>
      <w:pPr>
        <w:spacing w:after="100" w:before="60"/>
      </w:pPr>
      <w:r>
        <w:rPr>
          <w:rFonts w:ascii="Arial" w:cs="Arial" w:eastAsia="Arial" w:hAnsi="Arial"/>
          <w:b w:val="false"/>
          <w:bCs w:val="false"/>
          <w:color w:val="444455"/>
          <w:sz w:val="22"/>
          <w:szCs w:val="22"/>
        </w:rPr>
        <w:t xml:space="preserve">Critically, this is not a new product category for Takeda. The 'For You With You: IBD' platform has already proven the model. This is an extension.</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3. Product Vision &amp; Goals</w:t>
      </w:r>
    </w:p>
    <w:p>
      <w:pPr>
        <w:pBdr>
          <w:left w:val="single" w:color="E4003A" w:sz="24" w:space="8"/>
        </w:pBdr>
        <w:spacing w:after="160" w:before="120"/>
        <w:ind w:left="360"/>
      </w:pPr>
      <w:r>
        <w:rPr>
          <w:rFonts w:ascii="Arial" w:cs="Arial" w:eastAsia="Arial" w:hAnsi="Arial"/>
          <w:b/>
          <w:bCs/>
          <w:i/>
          <w:iCs/>
          <w:color w:val="1B1F3B"/>
          <w:sz w:val="26"/>
          <w:szCs w:val="26"/>
        </w:rPr>
        <w:t xml:space="preserve">"For every zasocitinib patient, the right support — at the right moment in their journey — delivered through an experience that adapts to them, not the other way around."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c>
          <w:tcPr>
            <w:tcW w:type="dxa" w:w="36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Product Goal</w:t>
            </w:r>
          </w:p>
        </w:tc>
        <w:tc>
          <w:tcPr>
            <w:tcW w:type="dxa" w:w="3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Success Metric</w:t>
            </w:r>
          </w:p>
        </w:tc>
        <w:tc>
          <w:tcPr>
            <w:tcW w:type="dxa" w:w="23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Improve medication adherence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Daily dose confirmation rate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20"/>
                <w:szCs w:val="20"/>
              </w:rPr>
              <w:t xml:space="preserve">≥85% at 16 weeks</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Deliver stage-relevant education</w:t>
            </w:r>
          </w:p>
        </w:tc>
        <w:tc>
          <w:tcPr>
            <w:tcW w:type="dxa" w:w="3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Content engagement rate per session</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20"/>
                <w:szCs w:val="20"/>
              </w:rPr>
              <w:t xml:space="preserve">&gt;60% open rate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Capture structured PROs at scale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NRS + PsOdisk completion per week</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20"/>
                <w:szCs w:val="20"/>
              </w:rPr>
              <w:t xml:space="preserve">≥4 datapoints/week</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Improve quality of life (DLQI)</w:t>
            </w:r>
          </w:p>
        </w:tc>
        <w:tc>
          <w:tcPr>
            <w:tcW w:type="dxa" w:w="3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DLQI reduction from baseline at wk 16</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20"/>
                <w:szCs w:val="20"/>
              </w:rPr>
              <w:t xml:space="preserve">≥5 point reduction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Enable demo for Takeda stakeholders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Live Heroku demo accessible to stakeholders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20"/>
                <w:szCs w:val="20"/>
              </w:rPr>
              <w:t xml:space="preserve">Phase 1 deliverable</w:t>
            </w:r>
          </w:p>
        </w:tc>
      </w:tr>
    </w:tbl>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4. Target User</w:t>
      </w:r>
    </w:p>
    <w:p>
      <w:pPr>
        <w:pStyle w:val="Heading2"/>
        <w:spacing w:after="120" w:before="280"/>
      </w:pPr>
      <w:r>
        <w:rPr>
          <w:rFonts w:ascii="Arial" w:cs="Arial" w:eastAsia="Arial" w:hAnsi="Arial"/>
          <w:b/>
          <w:bCs/>
          <w:color w:val="1B1F3B"/>
          <w:sz w:val="26"/>
          <w:szCs w:val="26"/>
        </w:rPr>
        <w:t xml:space="preserve">Primary: Zasocitinib Patient</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Profile</w:t>
            </w:r>
          </w:p>
        </w:tc>
        <w:tc>
          <w:tcPr>
            <w:tcW w:type="dxa" w:w="468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Needs from the app</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tcPr>
          <w:p>
            <w:pPr>
              <w:spacing w:after="40" w:before="0"/>
            </w:pPr>
            <w:r>
              <w:rPr>
                <w:rFonts w:ascii="Arial" w:cs="Arial" w:eastAsia="Arial" w:hAnsi="Arial"/>
                <w:color w:val="444455"/>
                <w:sz w:val="20"/>
                <w:szCs w:val="20"/>
              </w:rPr>
              <w:t xml:space="preserve">Adult with moderate-to-severe plaque psoriasis</w:t>
            </w:r>
          </w:p>
          <w:p>
            <w:pPr>
              <w:spacing w:after="40" w:before="0"/>
            </w:pPr>
            <w:r>
              <w:rPr>
                <w:rFonts w:ascii="Arial" w:cs="Arial" w:eastAsia="Arial" w:hAnsi="Arial"/>
                <w:color w:val="444455"/>
                <w:sz w:val="20"/>
                <w:szCs w:val="20"/>
              </w:rPr>
              <w:t xml:space="preserve">Prescribed zasocitinib (once-daily oral)</w:t>
            </w:r>
          </w:p>
          <w:p>
            <w:pPr>
              <w:spacing w:after="40" w:before="0"/>
            </w:pPr>
            <w:r>
              <w:rPr>
                <w:rFonts w:ascii="Arial" w:cs="Arial" w:eastAsia="Arial" w:hAnsi="Arial"/>
                <w:color w:val="444455"/>
                <w:sz w:val="20"/>
                <w:szCs w:val="20"/>
              </w:rPr>
              <w:t xml:space="preserve">May have tried topicals, phototherapy, or biologics</w:t>
            </w:r>
          </w:p>
          <w:p>
            <w:pPr>
              <w:spacing w:after="40" w:before="0"/>
            </w:pPr>
            <w:r>
              <w:rPr>
                <w:rFonts w:ascii="Arial" w:cs="Arial" w:eastAsia="Arial" w:hAnsi="Arial"/>
                <w:color w:val="444455"/>
                <w:sz w:val="20"/>
                <w:szCs w:val="20"/>
              </w:rPr>
              <w:t xml:space="preserve">Smartphone-comfortable; not necessarily tech-savvy</w:t>
            </w:r>
          </w:p>
          <w:p>
            <w:pPr>
              <w:spacing w:after="0" w:before="0"/>
            </w:pPr>
            <w:r>
              <w:rPr>
                <w:rFonts w:ascii="Arial" w:cs="Arial" w:eastAsia="Arial" w:hAnsi="Arial"/>
                <w:color w:val="444455"/>
                <w:sz w:val="20"/>
                <w:szCs w:val="20"/>
              </w:rPr>
              <w:t xml:space="preserve">DLQI often &gt;10 at start — psoriasis significantly impacts life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0"/>
            </w:pPr>
            <w:r>
              <w:rPr>
                <w:rFonts w:ascii="Arial" w:cs="Arial" w:eastAsia="Arial" w:hAnsi="Arial"/>
                <w:color w:val="444455"/>
                <w:sz w:val="20"/>
                <w:szCs w:val="20"/>
              </w:rPr>
              <w:t xml:space="preserve">Simple, low-friction daily tracking</w:t>
            </w:r>
          </w:p>
          <w:p>
            <w:pPr>
              <w:spacing w:after="40" w:before="0"/>
            </w:pPr>
            <w:r>
              <w:rPr>
                <w:rFonts w:ascii="Arial" w:cs="Arial" w:eastAsia="Arial" w:hAnsi="Arial"/>
                <w:color w:val="444455"/>
                <w:sz w:val="20"/>
                <w:szCs w:val="20"/>
              </w:rPr>
              <w:t xml:space="preserve">Reassurance that treatment is working</w:t>
            </w:r>
          </w:p>
          <w:p>
            <w:pPr>
              <w:spacing w:after="40" w:before="0"/>
            </w:pPr>
            <w:r>
              <w:rPr>
                <w:rFonts w:ascii="Arial" w:cs="Arial" w:eastAsia="Arial" w:hAnsi="Arial"/>
                <w:color w:val="444455"/>
                <w:sz w:val="20"/>
                <w:szCs w:val="20"/>
              </w:rPr>
              <w:t xml:space="preserve">Education matched to where they are, not a library dump</w:t>
            </w:r>
          </w:p>
          <w:p>
            <w:pPr>
              <w:spacing w:after="40" w:before="0"/>
            </w:pPr>
            <w:r>
              <w:rPr>
                <w:rFonts w:ascii="Arial" w:cs="Arial" w:eastAsia="Arial" w:hAnsi="Arial"/>
                <w:color w:val="444455"/>
                <w:sz w:val="20"/>
                <w:szCs w:val="20"/>
              </w:rPr>
              <w:t xml:space="preserve">Easy way to share progress with their dermatologist</w:t>
            </w:r>
          </w:p>
          <w:p>
            <w:pPr>
              <w:spacing w:after="0" w:before="0"/>
            </w:pPr>
            <w:r>
              <w:rPr>
                <w:rFonts w:ascii="Arial" w:cs="Arial" w:eastAsia="Arial" w:hAnsi="Arial"/>
                <w:i/>
                <w:iCs/>
                <w:color w:val="444455"/>
                <w:sz w:val="20"/>
                <w:szCs w:val="20"/>
              </w:rPr>
              <w:t xml:space="preserve">A sense that the app 'knows them'</w:t>
            </w:r>
          </w:p>
        </w:tc>
      </w:tr>
    </w:tbl>
    <w:p>
      <w:pPr>
        <w:spacing w:after="0" w:before="0"/>
      </w:pPr>
      <w:r>
        <w:rPr>
          <w:sz w:val="16"/>
          <w:szCs w:val="16"/>
        </w:rPr>
        <w:t xml:space="preserve"/>
      </w:r>
    </w:p>
    <w:p>
      <w:pPr>
        <w:pStyle w:val="Heading2"/>
        <w:spacing w:after="120" w:before="280"/>
      </w:pPr>
      <w:r>
        <w:rPr>
          <w:rFonts w:ascii="Arial" w:cs="Arial" w:eastAsia="Arial" w:hAnsi="Arial"/>
          <w:b/>
          <w:bCs/>
          <w:color w:val="1B1F3B"/>
          <w:sz w:val="26"/>
          <w:szCs w:val="26"/>
        </w:rPr>
        <w:t xml:space="preserve">Secondary: Dermatologist / HCP</w:t>
      </w:r>
    </w:p>
    <w:p>
      <w:pPr>
        <w:spacing w:after="100" w:before="60"/>
      </w:pPr>
      <w:r>
        <w:rPr>
          <w:rFonts w:ascii="Arial" w:cs="Arial" w:eastAsia="Arial" w:hAnsi="Arial"/>
          <w:b w:val="false"/>
          <w:bCs w:val="false"/>
          <w:color w:val="444455"/>
          <w:sz w:val="22"/>
          <w:szCs w:val="22"/>
        </w:rPr>
        <w:t xml:space="preserve">The HCP is not a direct app user but receives output from it — specifically 'My Health Report', an auto-generated symptom summary prepared ahead of appointments. Requirements for HCP output are covered in Section 6.</w:t>
      </w:r>
    </w:p>
    <w:p>
      <w:pPr>
        <w:spacing w:after="0" w:before="0"/>
      </w:pPr>
      <w:r>
        <w:rPr>
          <w:sz w:val="16"/>
          <w:szCs w:val="16"/>
        </w:rPr>
        <w:t xml:space="preserve"/>
      </w:r>
    </w:p>
    <w:p>
      <w:pPr>
        <w:pStyle w:val="Heading2"/>
        <w:spacing w:after="120" w:before="280"/>
      </w:pPr>
      <w:r>
        <w:rPr>
          <w:rFonts w:ascii="Arial" w:cs="Arial" w:eastAsia="Arial" w:hAnsi="Arial"/>
          <w:b/>
          <w:bCs/>
          <w:color w:val="1B1F3B"/>
          <w:sz w:val="26"/>
          <w:szCs w:val="26"/>
        </w:rPr>
        <w:t xml:space="preserve">Tertiary: Patient Navigator (Takeda Internal)</w:t>
      </w:r>
    </w:p>
    <w:p>
      <w:pPr>
        <w:spacing w:after="100" w:before="60"/>
      </w:pPr>
      <w:r>
        <w:rPr>
          <w:rFonts w:ascii="Arial" w:cs="Arial" w:eastAsia="Arial" w:hAnsi="Arial"/>
          <w:b w:val="false"/>
          <w:bCs w:val="false"/>
          <w:color w:val="444455"/>
          <w:sz w:val="22"/>
          <w:szCs w:val="22"/>
        </w:rPr>
        <w:t xml:space="preserve">Patient Navigators are Takeda employees responsible for monitoring patient programme engagement and intervening when AI-led support is insufficient. They are not the first line of support — that role belongs to the Agentforce AI agent. They engage when a patient is flagged as at risk, requests human contact, or cannot be reached through automated outreach.</w:t>
      </w:r>
    </w:p>
    <w:p>
      <w:pPr>
        <w:spacing w:after="0" w:before="0"/>
      </w:pPr>
      <w:r>
        <w:rPr>
          <w:sz w:val="8"/>
          <w:szCs w:val="8"/>
        </w:rPr>
        <w:t xml:space="preserve"/>
      </w:r>
    </w:p>
    <w:p>
      <w:pPr>
        <w:spacing w:after="100" w:before="60"/>
      </w:pPr>
      <w:r>
        <w:rPr>
          <w:rFonts w:ascii="Arial" w:cs="Arial" w:eastAsia="Arial" w:hAnsi="Arial"/>
          <w:b/>
          <w:bCs/>
          <w:color w:val="444455"/>
          <w:sz w:val="22"/>
          <w:szCs w:val="22"/>
        </w:rPr>
        <w:t xml:space="preserve">Recommended role title: Patient Navigator. Alternative: Patient Engagement Specialist.</w:t>
      </w:r>
    </w:p>
    <w:p>
      <w:pPr>
        <w:spacing w:after="0" w:before="0"/>
      </w:pPr>
      <w:r>
        <w:rPr>
          <w:sz w:val="6"/>
          <w:szCs w:val="6"/>
        </w:rPr>
        <w:t xml:space="preserve"/>
      </w:r>
    </w:p>
    <w:p>
      <w:pPr>
        <w:spacing w:after="100" w:before="60"/>
      </w:pPr>
      <w:r>
        <w:rPr>
          <w:rFonts w:ascii="Arial" w:cs="Arial" w:eastAsia="Arial" w:hAnsi="Arial"/>
          <w:b w:val="false"/>
          <w:bCs w:val="false"/>
          <w:color w:val="444455"/>
          <w:sz w:val="22"/>
          <w:szCs w:val="22"/>
        </w:rPr>
        <w:t xml:space="preserve">The reasoning: 'Navigator' is widely understood in healthcare as a role that guides patients through a complex system without clinical responsibility. It conveys support and direction without implying the Takeda employee is a clinician. 'Patient Engagement Specialist' is a strong alternative where a more formal title is preferred. Both are preferable to 'Patient Liaison', which can imply an intermediary between parties rather than a dedicated patient support role.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Patient Navigator Profile</w:t>
            </w:r>
          </w:p>
        </w:tc>
        <w:tc>
          <w:tcPr>
            <w:tcW w:type="dxa" w:w="468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FFFFFF"/>
                <w:sz w:val="19"/>
                <w:szCs w:val="19"/>
              </w:rPr>
              <w:t xml:space="preserve">Needs from the Command Center</w:t>
            </w:r>
          </w:p>
        </w:tc>
      </w:tr>
      <w:tr>
        <w:tc>
          <w:tcPr>
            <w:tcW w:type="dxa" w:w="468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tcPr>
          <w:p>
            <w:pPr>
              <w:spacing w:after="40" w:before="0"/>
            </w:pPr>
            <w:r>
              <w:rPr>
                <w:rFonts w:ascii="Arial" w:cs="Arial" w:eastAsia="Arial" w:hAnsi="Arial"/>
                <w:color w:val="444455"/>
                <w:sz w:val="20"/>
                <w:szCs w:val="20"/>
              </w:rPr>
              <w:t xml:space="preserve">Takeda employee (not a clinician)</w:t>
            </w:r>
          </w:p>
          <w:p>
            <w:pPr>
              <w:spacing w:after="40" w:before="0"/>
            </w:pPr>
            <w:r>
              <w:rPr>
                <w:rFonts w:ascii="Arial" w:cs="Arial" w:eastAsia="Arial" w:hAnsi="Arial"/>
                <w:color w:val="444455"/>
                <w:sz w:val="20"/>
                <w:szCs w:val="20"/>
              </w:rPr>
              <w:t xml:space="preserve">Responsible for patient programme health and engagement</w:t>
            </w:r>
          </w:p>
          <w:p>
            <w:pPr>
              <w:spacing w:after="40" w:before="0"/>
            </w:pPr>
            <w:r>
              <w:rPr>
                <w:rFonts w:ascii="Arial" w:cs="Arial" w:eastAsia="Arial" w:hAnsi="Arial"/>
                <w:color w:val="444455"/>
                <w:sz w:val="20"/>
                <w:szCs w:val="20"/>
              </w:rPr>
              <w:t xml:space="preserve">Third line of support: AI agent (1st), nurse line (2nd), Navigator (3rd)</w:t>
            </w:r>
          </w:p>
          <w:p>
            <w:pPr>
              <w:spacing w:after="40" w:before="0"/>
            </w:pPr>
            <w:r>
              <w:rPr>
                <w:rFonts w:ascii="Arial" w:cs="Arial" w:eastAsia="Arial" w:hAnsi="Arial"/>
                <w:color w:val="444455"/>
                <w:sz w:val="20"/>
                <w:szCs w:val="20"/>
              </w:rPr>
              <w:t xml:space="preserve">Works from a web dashboard — not the mobile app itself</w:t>
            </w:r>
          </w:p>
          <w:p>
            <w:pPr>
              <w:spacing w:after="0" w:before="0"/>
            </w:pPr>
            <w:r>
              <w:rPr>
                <w:rFonts w:ascii="Arial" w:cs="Arial" w:eastAsia="Arial" w:hAnsi="Arial"/>
                <w:i/>
                <w:iCs/>
                <w:color w:val="444455"/>
                <w:sz w:val="20"/>
                <w:szCs w:val="20"/>
              </w:rPr>
              <w:t xml:space="preserve">Makes decisions; delegates execution to Agentforce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before="0"/>
            </w:pPr>
            <w:r>
              <w:rPr>
                <w:rFonts w:ascii="Arial" w:cs="Arial" w:eastAsia="Arial" w:hAnsi="Arial"/>
                <w:color w:val="444455"/>
                <w:sz w:val="20"/>
                <w:szCs w:val="20"/>
              </w:rPr>
              <w:t xml:space="preserve">Aggregated PRO and engagement data across the patient population</w:t>
            </w:r>
          </w:p>
          <w:p>
            <w:pPr>
              <w:spacing w:after="40" w:before="0"/>
            </w:pPr>
            <w:r>
              <w:rPr>
                <w:rFonts w:ascii="Arial" w:cs="Arial" w:eastAsia="Arial" w:hAnsi="Arial"/>
                <w:color w:val="444455"/>
                <w:sz w:val="20"/>
                <w:szCs w:val="20"/>
              </w:rPr>
              <w:t xml:space="preserve">Proactive alerts for pseudonymised at-risk patients</w:t>
            </w:r>
          </w:p>
          <w:p>
            <w:pPr>
              <w:spacing w:after="40" w:before="0"/>
            </w:pPr>
            <w:r>
              <w:rPr>
                <w:rFonts w:ascii="Arial" w:cs="Arial" w:eastAsia="Arial" w:hAnsi="Arial"/>
                <w:color w:val="444455"/>
                <w:sz w:val="20"/>
                <w:szCs w:val="20"/>
              </w:rPr>
              <w:t xml:space="preserve">One-click actions that trigger Agentforce outreach</w:t>
            </w:r>
          </w:p>
          <w:p>
            <w:pPr>
              <w:spacing w:after="40" w:before="0"/>
            </w:pPr>
            <w:r>
              <w:rPr>
                <w:rFonts w:ascii="Arial" w:cs="Arial" w:eastAsia="Arial" w:hAnsi="Arial"/>
                <w:color w:val="444455"/>
                <w:sz w:val="20"/>
                <w:szCs w:val="20"/>
              </w:rPr>
              <w:t xml:space="preserve">Confidence that the AI is handling routine cases well</w:t>
            </w:r>
          </w:p>
          <w:p>
            <w:pPr>
              <w:spacing w:after="0" w:before="0"/>
            </w:pPr>
            <w:r>
              <w:rPr>
                <w:rFonts w:ascii="Arial" w:cs="Arial" w:eastAsia="Arial" w:hAnsi="Arial"/>
                <w:i/>
                <w:iCs/>
                <w:color w:val="444455"/>
                <w:sz w:val="20"/>
                <w:szCs w:val="20"/>
              </w:rPr>
              <w:t xml:space="preserve">A single view of programme performance — not scattered reports</w:t>
            </w:r>
          </w:p>
        </w:tc>
      </w:tr>
    </w:tbl>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5. Patient Journey Context</w:t>
      </w:r>
    </w:p>
    <w:p>
      <w:pPr>
        <w:spacing w:after="100" w:before="60"/>
      </w:pPr>
      <w:r>
        <w:rPr>
          <w:rFonts w:ascii="Arial" w:cs="Arial" w:eastAsia="Arial" w:hAnsi="Arial"/>
          <w:b w:val="false"/>
          <w:bCs w:val="false"/>
          <w:color w:val="444455"/>
          <w:sz w:val="22"/>
          <w:szCs w:val="22"/>
        </w:rPr>
        <w:t xml:space="preserve">The app maps to an 8-stage patient journey from first flare to long-term management. The personalisation engine uses the patient's current stage — in combination with their NRS and PsOdisk inputs — to determine content. Stages are defined by week on therapy and tracked automatically.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00"/>
        <w:gridCol w:w="1100"/>
        <w:gridCol w:w="5100"/>
        <w:gridCol w:w="900"/>
      </w:tblGrid>
      <w:tr>
        <w:tc>
          <w:tcPr>
            <w:tcW w:type="dxa" w:w="3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9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Stage</w:t>
            </w:r>
          </w:p>
        </w:tc>
        <w:tc>
          <w:tcPr>
            <w:tcW w:type="dxa" w:w="11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Timing</w:t>
            </w:r>
          </w:p>
        </w:tc>
        <w:tc>
          <w:tcPr>
            <w:tcW w:type="dxa" w:w="51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App Role</w:t>
            </w:r>
          </w:p>
        </w:tc>
        <w:tc>
          <w:tcPr>
            <w:tcW w:type="dxa" w:w="9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SF Layer</w:t>
            </w:r>
          </w:p>
        </w:tc>
      </w:tr>
      <w:tr>
        <w:tc>
          <w:tcPr>
            <w:tcW w:type="dxa" w:w="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1</w:t>
            </w:r>
          </w:p>
        </w:tc>
        <w:tc>
          <w:tcPr>
            <w:tcW w:type="dxa" w:w="1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Living with Psoriasis</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Pre-Rx</w:t>
            </w:r>
          </w:p>
        </w:tc>
        <w:tc>
          <w:tcPr>
            <w:tcW w:type="dxa" w:w="5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Awareness content served via Marketing Cloud; programme discovery</w:t>
            </w:r>
          </w:p>
        </w:tc>
        <w:tc>
          <w:tcPr>
            <w:tcW w:type="dxa" w:w="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MC</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Dermatologist Visit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Day 0</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HCP enrols patient; Health Cloud profile created; baseline captured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w:t>
            </w:r>
          </w:p>
        </w:tc>
      </w:tr>
      <w:tr>
        <w:tc>
          <w:tcPr>
            <w:tcW w:type="dxa" w:w="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3</w:t>
            </w:r>
          </w:p>
        </w:tc>
        <w:tc>
          <w:tcPr>
            <w:tcW w:type="dxa" w:w="1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App Onboarding</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Day 1</w:t>
            </w:r>
          </w:p>
        </w:tc>
        <w:tc>
          <w:tcPr>
            <w:tcW w:type="dxa" w:w="5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Baseline NRS, PsOdisk, BSA, photo; dose reminder configured</w:t>
            </w:r>
          </w:p>
        </w:tc>
        <w:tc>
          <w:tcPr>
            <w:tcW w:type="dxa" w:w="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 + DC</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First Dose &amp; Early Weeks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Wks 1–4</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Daily dose confirm; NRS diary; side-effect check-in; education push</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AF + MC</w:t>
            </w:r>
          </w:p>
        </w:tc>
      </w:tr>
      <w:tr>
        <w:tc>
          <w:tcPr>
            <w:tcW w:type="dxa" w:w="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5</w:t>
            </w:r>
          </w:p>
        </w:tc>
        <w:tc>
          <w:tcPr>
            <w:tcW w:type="dxa" w:w="1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Week 4 Check-in</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Wk 4</w:t>
            </w:r>
          </w:p>
        </w:tc>
        <w:tc>
          <w:tcPr>
            <w:tcW w:type="dxa" w:w="5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Progress photo compare; PASI self-assessment; My Health Report</w:t>
            </w:r>
          </w:p>
        </w:tc>
        <w:tc>
          <w:tcPr>
            <w:tcW w:type="dxa" w:w="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 + AF</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Visible Clearance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Wks 8–16</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PASI 75 milestone trigger; photo comparison; DLQI resurvey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DC + MC</w:t>
            </w:r>
          </w:p>
        </w:tc>
      </w:tr>
      <w:tr>
        <w:tc>
          <w:tcPr>
            <w:tcW w:type="dxa" w:w="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7</w:t>
            </w:r>
          </w:p>
        </w:tc>
        <w:tc>
          <w:tcPr>
            <w:tcW w:type="dxa" w:w="1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Refill &amp; HCP Review</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Wk 16</w:t>
            </w:r>
          </w:p>
        </w:tc>
        <w:tc>
          <w:tcPr>
            <w:tcW w:type="dxa" w:w="5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Proactive refill; 16-wk report; trigger diary AI review</w:t>
            </w:r>
          </w:p>
        </w:tc>
        <w:tc>
          <w:tcPr>
            <w:tcW w:type="dxa" w:w="9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 + MC</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center"/>
            </w:pPr>
            <w:r>
              <w:rPr>
                <w:rFonts w:ascii="Arial" w:cs="Arial" w:eastAsia="Arial" w:hAnsi="Arial"/>
                <w:b/>
                <w:bCs/>
                <w:i w:val="false"/>
                <w:iCs w:val="false"/>
                <w:color w:val="E4003A"/>
                <w:sz w:val="19"/>
                <w:szCs w:val="19"/>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Long-term Living Well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Wk 16+</w:t>
            </w:r>
          </w:p>
        </w:tc>
        <w:tc>
          <w:tcPr>
            <w:tcW w:type="dxa" w:w="5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Flare prediction; community; annual DLQI; real-world evidence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AF + HC + DC</w:t>
            </w:r>
          </w:p>
        </w:tc>
      </w:tr>
    </w:tbl>
    <w:p>
      <w:pPr>
        <w:spacing w:after="0" w:before="0"/>
      </w:pPr>
      <w:r>
        <w:rPr>
          <w:sz w:val="4"/>
          <w:szCs w:val="4"/>
        </w:rPr>
        <w:t xml:space="preserve"/>
      </w:r>
    </w:p>
    <w:p>
      <w:pPr>
        <w:spacing w:after="100" w:before="60"/>
      </w:pPr>
      <w:r>
        <w:rPr>
          <w:rFonts w:ascii="Arial" w:cs="Arial" w:eastAsia="Arial" w:hAnsi="Arial"/>
          <w:b w:val="false"/>
          <w:bCs w:val="false"/>
          <w:color w:val="444455"/>
          <w:sz w:val="22"/>
          <w:szCs w:val="22"/>
        </w:rPr>
        <w:t xml:space="preserve">HC = Health Cloud   DC = Data Cloud   AF = Agentforce   MC = Marketing Cloud</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6. Core App Features &amp; Screens</w:t>
      </w:r>
    </w:p>
    <w:p>
      <w:pPr>
        <w:spacing w:after="100" w:before="60"/>
      </w:pPr>
      <w:r>
        <w:rPr>
          <w:rFonts w:ascii="Arial" w:cs="Arial" w:eastAsia="Arial" w:hAnsi="Arial"/>
          <w:b w:val="false"/>
          <w:bCs w:val="false"/>
          <w:color w:val="444455"/>
          <w:sz w:val="22"/>
          <w:szCs w:val="22"/>
        </w:rPr>
        <w:t xml:space="preserve">The app is a single-page web application styled as an iOS mobile experience (375px wide, full-height phone frame). It is displayed inside a laptop browser and deployable to Heroku. Each screen below is a distinct route.</w:t>
      </w:r>
    </w:p>
    <w:p>
      <w:pPr>
        <w:spacing w:after="0" w:before="0"/>
      </w:pPr>
      <w:r>
        <w:rPr>
          <w:sz w:val="10"/>
          <w:szCs w:val="10"/>
        </w:rPr>
        <w:t xml:space="preserve"/>
      </w:r>
    </w:p>
    <w:p>
      <w:pPr>
        <w:pBdr>
          <w:left w:val="single" w:color="E6A800" w:sz="24" w:space="8"/>
        </w:pBdr>
        <w:spacing w:after="80" w:before="80"/>
        <w:ind w:left="360"/>
      </w:pPr>
      <w:r>
        <w:rPr>
          <w:rFonts w:ascii="Arial" w:cs="Arial" w:eastAsia="Arial" w:hAnsi="Arial"/>
          <w:b/>
          <w:bCs/>
          <w:color w:val="1B1F3B"/>
          <w:sz w:val="22"/>
          <w:szCs w:val="22"/>
        </w:rPr>
        <w:t xml:space="preserve">Persistent AI Agent Access — Floating Chat Bubble: </w:t>
      </w:r>
      <w:r>
        <w:rPr>
          <w:rFonts w:ascii="Arial" w:cs="Arial" w:eastAsia="Arial" w:hAnsi="Arial"/>
          <w:color w:val="444455"/>
          <w:sz w:val="22"/>
          <w:szCs w:val="22"/>
        </w:rPr>
        <w:t xml:space="preserve">An Agentforce-powered floating chat bubble is present on every screen in the app at all times. It sits in the bottom-right corner of the phone frame and gives the patient immediate, one-tap access to the AI agent regardless of which screen they are currently on. This ensures support is always one tap away — not buried in a support menu. The bubble pulses with a subtle notification indicator when Agentforce has a proactive message for the patient (e.g. a streak encouragement or an adherence nudge). Screen 7 (Support) continues to exist as the dedicated full-screen support hub with nurse access, refill management, and community resources.</w:t>
      </w:r>
    </w:p>
    <w:p>
      <w:pPr>
        <w:spacing w:after="0" w:before="0"/>
      </w:pPr>
      <w:r>
        <w:rPr>
          <w:sz w:val="10"/>
          <w:szCs w:val="10"/>
        </w:rPr>
        <w:t xml:space="preserve"/>
      </w:r>
    </w:p>
    <w:p>
      <w:pPr>
        <w:spacing w:after="80" w:before="200"/>
      </w:pPr>
      <w:r>
        <w:rPr>
          <w:rFonts w:ascii="Arial" w:cs="Arial" w:eastAsia="Arial" w:hAnsi="Arial"/>
          <w:b/>
          <w:bCs/>
          <w:color w:val="005F8E"/>
          <w:sz w:val="22"/>
          <w:szCs w:val="22"/>
        </w:rPr>
        <w:t xml:space="preserve">Home Dashboard</w:t>
      </w:r>
    </w:p>
    <w:p>
      <w:pPr>
        <w:spacing w:after="100" w:before="60"/>
      </w:pPr>
      <w:r>
        <w:rPr>
          <w:rFonts w:ascii="Arial" w:cs="Arial" w:eastAsia="Arial" w:hAnsi="Arial"/>
          <w:b w:val="false"/>
          <w:bCs w:val="false"/>
          <w:color w:val="444455"/>
          <w:sz w:val="22"/>
          <w:szCs w:val="22"/>
        </w:rPr>
        <w:t xml:space="preserve">Central hub showing today's adherence status, last NRS score, current journey stage, and a personalised content card. Dose confirmation CTA prominent.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NRS trend sparkline; stage progress bar; personalised content teaser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Health Cloud (patient record); Data Cloud (latest scores)</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Daily Check-in</w:t>
      </w:r>
    </w:p>
    <w:p>
      <w:pPr>
        <w:spacing w:after="100" w:before="60"/>
      </w:pPr>
      <w:r>
        <w:rPr>
          <w:rFonts w:ascii="Arial" w:cs="Arial" w:eastAsia="Arial" w:hAnsi="Arial"/>
          <w:b w:val="false"/>
          <w:bCs w:val="false"/>
          <w:color w:val="444455"/>
          <w:sz w:val="22"/>
          <w:szCs w:val="22"/>
        </w:rPr>
        <w:t xml:space="preserve">Patient logs: (1) morning/evening NRS itch score 0–10 via slider; (2) PsOdisk wheel — 10 domains each rated 0–10. Takes &lt;2 minutes. Streak counter reinforces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NRS slider; PsOdisk interactive radar wheel; submit → Salesforce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Health Cloud write; Data Cloud triggers personalisation rules</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Education Hub</w:t>
      </w:r>
    </w:p>
    <w:p>
      <w:pPr>
        <w:spacing w:after="100" w:before="60"/>
      </w:pPr>
      <w:r>
        <w:rPr>
          <w:rFonts w:ascii="Arial" w:cs="Arial" w:eastAsia="Arial" w:hAnsi="Arial"/>
          <w:b w:val="false"/>
          <w:bCs w:val="false"/>
          <w:color w:val="444455"/>
          <w:sz w:val="22"/>
          <w:szCs w:val="22"/>
        </w:rPr>
        <w:t xml:space="preserve">Personalised content library. Cards surface automatically based on Salesforce recommendations. Sections: 'For You Now' (personalised), 'About Zasocitinib', 'Managing Psoriasis', 'Wellbeing'. KEY DEMO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Content cards update live after check-in data is submitted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Marketing Cloud / Personalisation returns ranked content list</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Progress Tracker</w:t>
      </w:r>
    </w:p>
    <w:p>
      <w:pPr>
        <w:spacing w:after="100" w:before="60"/>
      </w:pPr>
      <w:r>
        <w:rPr>
          <w:rFonts w:ascii="Arial" w:cs="Arial" w:eastAsia="Arial" w:hAnsi="Arial"/>
          <w:b w:val="false"/>
          <w:bCs w:val="false"/>
          <w:color w:val="444455"/>
          <w:sz w:val="22"/>
          <w:szCs w:val="22"/>
        </w:rPr>
        <w:t xml:space="preserve">Visual timeline of NRS scores, BSA estimates, and DLQI over time. Photo diary with baseline comparison. Milestone badges (PASI 75, PASI 90). Trend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Interactive chart; photo upload/compare; milestone card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Data Cloud (trend aggregation); Health Cloud (milestones)</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My Health Report</w:t>
      </w:r>
    </w:p>
    <w:p>
      <w:pPr>
        <w:spacing w:after="100" w:before="60"/>
      </w:pPr>
      <w:r>
        <w:rPr>
          <w:rFonts w:ascii="Arial" w:cs="Arial" w:eastAsia="Arial" w:hAnsi="Arial"/>
          <w:b w:val="false"/>
          <w:bCs w:val="false"/>
          <w:color w:val="444455"/>
          <w:sz w:val="22"/>
          <w:szCs w:val="22"/>
        </w:rPr>
        <w:t xml:space="preserve">Auto-generated PDF-style summary of last 4/8/16 weeks. NRS trend, PsOdisk radar, dose adherence rate, notable milestones. Patient shares with dermatologist.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Generate &amp; download PDF; email to HCP option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Health Cloud aggregation; Agentforce report summarisation</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Body Map</w:t>
      </w:r>
    </w:p>
    <w:p>
      <w:pPr>
        <w:spacing w:after="100" w:before="60"/>
      </w:pPr>
      <w:r>
        <w:rPr>
          <w:rFonts w:ascii="Arial" w:cs="Arial" w:eastAsia="Arial" w:hAnsi="Arial"/>
          <w:b w:val="false"/>
          <w:bCs w:val="false"/>
          <w:color w:val="444455"/>
          <w:sz w:val="22"/>
          <w:szCs w:val="22"/>
        </w:rPr>
        <w:t xml:space="preserve">Silhouette diagram. Patient taps to mark affected areas. Calculates estimated BSA. Updates each week. Visually shows shrinking affected areas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Touch-to-mark interactive body SVG; BSA auto-calculation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Health Cloud write; feeds PASI context</w:t>
            </w:r>
          </w:p>
        </w:tc>
      </w:tr>
    </w:tbl>
    <w:p>
      <w:pPr>
        <w:spacing w:after="0" w:before="0"/>
      </w:pPr>
      <w:r>
        <w:rPr>
          <w:sz w:val="8"/>
          <w:szCs w:val="8"/>
        </w:rPr>
        <w:t xml:space="preserve"/>
      </w:r>
    </w:p>
    <w:p>
      <w:pPr>
        <w:spacing w:after="80" w:before="200"/>
      </w:pPr>
      <w:r>
        <w:rPr>
          <w:rFonts w:ascii="Arial" w:cs="Arial" w:eastAsia="Arial" w:hAnsi="Arial"/>
          <w:b/>
          <w:bCs/>
          <w:color w:val="005F8E"/>
          <w:sz w:val="22"/>
          <w:szCs w:val="22"/>
        </w:rPr>
        <w:t xml:space="preserve">Support</w:t>
      </w:r>
    </w:p>
    <w:p>
      <w:pPr>
        <w:spacing w:after="100" w:before="60"/>
      </w:pPr>
      <w:r>
        <w:rPr>
          <w:rFonts w:ascii="Arial" w:cs="Arial" w:eastAsia="Arial" w:hAnsi="Arial"/>
          <w:b w:val="false"/>
          <w:bCs w:val="false"/>
          <w:color w:val="444455"/>
          <w:sz w:val="22"/>
          <w:szCs w:val="22"/>
        </w:rPr>
        <w:t xml:space="preserve">Access to: dermatology nurse specialist (click-to-call); FAQ chatbot (Agentforce AI); refill reminder management; community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Key UI elements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Agentforce chat widget; nurse call-to-action; refill settings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SF: Agentforce (AI agent); Health Cloud (refill schedule)</w:t>
            </w:r>
          </w:p>
        </w:tc>
      </w:tr>
    </w:tbl>
    <w:p>
      <w:pPr>
        <w:spacing w:after="0" w:before="0"/>
      </w:pPr>
      <w:r>
        <w:rPr>
          <w:sz w:val="8"/>
          <w:szCs w:val="8"/>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7. The Personalisation Engine</w:t>
      </w:r>
    </w:p>
    <w:p>
      <w:pPr>
        <w:pStyle w:val="Heading2"/>
        <w:spacing w:after="120" w:before="280"/>
      </w:pPr>
      <w:r>
        <w:rPr>
          <w:rFonts w:ascii="Arial" w:cs="Arial" w:eastAsia="Arial" w:hAnsi="Arial"/>
          <w:b/>
          <w:bCs/>
          <w:color w:val="1B1F3B"/>
          <w:sz w:val="26"/>
          <w:szCs w:val="26"/>
        </w:rPr>
        <w:t xml:space="preserve">7.1 Overview</w:t>
      </w:r>
    </w:p>
    <w:p>
      <w:pPr>
        <w:spacing w:after="100" w:before="60"/>
      </w:pPr>
      <w:r>
        <w:rPr>
          <w:rFonts w:ascii="Arial" w:cs="Arial" w:eastAsia="Arial" w:hAnsi="Arial"/>
          <w:b w:val="false"/>
          <w:bCs w:val="false"/>
          <w:color w:val="444455"/>
          <w:sz w:val="22"/>
          <w:szCs w:val="22"/>
        </w:rPr>
        <w:t xml:space="preserve">The personalisation engine is the product's defining capability. When a patient submits their daily check-in (NRS itch score + PsOdisk), the data flows to Salesforce in real time. Salesforce evaluates the patient's full profile — current journey stage, symptom trends, and the new input — and returns a ranked list of content recommendations. The Education Hub then renders those recommendations as the patient's personalised 'For You Now' feed.</w:t>
      </w:r>
    </w:p>
    <w:p>
      <w:pPr>
        <w:spacing w:after="0" w:before="0"/>
      </w:pPr>
      <w:r>
        <w:rPr>
          <w:sz w:val="8"/>
          <w:szCs w:val="8"/>
        </w:rPr>
        <w:t xml:space="preserve"/>
      </w:r>
    </w:p>
    <w:p>
      <w:pPr>
        <w:spacing w:after="100" w:before="60"/>
      </w:pPr>
      <w:r>
        <w:rPr>
          <w:rFonts w:ascii="Arial" w:cs="Arial" w:eastAsia="Arial" w:hAnsi="Arial"/>
          <w:b w:val="false"/>
          <w:bCs w:val="false"/>
          <w:color w:val="444455"/>
          <w:sz w:val="22"/>
          <w:szCs w:val="22"/>
        </w:rPr>
        <w:t xml:space="preserve">This is not a rules-only system. The combination of Salesforce Data Cloud (real-time data unification), Marketing Cloud Personalisation (content rules and A/B testing), and Agentforce (AI reasoning) creates a layered intelligence that improves over time as patient data accumulates.</w:t>
      </w:r>
    </w:p>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7.2 Data Inputs to Salesforce</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200"/>
        <w:gridCol w:w="2360"/>
      </w:tblGrid>
      <w:tr>
        <w:tc>
          <w:tcPr>
            <w:tcW w:type="dxa" w:w="18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Input</w:t>
            </w:r>
          </w:p>
        </w:tc>
        <w:tc>
          <w:tcPr>
            <w:tcW w:type="dxa" w:w="1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Scale</w:t>
            </w:r>
          </w:p>
        </w:tc>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Frequency</w:t>
            </w:r>
          </w:p>
        </w:tc>
        <w:tc>
          <w:tcPr>
            <w:tcW w:type="dxa" w:w="23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Role in Personalisation</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Daily Dose Confirmation</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 action (tap-to-confirm in app)</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Binary (confirmed / missed)</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Once daily</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Core adherence datapoint: feeds streak counter; missed dose triggers Agentforce check-in nudge and Patient Navigator alert if 2+ consecutive days missed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NRS Itch 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Patient-reported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0–10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Twice daily (am/pm)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Primary trigger: high NRS (≥7) → itch management content; low NRS (&lt;3) → positive reinforcement</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PsOdisk</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Patient-reported</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0–10 per domain (10 domains)</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Daily or per-session</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Multi-domain signal: low emotional wellbeing → mental health content; low social → community content; low sleep → sleep management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Journey Stage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Derived (week on therapy)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Stage 1–8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Automatic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Determines base content layer: week 1–4 differs fundamentally from week 8–16</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Adherence Streak</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Derived from daily dose confirmations</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Days consecutive</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Daily</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Broken streak → motivational + adherence content; long streak → milestone celebration; feeds Patient Navigator alert logic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BSA Estimate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 self-reported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0–100%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Weekly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Improving BSA → clearance content; plateauing → check-in / HCP escalation prompt</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DLQI</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Patient-reported</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0–30</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Every 4–6 weeks</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DLQI &gt;10 → wellbeing / QoL support content; improvement → progress celebration</w:t>
            </w:r>
          </w:p>
        </w:tc>
      </w:tr>
    </w:tbl>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7.3 Personalisation Rules (Salesforce Logic)</w:t>
      </w:r>
    </w:p>
    <w:p>
      <w:pPr>
        <w:spacing w:after="100" w:before="60"/>
      </w:pPr>
      <w:r>
        <w:rPr>
          <w:rFonts w:ascii="Arial" w:cs="Arial" w:eastAsia="Arial" w:hAnsi="Arial"/>
          <w:b w:val="false"/>
          <w:bCs w:val="false"/>
          <w:color w:val="444455"/>
          <w:sz w:val="22"/>
          <w:szCs w:val="22"/>
        </w:rPr>
        <w:t xml:space="preserve">Rules are implemented as Salesforce Data Cloud Calculated Insights + Marketing Cloud Personalisation decision rules. The matrix below defines the primary logic:</w:t>
      </w:r>
    </w:p>
    <w:p>
      <w:pPr>
        <w:spacing w:after="0" w:before="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Condition</w:t>
            </w:r>
          </w:p>
        </w:tc>
        <w:tc>
          <w:tcPr>
            <w:tcW w:type="dxa" w:w="200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Segment</w:t>
            </w:r>
          </w:p>
        </w:tc>
        <w:tc>
          <w:tcPr>
            <w:tcW w:type="dxa" w:w="280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Content Served</w:t>
            </w:r>
          </w:p>
        </w:tc>
        <w:tc>
          <w:tcPr>
            <w:tcW w:type="dxa" w:w="236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Salesforce Component</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NRS itch ≥ 7</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High symptom burden</w:t>
            </w:r>
          </w:p>
        </w:tc>
        <w:tc>
          <w:tcPr>
            <w:tcW w:type="dxa" w:w="2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Itch management strategies; cooling techniques; when to call the nurse; 'What TYK2 inhibition is doing right now'</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 + Agentforce check-in offer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NRS itch ≤ 3 AND trend down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Strong responder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Positive reinforcement; clearance milestone preview; PASI 75 explainer; share progress prompt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 + DC milestone trigger</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NRS itch 4–6 AND stable</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Moderate / plateau</w:t>
            </w:r>
          </w:p>
        </w:tc>
        <w:tc>
          <w:tcPr>
            <w:tcW w:type="dxa" w:w="2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Adherence tips; trigger identification; lifestyle management; 'Am I responding?' explainer</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PsOdisk emotional wellbeing &lt; 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Psychological burden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Body confidence resources; anxiety management; connecting psoriasis and mental health; community stories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 + Agentforce support offer</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PsOdisk social domain &lt; 4</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Social withdrawal</w:t>
            </w:r>
          </w:p>
        </w:tc>
        <w:tc>
          <w:tcPr>
            <w:tcW w:type="dxa" w:w="2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Peer stories; disclosure guidance; relationship resources; community connection</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PsOdisk sleep domain &lt; 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Sleep impacted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Sleep &amp; itch connection; evening routine tips; fatigue management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Journey Stage 1–4 (Wks 1–4)</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Early treatment</w:t>
            </w:r>
          </w:p>
        </w:tc>
        <w:tc>
          <w:tcPr>
            <w:tcW w:type="dxa" w:w="2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'Week-by-week: what to expect'; TYK2 mechanism education; side-effect awareness; adherence motivation</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Journey + Agentforce daily nudge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Journey Stage 5–6 (Wks 4–16)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Active response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Progress tracking tips; PASI self-assessment guide; photo diary prompts; HCP visit preparation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MC Personalisation + HC report trigger</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Journey Stage 7–8 (Wk 16+)</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Sustained response</w:t>
            </w:r>
          </w:p>
        </w:tc>
        <w:tc>
          <w:tcPr>
            <w:tcW w:type="dxa" w:w="2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Long-term management; trigger diary; refill management; community; annual DLQI prompt</w:t>
            </w:r>
          </w:p>
        </w:tc>
        <w:tc>
          <w:tcPr>
            <w:tcW w:type="dxa" w:w="2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Agentforce + HC refill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Adherence streak broken (&gt;2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8"/>
                <w:szCs w:val="18"/>
              </w:rPr>
              <w:t xml:space="preserve">At-risk adherence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'It's not too late' content; dose guidance; Agentforce check-in; nurse line prompt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iCs/>
                <w:color w:val="005F8E"/>
                <w:sz w:val="17"/>
                <w:szCs w:val="17"/>
              </w:rPr>
              <w:t xml:space="preserve">Agentforce proactive outreach</w:t>
            </w:r>
          </w:p>
        </w:tc>
      </w:tr>
    </w:tbl>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8. Salesforce Integration Architecture</w:t>
      </w:r>
    </w:p>
    <w:p>
      <w:pPr>
        <w:pStyle w:val="Heading2"/>
        <w:spacing w:after="120" w:before="280"/>
      </w:pPr>
      <w:r>
        <w:rPr>
          <w:rFonts w:ascii="Arial" w:cs="Arial" w:eastAsia="Arial" w:hAnsi="Arial"/>
          <w:b/>
          <w:bCs/>
          <w:color w:val="1B1F3B"/>
          <w:sz w:val="26"/>
          <w:szCs w:val="26"/>
        </w:rPr>
        <w:t xml:space="preserve">8.1 Component Overview</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Salesforce Product</w:t>
            </w:r>
          </w:p>
        </w:tc>
        <w:tc>
          <w:tcPr>
            <w:tcW w:type="dxa" w:w="2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Role in App</w:t>
            </w:r>
          </w:p>
        </w:tc>
        <w:tc>
          <w:tcPr>
            <w:tcW w:type="dxa" w:w="2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Key Objects / Features Used</w:t>
            </w:r>
          </w:p>
        </w:tc>
        <w:tc>
          <w:tcPr>
            <w:tcW w:type="dxa" w:w="27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Data Flow</w:t>
            </w:r>
          </w:p>
        </w:tc>
      </w:tr>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Health Cloud</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Patient profile, treatment record, HCP relationship, milestones, refill schedule</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Care Plan, Patient object, Medication Adherence, Timeline</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 HC on enrolment &amp; each check-in; HC → App for profile &amp; milestone data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Data Cloud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Real-time data unification; triggers personalisation when new NRS/PsOdisk arrives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Calculated Insights; Data Streams; Identity Resolution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events stream to DC; DC enriches patient segment in real time</w:t>
            </w:r>
          </w:p>
        </w:tc>
      </w:tr>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Marketing Cloud Personalisation</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Content recommendation engine; A/B testing; content catalogue management</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Content Zones; Recipes; Algorithms; Segment rules</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DC segment → MC Personalisation → ranked content JSON → App Education Hub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Agentforce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24/7 AI patient support; proactive check-in nudges; report summarisation; escalation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Agent Actions; Prompt Templates; Knowledge Base; Flow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chat → Agentforce; Agentforce → Health Cloud for context; escalate to nurse</w:t>
            </w:r>
          </w:p>
        </w:tc>
      </w:tr>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Connected App / REST API</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Authentication and data transport between the web app and Salesforce</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OAuth 2.0 JWT Bearer Flow; REST API; Apex endpoints (or Flow-exposed APIs)</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 Salesforce over HTTPS; tokens refreshed silently</w:t>
            </w:r>
          </w:p>
        </w:tc>
      </w:tr>
    </w:tbl>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8.2 Key Data Flow: Check-in → Personalised Content</w:t>
      </w:r>
    </w:p>
    <w:p>
      <w:pPr>
        <w:spacing w:after="100" w:before="60"/>
      </w:pPr>
      <w:r>
        <w:rPr>
          <w:rFonts w:ascii="Arial" w:cs="Arial" w:eastAsia="Arial" w:hAnsi="Arial"/>
          <w:b w:val="false"/>
          <w:bCs w:val="false"/>
          <w:color w:val="444455"/>
          <w:sz w:val="22"/>
          <w:szCs w:val="22"/>
        </w:rPr>
        <w:t xml:space="preserve">The sequence below describes the critical end-to-end flow that the demo will showcase:</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b/>
          <w:bCs/>
          <w:color w:val="1B1F3B"/>
          <w:sz w:val="22"/>
          <w:szCs w:val="22"/>
        </w:rPr>
        <w:t xml:space="preserve">Step 1 — Patient input: </w:t>
      </w:r>
      <w:r>
        <w:rPr>
          <w:rFonts w:ascii="Arial" w:cs="Arial" w:eastAsia="Arial" w:hAnsi="Arial"/>
          <w:color w:val="444455"/>
          <w:sz w:val="22"/>
          <w:szCs w:val="22"/>
        </w:rPr>
        <w:t xml:space="preserve">Patient submits NRS (itch 0–10) and PsOdisk (10 domain scores) via the Daily Check-in screen.</w:t>
      </w:r>
    </w:p>
    <w:p>
      <w:pPr>
        <w:pStyle w:val="ListParagraph"/>
        <w:numPr>
          <w:ilvl w:val="0"/>
          <w:numId w:val="2"/>
        </w:numPr>
        <w:spacing w:after="40" w:before="40"/>
      </w:pPr>
      <w:r>
        <w:rPr>
          <w:rFonts w:ascii="Arial" w:cs="Arial" w:eastAsia="Arial" w:hAnsi="Arial"/>
          <w:b/>
          <w:bCs/>
          <w:color w:val="1B1F3B"/>
          <w:sz w:val="22"/>
          <w:szCs w:val="22"/>
        </w:rPr>
        <w:t xml:space="preserve">Step 2 — API call: </w:t>
      </w:r>
      <w:r>
        <w:rPr>
          <w:rFonts w:ascii="Arial" w:cs="Arial" w:eastAsia="Arial" w:hAnsi="Arial"/>
          <w:color w:val="444455"/>
          <w:sz w:val="22"/>
          <w:szCs w:val="22"/>
        </w:rPr>
        <w:t xml:space="preserve">App sends a REST API POST to Salesforce Connected App endpoint, authenticated via OAuth 2.0 JWT Bearer Flow. Payload includes patient ID, NRS score, PsOdisk domain scores, and timestamp.</w:t>
      </w:r>
    </w:p>
    <w:p>
      <w:pPr>
        <w:pStyle w:val="ListParagraph"/>
        <w:numPr>
          <w:ilvl w:val="0"/>
          <w:numId w:val="2"/>
        </w:numPr>
        <w:spacing w:after="40" w:before="40"/>
      </w:pPr>
      <w:r>
        <w:rPr>
          <w:rFonts w:ascii="Arial" w:cs="Arial" w:eastAsia="Arial" w:hAnsi="Arial"/>
          <w:b/>
          <w:bCs/>
          <w:color w:val="1B1F3B"/>
          <w:sz w:val="22"/>
          <w:szCs w:val="22"/>
        </w:rPr>
        <w:t xml:space="preserve">Step 3 — Health Cloud write: </w:t>
      </w:r>
      <w:r>
        <w:rPr>
          <w:rFonts w:ascii="Arial" w:cs="Arial" w:eastAsia="Arial" w:hAnsi="Arial"/>
          <w:color w:val="444455"/>
          <w:sz w:val="22"/>
          <w:szCs w:val="22"/>
        </w:rPr>
        <w:t xml:space="preserve">Salesforce writes the new symptom data to the patient's Health Cloud record (Medication Adherence / custom PRO object).</w:t>
      </w:r>
    </w:p>
    <w:p>
      <w:pPr>
        <w:pStyle w:val="ListParagraph"/>
        <w:numPr>
          <w:ilvl w:val="0"/>
          <w:numId w:val="2"/>
        </w:numPr>
        <w:spacing w:after="40" w:before="40"/>
      </w:pPr>
      <w:r>
        <w:rPr>
          <w:rFonts w:ascii="Arial" w:cs="Arial" w:eastAsia="Arial" w:hAnsi="Arial"/>
          <w:b/>
          <w:bCs/>
          <w:color w:val="1B1F3B"/>
          <w:sz w:val="22"/>
          <w:szCs w:val="22"/>
        </w:rPr>
        <w:t xml:space="preserve">Step 4 — Data Cloud trigger: </w:t>
      </w:r>
      <w:r>
        <w:rPr>
          <w:rFonts w:ascii="Arial" w:cs="Arial" w:eastAsia="Arial" w:hAnsi="Arial"/>
          <w:color w:val="444455"/>
          <w:sz w:val="22"/>
          <w:szCs w:val="22"/>
        </w:rPr>
        <w:t xml:space="preserve">The new data event streams to Data Cloud, triggering a Calculated Insight re-evaluation against the personalisation rules matrix (Section 7.3).</w:t>
      </w:r>
    </w:p>
    <w:p>
      <w:pPr>
        <w:pStyle w:val="ListParagraph"/>
        <w:numPr>
          <w:ilvl w:val="0"/>
          <w:numId w:val="2"/>
        </w:numPr>
        <w:spacing w:after="40" w:before="40"/>
      </w:pPr>
      <w:r>
        <w:rPr>
          <w:rFonts w:ascii="Arial" w:cs="Arial" w:eastAsia="Arial" w:hAnsi="Arial"/>
          <w:b/>
          <w:bCs/>
          <w:color w:val="1B1F3B"/>
          <w:sz w:val="22"/>
          <w:szCs w:val="22"/>
        </w:rPr>
        <w:t xml:space="preserve">Step 5 — Content selection: </w:t>
      </w:r>
      <w:r>
        <w:rPr>
          <w:rFonts w:ascii="Arial" w:cs="Arial" w:eastAsia="Arial" w:hAnsi="Arial"/>
          <w:color w:val="444455"/>
          <w:sz w:val="22"/>
          <w:szCs w:val="22"/>
        </w:rPr>
        <w:t xml:space="preserve">Marketing Cloud Personalisation evaluates the updated patient segment and returns a ranked list of content IDs and metadata (title, description, category, content URL).</w:t>
      </w:r>
    </w:p>
    <w:p>
      <w:pPr>
        <w:pStyle w:val="ListParagraph"/>
        <w:numPr>
          <w:ilvl w:val="0"/>
          <w:numId w:val="2"/>
        </w:numPr>
        <w:spacing w:after="40" w:before="40"/>
      </w:pPr>
      <w:r>
        <w:rPr>
          <w:rFonts w:ascii="Arial" w:cs="Arial" w:eastAsia="Arial" w:hAnsi="Arial"/>
          <w:b/>
          <w:bCs/>
          <w:color w:val="1B1F3B"/>
          <w:sz w:val="22"/>
          <w:szCs w:val="22"/>
        </w:rPr>
        <w:t xml:space="preserve">Step 6 — App renders: </w:t>
      </w:r>
      <w:r>
        <w:rPr>
          <w:rFonts w:ascii="Arial" w:cs="Arial" w:eastAsia="Arial" w:hAnsi="Arial"/>
          <w:color w:val="444455"/>
          <w:sz w:val="22"/>
          <w:szCs w:val="22"/>
        </w:rPr>
        <w:t xml:space="preserve">The Education Hub receives the content list and re-renders 'For You Now' cards in real time — the patient sees their personalised content update live after submitting their check-in.</w:t>
      </w:r>
    </w:p>
    <w:p>
      <w:pPr>
        <w:pStyle w:val="ListParagraph"/>
        <w:numPr>
          <w:ilvl w:val="0"/>
          <w:numId w:val="2"/>
        </w:numPr>
        <w:spacing w:after="40" w:before="40"/>
      </w:pPr>
      <w:r>
        <w:rPr>
          <w:rFonts w:ascii="Arial" w:cs="Arial" w:eastAsia="Arial" w:hAnsi="Arial"/>
          <w:b/>
          <w:bCs/>
          <w:color w:val="1B1F3B"/>
          <w:sz w:val="22"/>
          <w:szCs w:val="22"/>
        </w:rPr>
        <w:t xml:space="preserve">Step 7 — Agentforce monitoring: </w:t>
      </w:r>
      <w:r>
        <w:rPr>
          <w:rFonts w:ascii="Arial" w:cs="Arial" w:eastAsia="Arial" w:hAnsi="Arial"/>
          <w:color w:val="444455"/>
          <w:sz w:val="22"/>
          <w:szCs w:val="22"/>
        </w:rPr>
        <w:t xml:space="preserve">If NRS ≥7 or an adherence break is detected, Agentforce evaluates whether a proactive check-in message should be sent at the next session.</w:t>
      </w:r>
    </w:p>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8.3 Authentication Model</w:t>
      </w:r>
    </w:p>
    <w:p>
      <w:pPr>
        <w:spacing w:after="100" w:before="60"/>
      </w:pPr>
      <w:r>
        <w:rPr>
          <w:rFonts w:ascii="Arial" w:cs="Arial" w:eastAsia="Arial" w:hAnsi="Arial"/>
          <w:b w:val="false"/>
          <w:bCs w:val="false"/>
          <w:color w:val="444455"/>
          <w:sz w:val="22"/>
          <w:szCs w:val="22"/>
        </w:rPr>
        <w:t xml:space="preserve">The app will use the Salesforce OAuth 2.0 JWT Bearer Flow (server-to-server), with the Heroku backend holding the private key and making authenticated calls on behalf of the patient. Patient identity is mapped via a unique Salesforce Contact/Person Account ID created at enrolment. No Salesforce credentials are stored client-side.</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9. Clinical Measures Reference</w:t>
      </w:r>
    </w:p>
    <w:p>
      <w:pPr>
        <w:spacing w:after="100" w:before="60"/>
      </w:pPr>
      <w:r>
        <w:rPr>
          <w:rFonts w:ascii="Arial" w:cs="Arial" w:eastAsia="Arial" w:hAnsi="Arial"/>
          <w:b w:val="false"/>
          <w:bCs w:val="false"/>
          <w:color w:val="444455"/>
          <w:sz w:val="22"/>
          <w:szCs w:val="22"/>
        </w:rPr>
        <w:t xml:space="preserve">Six measures are relevant to the app. Understanding how they relate — and who can capture each — determines what the app can track versus what requires a clinical visit.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1500"/>
        <w:gridCol w:w="1500"/>
        <w:gridCol w:w="2560"/>
      </w:tblGrid>
      <w:tr>
        <w:tc>
          <w:tcPr>
            <w:tcW w:type="dxa" w:w="13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Measure</w:t>
            </w:r>
          </w:p>
        </w:tc>
        <w:tc>
          <w:tcPr>
            <w:tcW w:type="dxa" w:w="1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What it captures</w:t>
            </w:r>
          </w:p>
        </w:tc>
        <w:tc>
          <w:tcPr>
            <w:tcW w:type="dxa" w:w="11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Who measures</w:t>
            </w:r>
          </w:p>
        </w:tc>
        <w:tc>
          <w:tcPr>
            <w:tcW w:type="dxa" w:w="15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Scale</w:t>
            </w:r>
          </w:p>
        </w:tc>
        <w:tc>
          <w:tcPr>
            <w:tcW w:type="dxa" w:w="15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Frequency</w:t>
            </w:r>
          </w:p>
        </w:tc>
        <w:tc>
          <w:tcPr>
            <w:tcW w:type="dxa" w:w="25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App role</w:t>
            </w:r>
          </w:p>
        </w:tc>
      </w:tr>
      <w:tr>
        <w:tc>
          <w:tcPr>
            <w:tcW w:type="dxa" w:w="13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PASI</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Clinical severity — erythema, induration, scaling × area</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HCP only</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0–72</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Baseline, wks 4/8/12/16, q3–6m</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prompts HCP visit; self-assessment approximation only; PASI 75/90 milestone detection</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IGA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Overall severity — single global judgement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7"/>
                <w:szCs w:val="17"/>
              </w:rPr>
              <w:t xml:space="preserve">HCP only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0–4 (0=clear)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Same as PASI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App stores HCP-reported value; IGA 0/1 triggers clearance milestone</w:t>
            </w:r>
          </w:p>
        </w:tc>
      </w:tr>
      <w:tr>
        <w:tc>
          <w:tcPr>
            <w:tcW w:type="dxa" w:w="13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BSA</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 body surface affected</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17"/>
                <w:szCs w:val="17"/>
              </w:rPr>
              <w:t xml:space="preserve">HCP; patient self-estimate</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0–100%</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Weekly (app)</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Body map screen; feeds into PASI context; trend charted over time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NRS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Itch intensity (primary PRO in psoriasis)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17"/>
                <w:szCs w:val="17"/>
              </w:rPr>
              <w:t xml:space="preserve">Patient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0–10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Twice daily (app)</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7"/>
                <w:szCs w:val="17"/>
              </w:rPr>
              <w:t xml:space="preserve">PRIMARY PERSONALISATION INPUT — drives Education Hub content in real time</w:t>
            </w:r>
          </w:p>
        </w:tc>
      </w:tr>
      <w:tr>
        <w:tc>
          <w:tcPr>
            <w:tcW w:type="dxa" w:w="13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DLQI</w:t>
            </w:r>
          </w:p>
        </w:tc>
        <w:tc>
          <w:tcPr>
            <w:tcW w:type="dxa" w:w="1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Life quality impact (10 questions)</w:t>
            </w:r>
          </w:p>
        </w:tc>
        <w:tc>
          <w:tcPr>
            <w:tcW w:type="dxa" w:w="11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17"/>
                <w:szCs w:val="17"/>
              </w:rPr>
              <w:t xml:space="preserve">Patient</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0–30</w:t>
            </w:r>
          </w:p>
        </w:tc>
        <w:tc>
          <w:tcPr>
            <w:tcW w:type="dxa" w:w="15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Every 4–6 weeks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Resurveyed at milestone moments; DLQI improvement is the key QoL metric for leadership</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PsOdisk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Multi-domain: itch, pain, scaling, emotional, social, work, sleep</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2E7D32"/>
                <w:sz w:val="17"/>
                <w:szCs w:val="17"/>
              </w:rPr>
              <w:t xml:space="preserve">Patient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0–10 per domain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Daily / per-session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7"/>
                <w:szCs w:val="17"/>
              </w:rPr>
              <w:t xml:space="preserve">PRIMARY PERSONALISATION INPUT — domain-level scores drive targeted content selection</w:t>
            </w:r>
          </w:p>
        </w:tc>
      </w:tr>
    </w:tbl>
    <w:p>
      <w:pPr>
        <w:spacing w:after="0" w:before="0"/>
      </w:pPr>
      <w:r>
        <w:rPr>
          <w:sz w:val="4"/>
          <w:szCs w:val="4"/>
        </w:rPr>
        <w:t xml:space="preserve"/>
      </w:r>
    </w:p>
    <w:p>
      <w:pPr>
        <w:spacing w:after="100" w:before="60"/>
      </w:pPr>
      <w:r>
        <w:rPr>
          <w:rFonts w:ascii="Arial" w:cs="Arial" w:eastAsia="Arial" w:hAnsi="Arial"/>
          <w:b w:val="false"/>
          <w:bCs w:val="false"/>
          <w:color w:val="444455"/>
          <w:sz w:val="22"/>
          <w:szCs w:val="22"/>
        </w:rPr>
        <w:t xml:space="preserve">NRS and PsOdisk are highlighted as the two personalisation inputs because they are patient-reported, high-frequency, and multi-dimensional — ideal for real-time Salesforce orchestration.</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10. Patient Navigator Command Center</w:t>
      </w:r>
    </w:p>
    <w:p>
      <w:pPr>
        <w:pStyle w:val="Heading2"/>
        <w:spacing w:after="120" w:before="280"/>
      </w:pPr>
      <w:r>
        <w:rPr>
          <w:rFonts w:ascii="Arial" w:cs="Arial" w:eastAsia="Arial" w:hAnsi="Arial"/>
          <w:b/>
          <w:bCs/>
          <w:color w:val="1B1F3B"/>
          <w:sz w:val="26"/>
          <w:szCs w:val="26"/>
        </w:rPr>
        <w:t xml:space="preserve">10.1 Design Philosophy</w:t>
      </w:r>
    </w:p>
    <w:p>
      <w:pPr>
        <w:spacing w:after="100" w:before="60"/>
      </w:pPr>
      <w:r>
        <w:rPr>
          <w:rFonts w:ascii="Arial" w:cs="Arial" w:eastAsia="Arial" w:hAnsi="Arial"/>
          <w:b w:val="false"/>
          <w:bCs w:val="false"/>
          <w:color w:val="444455"/>
          <w:sz w:val="22"/>
          <w:szCs w:val="22"/>
        </w:rPr>
        <w:t xml:space="preserve">The Command Center is the single pane of glass for Takeda Patient Navigators. Its design philosophy is deliberately agentic-first: Agentforce handles the vast majority of patient interactions automatically. The Command Center surfaces the exception cases — patients who need human attention — and makes it effortless for the Navigator to act. Crucially, the Navigator makes the decision; Agentforce executes it. The Navigator never needs to write a message, open another system, or manually trigger a workflow. They simply assess, decide, and approve.</w:t>
      </w:r>
    </w:p>
    <w:p>
      <w:pPr>
        <w:spacing w:after="0" w:before="0"/>
      </w:pPr>
      <w:r>
        <w:rPr>
          <w:sz w:val="8"/>
          <w:szCs w:val="8"/>
        </w:rPr>
        <w:t xml:space="preserve"/>
      </w:r>
    </w:p>
    <w:p>
      <w:pPr>
        <w:pBdr>
          <w:left w:val="single" w:color="E4003A" w:sz="24" w:space="8"/>
        </w:pBdr>
        <w:spacing w:after="80" w:before="80"/>
        <w:ind w:left="360"/>
      </w:pPr>
      <w:r>
        <w:rPr>
          <w:rFonts w:ascii="Arial" w:cs="Arial" w:eastAsia="Arial" w:hAnsi="Arial"/>
          <w:b/>
          <w:bCs/>
          <w:i/>
          <w:iCs/>
          <w:color w:val="1B1F3B"/>
          <w:sz w:val="24"/>
          <w:szCs w:val="24"/>
        </w:rPr>
        <w:t xml:space="preserve">"The Navigator decides. The agent acts."</w:t>
      </w:r>
    </w:p>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10.2 Dashboard Views</w:t>
      </w:r>
    </w:p>
    <w:p>
      <w:pPr>
        <w:spacing w:after="100" w:before="60"/>
      </w:pPr>
      <w:r>
        <w:rPr>
          <w:rFonts w:ascii="Arial" w:cs="Arial" w:eastAsia="Arial" w:hAnsi="Arial"/>
          <w:b w:val="false"/>
          <w:bCs w:val="false"/>
          <w:color w:val="444455"/>
          <w:sz w:val="22"/>
          <w:szCs w:val="22"/>
        </w:rPr>
        <w:t xml:space="preserve">The Command Center has three primary views, all in one web interface — not a mobile app:</w:t>
      </w:r>
    </w:p>
    <w:p>
      <w:pPr>
        <w:spacing w:after="0" w:before="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View</w:t>
            </w:r>
          </w:p>
        </w:tc>
        <w:tc>
          <w:tcPr>
            <w:tcW w:type="dxa" w:w="40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What it shows</w:t>
            </w:r>
          </w:p>
        </w:tc>
        <w:tc>
          <w:tcPr>
            <w:tcW w:type="dxa" w:w="33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Dimensions &amp; filters</w:t>
            </w:r>
          </w:p>
        </w:tc>
      </w:tr>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Programme Overview</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Aggregated PRO data across the full enrolled patient population: mean NRS trend by week, PsOdisk domain heatmap, daily dose confirmation rate, average adherence streak, Education Hub engagement rate, DLQI delta from baseline</w:t>
            </w:r>
          </w:p>
        </w:tc>
        <w:tc>
          <w:tcPr>
            <w:tcW w:type="dxa" w:w="3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By journey stage (weeks 1–4 / 4–16 / 16+); by prescribing HCP; by geography; by enrolment cohort; time period selector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Engagement Tracker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Per-patient engagement health (pseudonymised IDs only) — last check-in date, adherence streak, last app open, content cards opened. Sortable and filterable. Status badges: Active / At Risk / Lapsed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Filter by risk status; sort by last activity; search by pseudonymised ID; export to CSV for reporting</w:t>
            </w:r>
          </w:p>
        </w:tc>
      </w:tr>
      <w:tr>
        <w:tc>
          <w:tcPr>
            <w:tcW w:type="dxa" w:w="2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Proactive Alerts</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Real-time queue of patients meeting at-risk criteria, auto-generated by Agentforce. Each alert card shows: patient ID, alert reason, suggested action, and a one-click action button. Navigator reviews and approves or dismisses</w:t>
            </w:r>
          </w:p>
        </w:tc>
        <w:tc>
          <w:tcPr>
            <w:tcW w:type="dxa" w:w="33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Filter by alert type; bulk-dismiss; snooze; priority scoring by Agentforce based on severity and recency</w:t>
            </w:r>
          </w:p>
        </w:tc>
      </w:tr>
    </w:tbl>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10.3 Proactive Alert Logic</w:t>
      </w:r>
    </w:p>
    <w:p>
      <w:pPr>
        <w:spacing w:after="100" w:before="60"/>
      </w:pPr>
      <w:r>
        <w:rPr>
          <w:rFonts w:ascii="Arial" w:cs="Arial" w:eastAsia="Arial" w:hAnsi="Arial"/>
          <w:b w:val="false"/>
          <w:bCs w:val="false"/>
          <w:color w:val="444455"/>
          <w:sz w:val="22"/>
          <w:szCs w:val="22"/>
        </w:rPr>
        <w:t xml:space="preserve">Agentforce automatically generates an alert card when any patient meets one or more of the following criteria. Patients are referenced by pseudonymised ID only — no name, date of birth, or directly identifiable information is shown in the Command Center.</w:t>
      </w:r>
    </w:p>
    <w:p>
      <w:pPr>
        <w:spacing w:after="0" w:before="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Trigger Condition</w:t>
            </w:r>
          </w:p>
        </w:tc>
        <w:tc>
          <w:tcPr>
            <w:tcW w:type="dxa" w:w="220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Alert Type</w:t>
            </w:r>
          </w:p>
        </w:tc>
        <w:tc>
          <w:tcPr>
            <w:tcW w:type="dxa" w:w="3960"/>
            <w:tcBorders>
              <w:top w:val="single" w:color="CCCCCC" w:sz="1"/>
              <w:left w:val="single" w:color="CCCCCC" w:sz="1"/>
              <w:bottom w:val="single" w:color="CCCCCC" w:sz="1"/>
              <w:right w:val="single" w:color="CCCCCC" w:sz="1"/>
            </w:tcBorders>
            <w:shd w:fill="E4003A"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Suggested Navigator Action</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NRS itch ≥7 for 3+ consecutive days</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Symptom burden — persistent</w:t>
            </w:r>
          </w:p>
        </w:tc>
        <w:tc>
          <w:tcPr>
            <w:tcW w:type="dxa" w:w="39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Trigger Agentforce care check-in; offer nurse line access to patient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Daily dose missed 2+ consecutive days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Adherence at risk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Send Agentforce adherence re-engagement message with personalised motivation</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No app activity for 7+ days</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Disengagement risk</w:t>
            </w:r>
          </w:p>
        </w:tc>
        <w:tc>
          <w:tcPr>
            <w:tcW w:type="dxa" w:w="39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Trigger Agentforce re-engagement campaign via Marketing Cloud journey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PsOdisk emotional wellbeing &lt;3 for 2+ sessions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Psychological burden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Proactively offer Agentforce support conversation and wellbeing resources</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Week 4 milestone approaching with &lt;3 check-ins logged</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Low engagement — milestone risk</w:t>
            </w:r>
          </w:p>
        </w:tc>
        <w:tc>
          <w:tcPr>
            <w:tcW w:type="dxa" w:w="39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Agentforce sends milestone preparation message and encouragement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NRS trending upward for 5+ days (any absolute level)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E4003A"/>
                <w:sz w:val="18"/>
                <w:szCs w:val="18"/>
              </w:rPr>
              <w:t xml:space="preserve">Worsening trend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005F8E"/>
                <w:sz w:val="17"/>
                <w:szCs w:val="17"/>
              </w:rPr>
              <w:t xml:space="preserve">Agentforce care check-in; if NRS ≥8 also flag for HCP notification option</w:t>
            </w:r>
          </w:p>
        </w:tc>
      </w:tr>
    </w:tbl>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10.4 Navigator Action Model — Agentic Execution</w:t>
      </w:r>
    </w:p>
    <w:p>
      <w:pPr>
        <w:spacing w:after="100" w:before="60"/>
      </w:pPr>
      <w:r>
        <w:rPr>
          <w:rFonts w:ascii="Arial" w:cs="Arial" w:eastAsia="Arial" w:hAnsi="Arial"/>
          <w:b w:val="false"/>
          <w:bCs w:val="false"/>
          <w:color w:val="444455"/>
          <w:sz w:val="22"/>
          <w:szCs w:val="22"/>
        </w:rPr>
        <w:t xml:space="preserve">When a Navigator clicks an action on an alert card, they are not taken to another system or asked to write a message. Instead:</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b/>
          <w:bCs/>
          <w:color w:val="1B1F3B"/>
          <w:sz w:val="22"/>
          <w:szCs w:val="22"/>
        </w:rPr>
        <w:t xml:space="preserve">Step 1 — Review: </w:t>
      </w:r>
      <w:r>
        <w:rPr>
          <w:rFonts w:ascii="Arial" w:cs="Arial" w:eastAsia="Arial" w:hAnsi="Arial"/>
          <w:color w:val="444455"/>
          <w:sz w:val="22"/>
          <w:szCs w:val="22"/>
        </w:rPr>
        <w:t xml:space="preserve">Navigator reads the alert card: patient ID, trigger reason, days since last activity, and Agentforce's drafted outreach message (pre-populated, editable).</w:t>
      </w:r>
    </w:p>
    <w:p>
      <w:pPr>
        <w:pStyle w:val="ListParagraph"/>
        <w:numPr>
          <w:ilvl w:val="0"/>
          <w:numId w:val="2"/>
        </w:numPr>
        <w:spacing w:after="40" w:before="40"/>
      </w:pPr>
      <w:r>
        <w:rPr>
          <w:rFonts w:ascii="Arial" w:cs="Arial" w:eastAsia="Arial" w:hAnsi="Arial"/>
          <w:b/>
          <w:bCs/>
          <w:color w:val="1B1F3B"/>
          <w:sz w:val="22"/>
          <w:szCs w:val="22"/>
        </w:rPr>
        <w:t xml:space="preserve">Step 2 — Decide: </w:t>
      </w:r>
      <w:r>
        <w:rPr>
          <w:rFonts w:ascii="Arial" w:cs="Arial" w:eastAsia="Arial" w:hAnsi="Arial"/>
          <w:color w:val="444455"/>
          <w:sz w:val="22"/>
          <w:szCs w:val="22"/>
        </w:rPr>
        <w:t xml:space="preserve">Navigator approves the suggested action, edits the message, or dismisses the alert with a note.</w:t>
      </w:r>
    </w:p>
    <w:p>
      <w:pPr>
        <w:pStyle w:val="ListParagraph"/>
        <w:numPr>
          <w:ilvl w:val="0"/>
          <w:numId w:val="2"/>
        </w:numPr>
        <w:spacing w:after="40" w:before="40"/>
      </w:pPr>
      <w:r>
        <w:rPr>
          <w:rFonts w:ascii="Arial" w:cs="Arial" w:eastAsia="Arial" w:hAnsi="Arial"/>
          <w:b/>
          <w:bCs/>
          <w:color w:val="1B1F3B"/>
          <w:sz w:val="22"/>
          <w:szCs w:val="22"/>
        </w:rPr>
        <w:t xml:space="preserve">Step 3 — Execute: </w:t>
      </w:r>
      <w:r>
        <w:rPr>
          <w:rFonts w:ascii="Arial" w:cs="Arial" w:eastAsia="Arial" w:hAnsi="Arial"/>
          <w:color w:val="444455"/>
          <w:sz w:val="22"/>
          <w:szCs w:val="22"/>
        </w:rPr>
        <w:t xml:space="preserve">On approval, Agentforce executes: sends the in-app message, triggers the Marketing Cloud journey, or flags for nurse escalation — all within the Salesforce platform. The Navigator never leaves the Command Center.</w:t>
      </w:r>
    </w:p>
    <w:p>
      <w:pPr>
        <w:pStyle w:val="ListParagraph"/>
        <w:numPr>
          <w:ilvl w:val="0"/>
          <w:numId w:val="2"/>
        </w:numPr>
        <w:spacing w:after="40" w:before="40"/>
      </w:pPr>
      <w:r>
        <w:rPr>
          <w:rFonts w:ascii="Arial" w:cs="Arial" w:eastAsia="Arial" w:hAnsi="Arial"/>
          <w:b/>
          <w:bCs/>
          <w:color w:val="1B1F3B"/>
          <w:sz w:val="22"/>
          <w:szCs w:val="22"/>
        </w:rPr>
        <w:t xml:space="preserve">Step 4 — Confirm: </w:t>
      </w:r>
      <w:r>
        <w:rPr>
          <w:rFonts w:ascii="Arial" w:cs="Arial" w:eastAsia="Arial" w:hAnsi="Arial"/>
          <w:color w:val="444455"/>
          <w:sz w:val="22"/>
          <w:szCs w:val="22"/>
        </w:rPr>
        <w:t xml:space="preserve">The alert card moves to 'Actioned' with a timestamp. The patient's next activity is monitored automatically; if the outreach had no effect within 48 hours, a follow-up alert is raised.</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11. Demo Scope (MVP)</w:t>
      </w:r>
    </w:p>
    <w:p>
      <w:pPr>
        <w:pStyle w:val="Heading2"/>
        <w:spacing w:after="120" w:before="280"/>
      </w:pPr>
      <w:r>
        <w:rPr>
          <w:rFonts w:ascii="Arial" w:cs="Arial" w:eastAsia="Arial" w:hAnsi="Arial"/>
          <w:b/>
          <w:bCs/>
          <w:color w:val="1B1F3B"/>
          <w:sz w:val="26"/>
          <w:szCs w:val="26"/>
        </w:rPr>
        <w:t xml:space="preserve">11.1 What the Demo Must Show</w:t>
      </w:r>
    </w:p>
    <w:p>
      <w:pPr>
        <w:spacing w:after="100" w:before="60"/>
      </w:pPr>
      <w:r>
        <w:rPr>
          <w:rFonts w:ascii="Arial" w:cs="Arial" w:eastAsia="Arial" w:hAnsi="Arial"/>
          <w:b w:val="false"/>
          <w:bCs w:val="false"/>
          <w:color w:val="444455"/>
          <w:sz w:val="22"/>
          <w:szCs w:val="22"/>
        </w:rPr>
        <w:t xml:space="preserve">The primary purpose of the demo is to make the personalisation story viscerally real for a non-technical Takeda leadership audience. The sequence should be completable in under 5 minutes:</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b/>
          <w:bCs/>
          <w:color w:val="1B1F3B"/>
          <w:sz w:val="22"/>
          <w:szCs w:val="22"/>
        </w:rPr>
        <w:t xml:space="preserve">Scene 1 — </w:t>
      </w:r>
      <w:r>
        <w:rPr>
          <w:rFonts w:ascii="Arial" w:cs="Arial" w:eastAsia="Arial" w:hAnsi="Arial"/>
          <w:color w:val="444455"/>
          <w:sz w:val="22"/>
          <w:szCs w:val="22"/>
        </w:rPr>
        <w:t xml:space="preserve">Patient opens app. Home Dashboard shows current stage (e.g. Week 4) and a generic 'For You Now' card.</w:t>
      </w:r>
    </w:p>
    <w:p>
      <w:pPr>
        <w:pStyle w:val="ListParagraph"/>
        <w:numPr>
          <w:ilvl w:val="0"/>
          <w:numId w:val="2"/>
        </w:numPr>
        <w:spacing w:after="40" w:before="40"/>
      </w:pPr>
      <w:r>
        <w:rPr>
          <w:rFonts w:ascii="Arial" w:cs="Arial" w:eastAsia="Arial" w:hAnsi="Arial"/>
          <w:b/>
          <w:bCs/>
          <w:color w:val="1B1F3B"/>
          <w:sz w:val="22"/>
          <w:szCs w:val="22"/>
        </w:rPr>
        <w:t xml:space="preserve">Scene 2 — </w:t>
      </w:r>
      <w:r>
        <w:rPr>
          <w:rFonts w:ascii="Arial" w:cs="Arial" w:eastAsia="Arial" w:hAnsi="Arial"/>
          <w:color w:val="444455"/>
          <w:sz w:val="22"/>
          <w:szCs w:val="22"/>
        </w:rPr>
        <w:t xml:space="preserve">Patient opens Daily Check-in. Enters NRS itch score of 8/10 (high). Completes PsOdisk — emotional wellbeing domain rated 3/10 (low).</w:t>
      </w:r>
    </w:p>
    <w:p>
      <w:pPr>
        <w:pStyle w:val="ListParagraph"/>
        <w:numPr>
          <w:ilvl w:val="0"/>
          <w:numId w:val="2"/>
        </w:numPr>
        <w:spacing w:after="40" w:before="40"/>
      </w:pPr>
      <w:r>
        <w:rPr>
          <w:rFonts w:ascii="Arial" w:cs="Arial" w:eastAsia="Arial" w:hAnsi="Arial"/>
          <w:b/>
          <w:bCs/>
          <w:color w:val="1B1F3B"/>
          <w:sz w:val="22"/>
          <w:szCs w:val="22"/>
        </w:rPr>
        <w:t xml:space="preserve">Scene 3 — </w:t>
      </w:r>
      <w:r>
        <w:rPr>
          <w:rFonts w:ascii="Arial" w:cs="Arial" w:eastAsia="Arial" w:hAnsi="Arial"/>
          <w:color w:val="444455"/>
          <w:sz w:val="22"/>
          <w:szCs w:val="22"/>
        </w:rPr>
        <w:t xml:space="preserve">Patient submits. A visible 'Syncing with Salesforce...' indicator fires. Real Salesforce API call is made.</w:t>
      </w:r>
    </w:p>
    <w:p>
      <w:pPr>
        <w:pStyle w:val="ListParagraph"/>
        <w:numPr>
          <w:ilvl w:val="0"/>
          <w:numId w:val="2"/>
        </w:numPr>
        <w:spacing w:after="40" w:before="40"/>
      </w:pPr>
      <w:r>
        <w:rPr>
          <w:rFonts w:ascii="Arial" w:cs="Arial" w:eastAsia="Arial" w:hAnsi="Arial"/>
          <w:b/>
          <w:bCs/>
          <w:color w:val="1B1F3B"/>
          <w:sz w:val="22"/>
          <w:szCs w:val="22"/>
        </w:rPr>
        <w:t xml:space="preserve">Scene 4 — </w:t>
      </w:r>
      <w:r>
        <w:rPr>
          <w:rFonts w:ascii="Arial" w:cs="Arial" w:eastAsia="Arial" w:hAnsi="Arial"/>
          <w:color w:val="444455"/>
          <w:sz w:val="22"/>
          <w:szCs w:val="22"/>
        </w:rPr>
        <w:t xml:space="preserve">Patient navigates to Education Hub. 'For You Now' has updated: top cards now show itch management strategies and a body confidence article — not the generic content from Scene 1.</w:t>
      </w:r>
    </w:p>
    <w:p>
      <w:pPr>
        <w:pStyle w:val="ListParagraph"/>
        <w:numPr>
          <w:ilvl w:val="0"/>
          <w:numId w:val="2"/>
        </w:numPr>
        <w:spacing w:after="40" w:before="40"/>
      </w:pPr>
      <w:r>
        <w:rPr>
          <w:rFonts w:ascii="Arial" w:cs="Arial" w:eastAsia="Arial" w:hAnsi="Arial"/>
          <w:b/>
          <w:bCs/>
          <w:color w:val="1B1F3B"/>
          <w:sz w:val="22"/>
          <w:szCs w:val="22"/>
        </w:rPr>
        <w:t xml:space="preserve">Scene 5 — </w:t>
      </w:r>
      <w:r>
        <w:rPr>
          <w:rFonts w:ascii="Arial" w:cs="Arial" w:eastAsia="Arial" w:hAnsi="Arial"/>
          <w:color w:val="444455"/>
          <w:sz w:val="22"/>
          <w:szCs w:val="22"/>
        </w:rPr>
        <w:t xml:space="preserve">Presenter explains: Salesforce evaluated the NRS=8 and PsOdisk emotional=3 inputs, matched them against the personalisation rules, and returned new content recommendations in real time. No manual curation. Fully automated.</w:t>
      </w:r>
    </w:p>
    <w:p>
      <w:pPr>
        <w:spacing w:after="0" w:before="0"/>
      </w:pPr>
      <w:r>
        <w:rPr>
          <w:sz w:val="8"/>
          <w:szCs w:val="8"/>
        </w:rPr>
        <w:t xml:space="preserve"/>
      </w:r>
    </w:p>
    <w:p>
      <w:pPr>
        <w:pStyle w:val="ListParagraph"/>
        <w:numPr>
          <w:ilvl w:val="0"/>
          <w:numId w:val="2"/>
        </w:numPr>
        <w:spacing w:after="40" w:before="40"/>
      </w:pPr>
      <w:r>
        <w:rPr>
          <w:rFonts w:ascii="Arial" w:cs="Arial" w:eastAsia="Arial" w:hAnsi="Arial"/>
          <w:b/>
          <w:bCs/>
          <w:color w:val="1B1F3B"/>
          <w:sz w:val="22"/>
          <w:szCs w:val="22"/>
        </w:rPr>
        <w:t xml:space="preserve">Scene 6a — Command Center, proactive alert: </w:t>
      </w:r>
      <w:r>
        <w:rPr>
          <w:rFonts w:ascii="Arial" w:cs="Arial" w:eastAsia="Arial" w:hAnsi="Arial"/>
          <w:color w:val="444455"/>
          <w:sz w:val="22"/>
          <w:szCs w:val="22"/>
        </w:rPr>
        <w:t xml:space="preserve">Presenter switches from the mobile app to the Patient Navigator Command Center (desktop browser). The Alerts panel shows two pseudonymised patients. Patient #0042 has an alert: 'NRS trending up — 6, 7, 8 over 4 days; daily dose missed yesterday.' The Navigator sees Agentforce's pre-drafted care check-in message. Navigator clicks Approve. Agentforce sends the in-app message instantly. The alert card moves to Actioned. The Navigator never left the Command Center or opened another system.</w:t>
      </w:r>
    </w:p>
    <w:p>
      <w:pPr>
        <w:spacing w:after="0" w:before="0"/>
      </w:pPr>
      <w:r>
        <w:rPr>
          <w:sz w:val="4"/>
          <w:szCs w:val="4"/>
        </w:rPr>
        <w:t xml:space="preserve"/>
      </w:r>
    </w:p>
    <w:p>
      <w:pPr>
        <w:pStyle w:val="ListParagraph"/>
        <w:numPr>
          <w:ilvl w:val="0"/>
          <w:numId w:val="2"/>
        </w:numPr>
        <w:spacing w:after="40" w:before="40"/>
      </w:pPr>
      <w:r>
        <w:rPr>
          <w:rFonts w:ascii="Arial" w:cs="Arial" w:eastAsia="Arial" w:hAnsi="Arial"/>
          <w:b/>
          <w:bCs/>
          <w:color w:val="1B1F3B"/>
          <w:sz w:val="22"/>
          <w:szCs w:val="22"/>
        </w:rPr>
        <w:t xml:space="preserve">Scene 6b — Command Center, re-engagement: </w:t>
      </w:r>
      <w:r>
        <w:rPr>
          <w:rFonts w:ascii="Arial" w:cs="Arial" w:eastAsia="Arial" w:hAnsi="Arial"/>
          <w:color w:val="444455"/>
          <w:sz w:val="22"/>
          <w:szCs w:val="22"/>
        </w:rPr>
        <w:t xml:space="preserve">Patient #0078 shows a different alert: 'No app activity in 6 days — Week 4 milestone in 2 days.' Agentforce has suggested a milestone re-engagement message. Navigator reads it, makes a small edit to personalise the tone, and approves. Marketing Cloud fires the re-engagement journey automatically. Presenter emphasises: the Navigator made the judgement call on both patients in under two minutes — Agentforce did the rest.</w:t>
      </w:r>
    </w:p>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11.2 In Scope for Demo MVP</w:t>
      </w:r>
    </w:p>
    <w:p>
      <w:pPr>
        <w:pStyle w:val="ListParagraph"/>
        <w:numPr>
          <w:ilvl w:val="0"/>
          <w:numId w:val="2"/>
        </w:numPr>
        <w:spacing w:after="40" w:before="40"/>
      </w:pPr>
      <w:r>
        <w:rPr>
          <w:rFonts w:ascii="Arial" w:cs="Arial" w:eastAsia="Arial" w:hAnsi="Arial"/>
          <w:color w:val="444455"/>
          <w:sz w:val="22"/>
          <w:szCs w:val="22"/>
        </w:rPr>
        <w:t xml:space="preserve">Home Dashboard with journey stage, NRS sparkline, personalised content teaser</w:t>
      </w:r>
    </w:p>
    <w:p>
      <w:pPr>
        <w:pStyle w:val="ListParagraph"/>
        <w:numPr>
          <w:ilvl w:val="0"/>
          <w:numId w:val="2"/>
        </w:numPr>
        <w:spacing w:after="40" w:before="40"/>
      </w:pPr>
      <w:r>
        <w:rPr>
          <w:rFonts w:ascii="Arial" w:cs="Arial" w:eastAsia="Arial" w:hAnsi="Arial"/>
          <w:color w:val="444455"/>
          <w:sz w:val="22"/>
          <w:szCs w:val="22"/>
        </w:rPr>
        <w:t xml:space="preserve">Daily Check-in: NRS slider + PsOdisk interactive radar wheel + Salesforce submission</w:t>
      </w:r>
    </w:p>
    <w:p>
      <w:pPr>
        <w:pStyle w:val="ListParagraph"/>
        <w:numPr>
          <w:ilvl w:val="0"/>
          <w:numId w:val="2"/>
        </w:numPr>
        <w:spacing w:after="40" w:before="40"/>
      </w:pPr>
      <w:r>
        <w:rPr>
          <w:rFonts w:ascii="Arial" w:cs="Arial" w:eastAsia="Arial" w:hAnsi="Arial"/>
          <w:color w:val="444455"/>
          <w:sz w:val="22"/>
          <w:szCs w:val="22"/>
        </w:rPr>
        <w:t xml:space="preserve">Education Hub: 'For You Now' personalised cards + static category library</w:t>
      </w:r>
    </w:p>
    <w:p>
      <w:pPr>
        <w:pStyle w:val="ListParagraph"/>
        <w:numPr>
          <w:ilvl w:val="0"/>
          <w:numId w:val="2"/>
        </w:numPr>
        <w:spacing w:after="40" w:before="40"/>
      </w:pPr>
      <w:r>
        <w:rPr>
          <w:rFonts w:ascii="Arial" w:cs="Arial" w:eastAsia="Arial" w:hAnsi="Arial"/>
          <w:color w:val="444455"/>
          <w:sz w:val="22"/>
          <w:szCs w:val="22"/>
        </w:rPr>
        <w:t xml:space="preserve">Progress Tracker: NRS trend chart, milestone badges, static photo comparison</w:t>
      </w:r>
    </w:p>
    <w:p>
      <w:pPr>
        <w:pStyle w:val="ListParagraph"/>
        <w:numPr>
          <w:ilvl w:val="0"/>
          <w:numId w:val="2"/>
        </w:numPr>
        <w:spacing w:after="40" w:before="40"/>
      </w:pPr>
      <w:r>
        <w:rPr>
          <w:rFonts w:ascii="Arial" w:cs="Arial" w:eastAsia="Arial" w:hAnsi="Arial"/>
          <w:color w:val="444455"/>
          <w:sz w:val="22"/>
          <w:szCs w:val="22"/>
        </w:rPr>
        <w:t xml:space="preserve">Salesforce real API integration: Connected App, Health Cloud write, Data Cloud trigger, MC Personalisation content response</w:t>
      </w:r>
    </w:p>
    <w:p>
      <w:pPr>
        <w:pStyle w:val="ListParagraph"/>
        <w:numPr>
          <w:ilvl w:val="0"/>
          <w:numId w:val="2"/>
        </w:numPr>
        <w:spacing w:after="40" w:before="40"/>
      </w:pPr>
      <w:r>
        <w:rPr>
          <w:rFonts w:ascii="Arial" w:cs="Arial" w:eastAsia="Arial" w:hAnsi="Arial"/>
          <w:color w:val="444455"/>
          <w:sz w:val="22"/>
          <w:szCs w:val="22"/>
        </w:rPr>
        <w:t xml:space="preserve">Agentforce floating chat bubble (persistent across all screens)</w:t>
      </w:r>
    </w:p>
    <w:p>
      <w:pPr>
        <w:pStyle w:val="ListParagraph"/>
        <w:numPr>
          <w:ilvl w:val="0"/>
          <w:numId w:val="2"/>
        </w:numPr>
        <w:spacing w:after="40" w:before="40"/>
      </w:pPr>
      <w:r>
        <w:rPr>
          <w:rFonts w:ascii="Arial" w:cs="Arial" w:eastAsia="Arial" w:hAnsi="Arial"/>
          <w:color w:val="444455"/>
          <w:sz w:val="22"/>
          <w:szCs w:val="22"/>
        </w:rPr>
        <w:t xml:space="preserve">Agentforce chat widget in Support screen (full screen mode)</w:t>
      </w:r>
    </w:p>
    <w:p>
      <w:pPr>
        <w:pStyle w:val="ListParagraph"/>
        <w:numPr>
          <w:ilvl w:val="0"/>
          <w:numId w:val="2"/>
        </w:numPr>
        <w:spacing w:after="40" w:before="40"/>
      </w:pPr>
      <w:r>
        <w:rPr>
          <w:rFonts w:ascii="Arial" w:cs="Arial" w:eastAsia="Arial" w:hAnsi="Arial"/>
          <w:color w:val="444455"/>
          <w:sz w:val="22"/>
          <w:szCs w:val="22"/>
        </w:rPr>
        <w:t xml:space="preserve">Patient Navigator Command Center: Alerts panel with 2 demo alert cards + approve / dismiss actions</w:t>
      </w:r>
    </w:p>
    <w:p>
      <w:pPr>
        <w:pStyle w:val="ListParagraph"/>
        <w:numPr>
          <w:ilvl w:val="0"/>
          <w:numId w:val="2"/>
        </w:numPr>
        <w:spacing w:after="40" w:before="40"/>
      </w:pPr>
      <w:r>
        <w:rPr>
          <w:rFonts w:ascii="Arial" w:cs="Arial" w:eastAsia="Arial" w:hAnsi="Arial"/>
          <w:color w:val="444455"/>
          <w:sz w:val="22"/>
          <w:szCs w:val="22"/>
        </w:rPr>
        <w:t xml:space="preserve">Mobile iPhone-frame UI on laptop browser</w:t>
      </w:r>
    </w:p>
    <w:p>
      <w:pPr>
        <w:pStyle w:val="ListParagraph"/>
        <w:numPr>
          <w:ilvl w:val="0"/>
          <w:numId w:val="2"/>
        </w:numPr>
        <w:spacing w:after="40" w:before="40"/>
      </w:pPr>
      <w:r>
        <w:rPr>
          <w:rFonts w:ascii="Arial" w:cs="Arial" w:eastAsia="Arial" w:hAnsi="Arial"/>
          <w:color w:val="444455"/>
          <w:sz w:val="22"/>
          <w:szCs w:val="22"/>
        </w:rPr>
        <w:t xml:space="preserve">Heroku deployment with shared demo link</w:t>
      </w:r>
    </w:p>
    <w:p>
      <w:pPr>
        <w:spacing w:after="0" w:before="0"/>
      </w:pPr>
      <w:r>
        <w:rPr>
          <w:sz w:val="8"/>
          <w:szCs w:val="8"/>
        </w:rPr>
        <w:t xml:space="preserve"/>
      </w:r>
    </w:p>
    <w:p>
      <w:pPr>
        <w:pStyle w:val="Heading2"/>
        <w:spacing w:after="120" w:before="280"/>
      </w:pPr>
      <w:r>
        <w:rPr>
          <w:rFonts w:ascii="Arial" w:cs="Arial" w:eastAsia="Arial" w:hAnsi="Arial"/>
          <w:b/>
          <w:bCs/>
          <w:color w:val="1B1F3B"/>
          <w:sz w:val="26"/>
          <w:szCs w:val="26"/>
        </w:rPr>
        <w:t xml:space="preserve">11.3 Out of Scope for MVP</w:t>
      </w:r>
    </w:p>
    <w:p>
      <w:pPr>
        <w:pStyle w:val="ListParagraph"/>
        <w:numPr>
          <w:ilvl w:val="0"/>
          <w:numId w:val="2"/>
        </w:numPr>
        <w:spacing w:after="40" w:before="40"/>
      </w:pPr>
      <w:r>
        <w:rPr>
          <w:rFonts w:ascii="Arial" w:cs="Arial" w:eastAsia="Arial" w:hAnsi="Arial"/>
          <w:color w:val="444455"/>
          <w:sz w:val="22"/>
          <w:szCs w:val="22"/>
        </w:rPr>
        <w:t xml:space="preserve">My Health Report PDF generation (Phase 2)</w:t>
      </w:r>
    </w:p>
    <w:p>
      <w:pPr>
        <w:pStyle w:val="ListParagraph"/>
        <w:numPr>
          <w:ilvl w:val="0"/>
          <w:numId w:val="2"/>
        </w:numPr>
        <w:spacing w:after="40" w:before="40"/>
      </w:pPr>
      <w:r>
        <w:rPr>
          <w:rFonts w:ascii="Arial" w:cs="Arial" w:eastAsia="Arial" w:hAnsi="Arial"/>
          <w:color w:val="444455"/>
          <w:sz w:val="22"/>
          <w:szCs w:val="22"/>
        </w:rPr>
        <w:t xml:space="preserve">Body Map screen (Phase 2)</w:t>
      </w:r>
    </w:p>
    <w:p>
      <w:pPr>
        <w:pStyle w:val="ListParagraph"/>
        <w:numPr>
          <w:ilvl w:val="0"/>
          <w:numId w:val="2"/>
        </w:numPr>
        <w:spacing w:after="40" w:before="40"/>
      </w:pPr>
      <w:r>
        <w:rPr>
          <w:rFonts w:ascii="Arial" w:cs="Arial" w:eastAsia="Arial" w:hAnsi="Arial"/>
          <w:color w:val="444455"/>
          <w:sz w:val="22"/>
          <w:szCs w:val="22"/>
        </w:rPr>
        <w:t xml:space="preserve">Real photo diary / camera integration (Phase 2)</w:t>
      </w:r>
    </w:p>
    <w:p>
      <w:pPr>
        <w:pStyle w:val="ListParagraph"/>
        <w:numPr>
          <w:ilvl w:val="0"/>
          <w:numId w:val="2"/>
        </w:numPr>
        <w:spacing w:after="40" w:before="40"/>
      </w:pPr>
      <w:r>
        <w:rPr>
          <w:rFonts w:ascii="Arial" w:cs="Arial" w:eastAsia="Arial" w:hAnsi="Arial"/>
          <w:color w:val="444455"/>
          <w:sz w:val="22"/>
          <w:szCs w:val="22"/>
        </w:rPr>
        <w:t xml:space="preserve">Push notifications (Phase 2)</w:t>
      </w:r>
    </w:p>
    <w:p>
      <w:pPr>
        <w:pStyle w:val="ListParagraph"/>
        <w:numPr>
          <w:ilvl w:val="0"/>
          <w:numId w:val="2"/>
        </w:numPr>
        <w:spacing w:after="40" w:before="40"/>
      </w:pPr>
      <w:r>
        <w:rPr>
          <w:rFonts w:ascii="Arial" w:cs="Arial" w:eastAsia="Arial" w:hAnsi="Arial"/>
          <w:color w:val="444455"/>
          <w:sz w:val="22"/>
          <w:szCs w:val="22"/>
        </w:rPr>
        <w:t xml:space="preserve">Multi-language support (Phase 3)</w:t>
      </w:r>
    </w:p>
    <w:p>
      <w:pPr>
        <w:pStyle w:val="ListParagraph"/>
        <w:numPr>
          <w:ilvl w:val="0"/>
          <w:numId w:val="2"/>
        </w:numPr>
        <w:spacing w:after="40" w:before="40"/>
      </w:pPr>
      <w:r>
        <w:rPr>
          <w:rFonts w:ascii="Arial" w:cs="Arial" w:eastAsia="Arial" w:hAnsi="Arial"/>
          <w:color w:val="444455"/>
          <w:sz w:val="22"/>
          <w:szCs w:val="22"/>
        </w:rPr>
        <w:t xml:space="preserve">HIPAA / GDPR production compliance (required before patient-facing launch; not demo scope)</w:t>
      </w:r>
    </w:p>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12. Technical Stack</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Technology</w:t>
            </w:r>
          </w:p>
        </w:tc>
        <w:tc>
          <w:tcPr>
            <w:tcW w:type="dxa" w:w="2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Rationale</w:t>
            </w:r>
          </w:p>
        </w:tc>
        <w:tc>
          <w:tcPr>
            <w:tcW w:type="dxa" w:w="27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Frontend</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React (or Vanilla JS + CSS)</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Fast to build; CSS iPhone frame achievable without native tools</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375px mobile viewport inside laptop browser; no React Native required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Tailwind CSS / custom CSS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Rapid iOS-like UI; clean component library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iPhone 14 Pro frame mockup via CSS border-radius + shadow</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Backend / API server</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Node.js (Express) on Heroku</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Holds Salesforce private key securely; proxies API calls from frontend</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Heroku free/eco tier sufficient for demo; JWT auth kept server-side only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Salesforce auth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OAuth 2.0 JWT Bearer Flow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Server-to-server; no user login to Salesforce required in demo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Private key in Heroku env var; Connected App configured in SF org</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Salesforce data</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Health Cloud REST API + Data Cloud Streaming</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Standard SF REST for HC writes; Streaming API or Pub/Sub for DC trigger</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Apex REST endpoint or standard object API for PRO data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Content personalisation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Marketing Cloud Personalisation (Interaction Studio)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Returns ranked content decisions via REST API</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Content catalogue seeded with zasocitinib education articles</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AI agent</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Agentforce (Einstein Copilot / Agent)</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Embedded chat for patient FAQ + proactive nudge simulation</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Basic prompt template sufficient for demo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8"/>
                <w:szCs w:val="18"/>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Heroku (Node.js dyno)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Simple deploy; shareable URL; no DevOps overhead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7"/>
                <w:szCs w:val="17"/>
              </w:rPr>
              <w:t xml:space="preserve">Environment variables for all SF credentials; HTTPS by default</w:t>
            </w:r>
          </w:p>
        </w:tc>
      </w:tr>
    </w:tbl>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13. Success Metrics</w:t>
      </w:r>
    </w:p>
    <w:p>
      <w:pPr>
        <w:pStyle w:val="Heading2"/>
        <w:spacing w:after="120" w:before="280"/>
      </w:pPr>
      <w:r>
        <w:rPr>
          <w:rFonts w:ascii="Arial" w:cs="Arial" w:eastAsia="Arial" w:hAnsi="Arial"/>
          <w:b/>
          <w:bCs/>
          <w:color w:val="1B1F3B"/>
          <w:sz w:val="26"/>
          <w:szCs w:val="26"/>
        </w:rPr>
        <w:t xml:space="preserve">Demo / Stakeholder Phase</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Live demo completable in &lt;5 min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Personalisation story lands without technical explanation needed</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Salesforce API call visible to audience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'Syncing with Salesforce' indicator fires; content updates post-submission</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Shared Heroku link works for remote stakeholders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No local install required; accessible on any laptop browser</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Education Hub reflects NRS + PsOdisk 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At least 3 distinct content states demonstrable (high NRS, low PsOdisk, combined)</w:t>
            </w:r>
          </w:p>
        </w:tc>
      </w:tr>
    </w:tbl>
    <w:p>
      <w:pPr>
        <w:spacing w:after="0" w:before="0"/>
      </w:pPr>
      <w:r>
        <w:rPr>
          <w:sz w:val="12"/>
          <w:szCs w:val="12"/>
        </w:rPr>
        <w:t xml:space="preserve"/>
      </w:r>
    </w:p>
    <w:p>
      <w:pPr>
        <w:pStyle w:val="Heading2"/>
        <w:spacing w:after="120" w:before="280"/>
      </w:pPr>
      <w:r>
        <w:rPr>
          <w:rFonts w:ascii="Arial" w:cs="Arial" w:eastAsia="Arial" w:hAnsi="Arial"/>
          <w:b/>
          <w:bCs/>
          <w:color w:val="1B1F3B"/>
          <w:sz w:val="26"/>
          <w:szCs w:val="26"/>
        </w:rPr>
        <w:t xml:space="preserve">Patient Outcomes Phase (Post-Launch)</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Adherence rate at 16 weeks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≥85% daily dose confirmation</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Education engagement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&gt;60% of personalised cards opened per week</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PRO completion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≥4 NRS + PsOdisk datapoints per week per patient</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DLQI improvement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≥5 point reduction from baseline at week 16</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PASI 75 rate vs. comparator arm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Directionally consistent with Phase 3 data (~2× current best oral)</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1B1F3B"/>
                <w:sz w:val="19"/>
                <w:szCs w:val="19"/>
              </w:rPr>
              <w:t xml:space="preserve">My Health Report generation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20"/>
                <w:szCs w:val="20"/>
              </w:rPr>
              <w:t xml:space="preserve">&gt;70% of patients generate at least one report before each HCP visit</w:t>
            </w:r>
          </w:p>
        </w:tc>
      </w:tr>
    </w:tbl>
    <w:p>
      <w:pPr>
        <w:spacing w:after="0" w:before="0"/>
      </w:pPr>
      <w:r>
        <w:rPr>
          <w:sz w:val="12"/>
          <w:szCs w:val="12"/>
        </w:rPr>
        <w:t xml:space="preserve"/>
      </w:r>
    </w:p>
    <w:p>
      <w:r>
        <w:br w:type="page"/>
      </w:r>
    </w:p>
    <w:p>
      <w:pPr>
        <w:pStyle w:val="Heading1"/>
        <w:pBdr>
          <w:bottom w:val="single" w:color="E4003A" w:sz="12" w:space="4"/>
        </w:pBdr>
        <w:spacing w:after="160" w:before="400"/>
      </w:pPr>
      <w:r>
        <w:rPr>
          <w:rFonts w:ascii="Arial" w:cs="Arial" w:eastAsia="Arial" w:hAnsi="Arial"/>
          <w:b/>
          <w:bCs/>
          <w:color w:val="1B1F3B"/>
          <w:sz w:val="32"/>
          <w:szCs w:val="32"/>
        </w:rPr>
        <w:t xml:space="preserve">14. Open Questions &amp; Dependencies</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Owner</w:t>
            </w:r>
          </w:p>
        </w:tc>
        <w:tc>
          <w:tcPr>
            <w:tcW w:type="dxa" w:w="2760"/>
            <w:tcBorders>
              <w:top w:val="single" w:color="CCCCCC" w:sz="1"/>
              <w:left w:val="single" w:color="CCCCCC" w:sz="1"/>
              <w:bottom w:val="single" w:color="CCCCCC" w:sz="1"/>
              <w:right w:val="single" w:color="CCCCCC" w:sz="1"/>
            </w:tcBorders>
            <w:shd w:fill="1B1F3B" w:val="clear"/>
            <w:tcMar>
              <w:top w:type="dxa" w:w="100"/>
              <w:left w:type="dxa" w:w="150"/>
              <w:bottom w:type="dxa" w:w="100"/>
              <w:right w:type="dxa" w:w="150"/>
            </w:tcMar>
            <w:vAlign w:val="center"/>
          </w:tcPr>
          <w:p>
            <w:pPr>
              <w:spacing w:after="0" w:before="0"/>
              <w:jc w:val="center"/>
            </w:pPr>
            <w:r>
              <w:rPr>
                <w:rFonts w:ascii="Arial" w:cs="Arial" w:eastAsia="Arial" w:hAnsi="Arial"/>
                <w:b/>
                <w:bCs/>
                <w:i w:val="false"/>
                <w:iCs w:val="false"/>
                <w:color w:val="FFFFFF"/>
                <w:sz w:val="18"/>
                <w:szCs w:val="18"/>
              </w:rPr>
              <w:t xml:space="preserve">Required by</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Which Salesforce org will be used for demo integration? (Existing Takeda org, Takeda sandbox, or Salesforce-provided demo org?)</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Digital + Salesforce team</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Before development starts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What content exists today for the zasocitinib education library, and in what format?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Medical Affairs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Before Education Hub build</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Is Marketing Cloud Personalisation (Interaction Studio) licensed in the Takeda org?</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IT / Salesforce AE</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Architecture confirmation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What patient identifier will be used in the demo — synthetic test patient, or anonymised?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Legal / Digital Health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Before Salesforce data write</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Regulatory review required before demo shows real Salesforce data write?</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Regulatory / Legal</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Confirm scope of MLR review needed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Which Heroku plan? (Eco tier sufficient for demo; production would need Standard+)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Hosting setup</w:t>
            </w:r>
          </w:p>
        </w:tc>
      </w:tr>
      <w:tr>
        <w:tc>
          <w:tcPr>
            <w:tcW w:type="dxa" w:w="42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444455"/>
                <w:sz w:val="18"/>
                <w:szCs w:val="18"/>
              </w:rPr>
              <w:t xml:space="preserve">PsOdisk licensing — is a licence required to use the validated instrument commercially?</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bCs/>
                <w:i w:val="false"/>
                <w:iCs w:val="false"/>
                <w:color w:val="005F8E"/>
                <w:sz w:val="18"/>
                <w:szCs w:val="18"/>
              </w:rPr>
              <w:t xml:space="preserve">Takeda Medical / Legal</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50"/>
              <w:bottom w:type="dxa" w:w="100"/>
              <w:right w:type="dxa" w:w="150"/>
            </w:tcMar>
            <w:vAlign w:val="top"/>
          </w:tcPr>
          <w:p>
            <w:pPr>
              <w:spacing w:after="0" w:before="0"/>
              <w:jc w:val="left"/>
            </w:pPr>
            <w:r>
              <w:rPr>
                <w:rFonts w:ascii="Arial" w:cs="Arial" w:eastAsia="Arial" w:hAnsi="Arial"/>
                <w:b w:val="false"/>
                <w:bCs w:val="false"/>
                <w:i w:val="false"/>
                <w:iCs w:val="false"/>
                <w:color w:val="E4003A"/>
                <w:sz w:val="18"/>
                <w:szCs w:val="18"/>
              </w:rPr>
              <w:t xml:space="preserve">Before PsOdisk screen is built</w:t>
            </w:r>
          </w:p>
        </w:tc>
      </w:tr>
    </w:tbl>
    <w:p>
      <w:pPr>
        <w:spacing w:after="0" w:before="0"/>
      </w:pPr>
      <w:r>
        <w:rPr>
          <w:sz w:val="20"/>
          <w:szCs w:val="20"/>
        </w:rPr>
        <w:t xml:space="preserve"/>
      </w:r>
    </w:p>
    <w:p>
      <w:pPr>
        <w:pBdr>
          <w:bottom w:val="single" w:color="DDDDDD" w:sz="6" w:space="1"/>
        </w:pBdr>
        <w:spacing w:after="80" w:before="80"/>
      </w:pPr>
    </w:p>
    <w:p>
      <w:pPr>
        <w:spacing w:after="0" w:before="0"/>
      </w:pPr>
      <w:r>
        <w:rPr>
          <w:sz w:val="8"/>
          <w:szCs w:val="8"/>
        </w:rPr>
        <w:t xml:space="preserve"/>
      </w:r>
    </w:p>
    <w:p>
      <w:pPr>
        <w:spacing w:after="0" w:before="0"/>
      </w:pPr>
      <w:r>
        <w:rPr>
          <w:rFonts w:ascii="Arial" w:cs="Arial" w:eastAsia="Arial" w:hAnsi="Arial"/>
          <w:color w:val="999999"/>
          <w:sz w:val="18"/>
          <w:szCs w:val="18"/>
        </w:rPr>
        <w:t xml:space="preserve">Document prepared with Claude (Anthropic) as drafting assistant. </w:t>
      </w:r>
      <w:r>
        <w:rPr>
          <w:rFonts w:ascii="Arial" w:cs="Arial" w:eastAsia="Arial" w:hAnsi="Arial"/>
          <w:color w:val="999999"/>
          <w:sz w:val="18"/>
          <w:szCs w:val="18"/>
        </w:rPr>
        <w:t xml:space="preserve">All clinical data and regulatory references should be validated by qualified Takeda medical and legal reviewers before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0"/>
    </w:pPr>
    <w:r>
      <w:rPr>
        <w:rFonts w:ascii="Arial" w:cs="Arial" w:eastAsia="Arial" w:hAnsi="Arial"/>
        <w:color w:val="999999"/>
        <w:sz w:val="17"/>
        <w:szCs w:val="17"/>
      </w:rPr>
      <w:t xml:space="preserve">Takeda × Salesforce  |  Zasocitinib Digital Companion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003A" w:sz="6" w:space="4"/>
      </w:pBdr>
      <w:spacing w:after="0" w:before="0"/>
    </w:pPr>
    <w:r>
      <w:rPr>
        <w:rFonts w:ascii="Arial" w:cs="Arial" w:eastAsia="Arial" w:hAnsi="Arial"/>
        <w:b/>
        <w:bCs/>
        <w:color w:val="1B1F3B"/>
        <w:sz w:val="18"/>
        <w:szCs w:val="18"/>
      </w:rPr>
      <w:t xml:space="preserve">For You With You: Zasocitinib — Product Requirements Document</w:t>
    </w:r>
    <w:r>
      <w:rPr>
        <w:rFonts w:ascii="Arial" w:cs="Arial" w:eastAsia="Arial" w:hAnsi="Arial"/>
        <w:color w:val="E4003A"/>
        <w:sz w:val="18"/>
        <w:szCs w:val="18"/>
      </w:rPr>
      <w:t xml:space="preserv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1F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1F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2026-06-30T03:32:00.972Z</dcterms:created>
  <dcterms:modified xsi:type="dcterms:W3CDTF">2026-06-30T03:32:00.972Z</dcterms:modified>
</cp:coreProperties>
</file>

<file path=docProps/custom.xml><?xml version="1.0" encoding="utf-8"?>
<Properties xmlns="http://schemas.openxmlformats.org/officeDocument/2006/custom-properties" xmlns:vt="http://schemas.openxmlformats.org/officeDocument/2006/docPropsVTypes"/>
</file>