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Google Sans" w:cs="Google Sans" w:eastAsia="Google Sans" w:hAnsi="Google Sans"/>
          <w:b w:val="1"/>
          <w:color w:val="0070c0"/>
          <w:u w:val="single"/>
        </w:rPr>
      </w:pPr>
      <w:r w:rsidDel="00000000" w:rsidR="00000000" w:rsidRPr="00000000">
        <w:rPr>
          <w:rtl w:val="0"/>
        </w:rPr>
      </w:r>
    </w:p>
    <w:p w:rsidR="00000000" w:rsidDel="00000000" w:rsidP="00000000" w:rsidRDefault="00000000" w:rsidRPr="00000000" w14:paraId="00000002">
      <w:pPr>
        <w:spacing w:after="200" w:before="200" w:line="360" w:lineRule="auto"/>
        <w:ind w:left="-360" w:right="-360" w:firstLine="0"/>
        <w:rPr>
          <w:rFonts w:ascii="Google Sans" w:cs="Google Sans" w:eastAsia="Google Sans" w:hAnsi="Google Sans"/>
          <w:b w:val="1"/>
          <w:color w:val="3c4043"/>
          <w:sz w:val="40"/>
          <w:szCs w:val="40"/>
        </w:rPr>
      </w:pPr>
      <w:r w:rsidDel="00000000" w:rsidR="00000000" w:rsidRPr="00000000">
        <w:rPr>
          <w:rFonts w:ascii="Google Sans" w:cs="Google Sans" w:eastAsia="Google Sans" w:hAnsi="Google Sans"/>
          <w:b w:val="1"/>
          <w:color w:val="3c4043"/>
          <w:sz w:val="40"/>
          <w:szCs w:val="40"/>
          <w:rtl w:val="0"/>
        </w:rPr>
        <w:t xml:space="preserve">Incident report analysis</w:t>
      </w:r>
    </w:p>
    <w:p w:rsidR="00000000" w:rsidDel="00000000" w:rsidP="00000000" w:rsidRDefault="00000000" w:rsidRPr="00000000" w14:paraId="00000003">
      <w:pPr>
        <w:spacing w:after="200" w:line="360" w:lineRule="auto"/>
        <w:ind w:left="-360" w:right="-36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color w:val="34a853"/>
          <w:sz w:val="24"/>
          <w:szCs w:val="24"/>
          <w:rtl w:val="0"/>
        </w:rPr>
        <w:t xml:space="preserve">Instructions</w:t>
      </w:r>
      <w:r w:rsidDel="00000000" w:rsidR="00000000" w:rsidRPr="00000000">
        <w:rPr>
          <w:rtl w:val="0"/>
        </w:rPr>
      </w:r>
    </w:p>
    <w:p w:rsidR="00000000" w:rsidDel="00000000" w:rsidP="00000000" w:rsidRDefault="00000000" w:rsidRPr="00000000" w14:paraId="00000004">
      <w:pPr>
        <w:spacing w:after="200" w:line="360" w:lineRule="auto"/>
        <w:ind w:left="-360" w:right="-36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NIST CSF framework to different situations you may encounter.</w:t>
      </w:r>
      <w:r w:rsidDel="00000000" w:rsidR="00000000" w:rsidRPr="00000000">
        <w:rPr>
          <w:rtl w:val="0"/>
        </w:rPr>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Summary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Identify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 malicious actor or actors targeted the company with an ICMP flood attack. The entire internal network was affected. All critical network resources needed to be secured and restored to a functioning state.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Protect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w:t>
            </w:r>
            <w:r w:rsidDel="00000000" w:rsidR="00000000" w:rsidRPr="00000000">
              <w:rPr>
                <w:rFonts w:ascii="Google Sans" w:cs="Google Sans" w:eastAsia="Google Sans" w:hAnsi="Google Sans"/>
                <w:rtl w:val="0"/>
              </w:rPr>
              <w:t xml:space="preserve">cybersecurity team implemented a new firewall rule to limit the rate of incoming ICMP packets and an IDS/IPS system to filter out some ICMP traffic based on suspicious characteristics.</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Detect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ind w:left="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The cybersecurity team configured source IP address verification on the firewall to check for spoofed IP addresses on incoming ICMP packets and implemented network monitoring software to detect abnormal traffic patterns.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Respond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w:t>
            </w:r>
            <w:r w:rsidDel="00000000" w:rsidR="00000000" w:rsidRPr="00000000">
              <w:rPr>
                <w:rFonts w:ascii="Google Sans" w:cs="Google Sans" w:eastAsia="Google Sans" w:hAnsi="Google Sans"/>
                <w:rtl w:val="0"/>
              </w:rPr>
              <w:t xml:space="preserve">.</w:t>
            </w:r>
            <w:r w:rsidDel="00000000" w:rsidR="00000000" w:rsidRPr="00000000">
              <w:rPr>
                <w:rFonts w:ascii="Google Sans" w:cs="Google Sans" w:eastAsia="Google Sans" w:hAnsi="Google Sans"/>
                <w:rtl w:val="0"/>
              </w:rPr>
              <w:t xml:space="preserve"> The team will also report all incidents to upper management and appropriate legal authorities, if applicable.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Recover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To recover from a</w:t>
            </w:r>
            <w:r w:rsidDel="00000000" w:rsidR="00000000" w:rsidRPr="00000000">
              <w:rPr>
                <w:rFonts w:ascii="Google Sans" w:cs="Google Sans" w:eastAsia="Google Sans" w:hAnsi="Google Sans"/>
                <w:rtl w:val="0"/>
              </w:rPr>
              <w:t xml:space="preserve"> DDoS </w:t>
            </w:r>
            <w:r w:rsidDel="00000000" w:rsidR="00000000" w:rsidRPr="00000000">
              <w:rPr>
                <w:rFonts w:ascii="Google Sans" w:cs="Google Sans" w:eastAsia="Google Sans" w:hAnsi="Google Sans"/>
                <w:rtl w:val="0"/>
              </w:rPr>
              <w:t xml:space="preserve">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rsidR="00000000" w:rsidDel="00000000" w:rsidP="00000000" w:rsidRDefault="00000000" w:rsidRPr="00000000" w14:paraId="0000001D">
      <w:pPr>
        <w:spacing w:after="200" w:line="360"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E">
      <w:pPr>
        <w:spacing w:after="200" w:line="360"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360" w:lineRule="auto"/>
        <w:ind w:left="-360" w:right="-360" w:firstLine="0"/>
        <w:rPr>
          <w:rFonts w:ascii="Google Sans" w:cs="Google Sans" w:eastAsia="Google Sans" w:hAnsi="Google Sans"/>
        </w:rPr>
      </w:pPr>
      <w:r w:rsidDel="00000000" w:rsidR="00000000" w:rsidRPr="00000000">
        <w:rPr>
          <w:rtl w:val="0"/>
        </w:rPr>
      </w:r>
    </w:p>
    <w:tbl>
      <w:tblPr>
        <w:tblStyle w:val="Table2"/>
        <w:tblW w:w="100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Reflections/Notes:</w:t>
            </w:r>
          </w:p>
        </w:tc>
      </w:tr>
    </w:tbl>
    <w:p w:rsidR="00000000" w:rsidDel="00000000" w:rsidP="00000000" w:rsidRDefault="00000000" w:rsidRPr="00000000" w14:paraId="00000021">
      <w:pPr>
        <w:spacing w:line="360" w:lineRule="auto"/>
        <w:ind w:left="-360" w:right="-360" w:firstLine="0"/>
        <w:rPr>
          <w:rFonts w:ascii="Google Sans" w:cs="Google Sans" w:eastAsia="Google Sans" w:hAnsi="Google Sans"/>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drawing>
        <wp:inline distB="114300" distT="114300" distL="114300" distR="114300">
          <wp:extent cx="1096601" cy="814388"/>
          <wp:effectExtent b="0" l="0" r="0" t="0"/>
          <wp:docPr id="1" name="image1.png"/>
          <a:graphic>
            <a:graphicData uri="http://schemas.openxmlformats.org/drawingml/2006/picture">
              <pic:pic>
                <pic:nvPicPr>
                  <pic:cNvPr id="0" name="image1.png"/>
                  <pic:cNvPicPr preferRelativeResize="0"/>
                </pic:nvPicPr>
                <pic:blipFill>
                  <a:blip r:embed="rId1"/>
                  <a:srcRect b="26277" l="13942" r="18910" t="28613"/>
                  <a:stretch>
                    <a:fillRect/>
                  </a:stretch>
                </pic:blipFill>
                <pic:spPr>
                  <a:xfrm>
                    <a:off x="0" y="0"/>
                    <a:ext cx="1096601" cy="8143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