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B2" w:rsidRDefault="00A02883" w:rsidP="00894AB2">
      <w:pPr>
        <w:pStyle w:val="TextosemFormatao"/>
        <w:jc w:val="center"/>
        <w:rPr>
          <w:b/>
        </w:rPr>
      </w:pPr>
      <w:bookmarkStart w:id="0" w:name="_GoBack"/>
      <w:bookmarkEnd w:id="0"/>
      <w:r>
        <w:rPr>
          <w:b/>
        </w:rPr>
        <w:t>O Custo da Burocracia</w:t>
      </w:r>
      <w:r w:rsidR="008F6766">
        <w:rPr>
          <w:b/>
        </w:rPr>
        <w:t xml:space="preserve"> e a</w:t>
      </w:r>
      <w:r>
        <w:rPr>
          <w:b/>
        </w:rPr>
        <w:t xml:space="preserve"> d</w:t>
      </w:r>
      <w:r w:rsidR="00894AB2" w:rsidRPr="00894AB2">
        <w:rPr>
          <w:b/>
        </w:rPr>
        <w:t>esburocratização nos Licenciamentos</w:t>
      </w:r>
      <w:r>
        <w:rPr>
          <w:b/>
        </w:rPr>
        <w:t xml:space="preserve"> – uma bandeira da ABRAINC</w:t>
      </w:r>
    </w:p>
    <w:p w:rsidR="001A34D1" w:rsidRDefault="001A34D1" w:rsidP="005B3C85">
      <w:pPr>
        <w:rPr>
          <w:color w:val="1F497D"/>
        </w:rPr>
      </w:pPr>
    </w:p>
    <w:p w:rsidR="00FE1501" w:rsidRPr="00092B74" w:rsidRDefault="00A02883" w:rsidP="001A34D1">
      <w:pPr>
        <w:rPr>
          <w:b/>
          <w:color w:val="FF0000"/>
        </w:rPr>
      </w:pPr>
      <w:r w:rsidRPr="00092B74">
        <w:rPr>
          <w:b/>
          <w:color w:val="FF0000"/>
        </w:rPr>
        <w:t>A Burocracia excessiva</w:t>
      </w:r>
    </w:p>
    <w:p w:rsidR="00A02883" w:rsidRDefault="00894AB2" w:rsidP="001A34D1">
      <w:r w:rsidRPr="0073572C">
        <w:t xml:space="preserve">O processo de licenciamentos </w:t>
      </w:r>
      <w:r w:rsidR="009557C4" w:rsidRPr="0073572C">
        <w:t xml:space="preserve">que hoje se tem </w:t>
      </w:r>
      <w:r w:rsidRPr="0073572C">
        <w:t xml:space="preserve">é fruto de acúmulo de regulações e exigências </w:t>
      </w:r>
      <w:r w:rsidR="009309C4">
        <w:t xml:space="preserve">dúbias e subjetivas, </w:t>
      </w:r>
      <w:r w:rsidRPr="0073572C">
        <w:t xml:space="preserve">que se sobrepõem sem gerar valor ou controles desejáveis. </w:t>
      </w:r>
      <w:r w:rsidR="009557C4" w:rsidRPr="0073572C">
        <w:t>Ist</w:t>
      </w:r>
      <w:r w:rsidR="009309C4">
        <w:t>o se soma a fluxos inadequados,</w:t>
      </w:r>
      <w:r w:rsidR="009557C4" w:rsidRPr="0073572C">
        <w:t xml:space="preserve"> controles pouco eficientes</w:t>
      </w:r>
      <w:r w:rsidR="009309C4">
        <w:t xml:space="preserve"> e </w:t>
      </w:r>
      <w:r w:rsidR="009309C4" w:rsidRPr="009309C4">
        <w:t>técnicos não atualizados e desmotivados com a falta de plano adequado de carreira</w:t>
      </w:r>
      <w:r w:rsidR="009557C4" w:rsidRPr="009309C4">
        <w:t>.</w:t>
      </w:r>
      <w:r w:rsidR="009557C4" w:rsidRPr="0073572C">
        <w:t xml:space="preserve"> </w:t>
      </w:r>
    </w:p>
    <w:p w:rsidR="001A34D1" w:rsidRPr="0073572C" w:rsidRDefault="009557C4" w:rsidP="001A34D1">
      <w:r w:rsidRPr="0073572C">
        <w:t>C</w:t>
      </w:r>
      <w:r w:rsidR="00894AB2" w:rsidRPr="0073572C">
        <w:t xml:space="preserve">onforme o estudo O Custo da Burocracia no Imóvel, </w:t>
      </w:r>
      <w:r w:rsidRPr="0073572C">
        <w:t>elab</w:t>
      </w:r>
      <w:r w:rsidR="001A34D1" w:rsidRPr="0073572C">
        <w:t xml:space="preserve">orado pela consultoria Booz&amp;Co, </w:t>
      </w:r>
      <w:r w:rsidRPr="0073572C">
        <w:t xml:space="preserve">apoiada pelo MBC, </w:t>
      </w:r>
      <w:r w:rsidR="00A02883">
        <w:t xml:space="preserve">em </w:t>
      </w:r>
      <w:r w:rsidRPr="0073572C">
        <w:t xml:space="preserve">iniciativa da ABRAINC e da CBIC, </w:t>
      </w:r>
      <w:r w:rsidR="00894AB2" w:rsidRPr="0073572C">
        <w:t xml:space="preserve">a burocracia excessiva </w:t>
      </w:r>
      <w:r w:rsidR="001A34D1" w:rsidRPr="0073572C">
        <w:t xml:space="preserve">no setor imobiliário impacta fortemente a produtividade e a alocação de investimentos de um setor que só no seu segmento imobiliário representa 5,7% do PIB do país (e que poderia ser maior, sem este gargalo). </w:t>
      </w:r>
    </w:p>
    <w:p w:rsidR="00A02883" w:rsidRDefault="00A02883" w:rsidP="00A864EF">
      <w:r>
        <w:t>De acordo com levantamento realizado com os financiamentos no SBPE e FGTS, a</w:t>
      </w:r>
      <w:r w:rsidR="001A34D1" w:rsidRPr="0073572C">
        <w:t xml:space="preserve"> burocracia excessiva </w:t>
      </w:r>
      <w:r>
        <w:t xml:space="preserve">que afeta o setor imobiliário </w:t>
      </w:r>
      <w:r w:rsidR="00894AB2" w:rsidRPr="0073572C">
        <w:t>con</w:t>
      </w:r>
      <w:r>
        <w:t>tribui para um desperdício de 18</w:t>
      </w:r>
      <w:r w:rsidR="00894AB2" w:rsidRPr="0073572C">
        <w:t xml:space="preserve"> bilhōes de reais por ano</w:t>
      </w:r>
      <w:r w:rsidR="001A34D1" w:rsidRPr="0073572C">
        <w:t xml:space="preserve"> </w:t>
      </w:r>
      <w:r>
        <w:t xml:space="preserve">no Brasil. Pela intensa </w:t>
      </w:r>
      <w:r w:rsidR="001A34D1" w:rsidRPr="0073572C">
        <w:t xml:space="preserve">competição do setor, </w:t>
      </w:r>
      <w:r>
        <w:t xml:space="preserve">com milhares de empresas, este custo recai sobre </w:t>
      </w:r>
      <w:r w:rsidR="001A34D1" w:rsidRPr="0073572C">
        <w:t xml:space="preserve">os </w:t>
      </w:r>
      <w:r w:rsidR="00894AB2" w:rsidRPr="0073572C">
        <w:t xml:space="preserve">compradores e </w:t>
      </w:r>
      <w:r>
        <w:t xml:space="preserve">sobre a </w:t>
      </w:r>
      <w:r w:rsidR="00894AB2" w:rsidRPr="0073572C">
        <w:t>sociedade</w:t>
      </w:r>
      <w:r w:rsidR="001A34D1" w:rsidRPr="0073572C">
        <w:t xml:space="preserve"> em geral</w:t>
      </w:r>
      <w:r w:rsidR="00894AB2" w:rsidRPr="0073572C">
        <w:t xml:space="preserve">. </w:t>
      </w:r>
    </w:p>
    <w:p w:rsidR="00894AB2" w:rsidRDefault="00894AB2" w:rsidP="00A864EF">
      <w:r w:rsidRPr="0073572C">
        <w:t>Este custeio se dá via u</w:t>
      </w:r>
      <w:r w:rsidR="00A02883">
        <w:t xml:space="preserve">m incremento nos valores pagos - </w:t>
      </w:r>
      <w:r w:rsidRPr="0073572C">
        <w:t xml:space="preserve">em </w:t>
      </w:r>
      <w:r w:rsidR="00D078F3">
        <w:t>m</w:t>
      </w:r>
      <w:r w:rsidRPr="0073572C">
        <w:t>édia</w:t>
      </w:r>
      <w:r w:rsidR="00A02883">
        <w:t>,</w:t>
      </w:r>
      <w:r w:rsidRPr="0073572C">
        <w:t xml:space="preserve"> 12% do valor</w:t>
      </w:r>
      <w:r w:rsidR="00A02883">
        <w:t xml:space="preserve"> da venda de cada imóvel no Brasil viria desta burocracia excessiva</w:t>
      </w:r>
      <w:r w:rsidR="00224D58">
        <w:t xml:space="preserve">. </w:t>
      </w:r>
      <w:r w:rsidR="00D62247">
        <w:t>Desta</w:t>
      </w:r>
      <w:r w:rsidR="00224D58">
        <w:t xml:space="preserve"> porcentagem, 80% refere-se exclusivamente a aprovações </w:t>
      </w:r>
      <w:r w:rsidR="00673482">
        <w:t>e licenciamentos</w:t>
      </w:r>
      <w:r w:rsidR="00224D58">
        <w:t>, ou seja, 9,6% do valor de cada imóvel no Brasil</w:t>
      </w:r>
      <w:r w:rsidR="00A02883">
        <w:t>. Ela também impacta o</w:t>
      </w:r>
      <w:r w:rsidRPr="0073572C">
        <w:t>s pr</w:t>
      </w:r>
      <w:r w:rsidR="00A02883">
        <w:t>azos de consecução dos projetos, que são em média 30 meses maiores do que seria necessário (note-se que os custos adicionais são só aqueles referentes aso empreendimentos -  eles não incluem despesas de aluguéis ou outros referentes ao incremento de prazo)</w:t>
      </w:r>
      <w:r w:rsidRPr="0073572C">
        <w:t>.</w:t>
      </w:r>
      <w:r w:rsidR="001A34D1" w:rsidRPr="0073572C">
        <w:t xml:space="preserve"> </w:t>
      </w:r>
    </w:p>
    <w:p w:rsidR="00A02883" w:rsidRPr="00092B74" w:rsidRDefault="00A02883" w:rsidP="00A864EF">
      <w:pPr>
        <w:rPr>
          <w:b/>
          <w:color w:val="FF0000"/>
        </w:rPr>
      </w:pPr>
      <w:r w:rsidRPr="00092B74">
        <w:rPr>
          <w:b/>
          <w:color w:val="FF0000"/>
        </w:rPr>
        <w:t>A transparência dos processos e a arrecadação dos municípios</w:t>
      </w:r>
      <w:r w:rsidR="00EF7D2B" w:rsidRPr="00092B74">
        <w:rPr>
          <w:b/>
          <w:color w:val="FF0000"/>
        </w:rPr>
        <w:t xml:space="preserve"> e dos estados</w:t>
      </w:r>
    </w:p>
    <w:p w:rsidR="00170E85" w:rsidRDefault="00A02883" w:rsidP="00A864EF">
      <w:r>
        <w:t>Processos burocrático</w:t>
      </w:r>
      <w:r w:rsidR="00170E85">
        <w:t>s</w:t>
      </w:r>
      <w:r>
        <w:t xml:space="preserve"> trazem prejuízos nos encaminhamentos e menor transparência para a sociedade sobre critérios e procedimentos. Adicionalmente, a burocracia é também gargalo nas receitas</w:t>
      </w:r>
      <w:r w:rsidR="005428F4">
        <w:t xml:space="preserve"> dos municípios, que têm adiadas as</w:t>
      </w:r>
      <w:r>
        <w:t xml:space="preserve"> taxas de licenciamento</w:t>
      </w:r>
      <w:r w:rsidR="00170E85">
        <w:t xml:space="preserve">, o ISS dos serviços prestados, bem como </w:t>
      </w:r>
      <w:r>
        <w:t>do fluxo de impostos que vêm com a implementação dos empreendimentos, como o I</w:t>
      </w:r>
      <w:r w:rsidR="00AB24D9">
        <w:t>TPU e</w:t>
      </w:r>
      <w:r w:rsidR="00170E85">
        <w:t xml:space="preserve"> o ITBI nas transações. </w:t>
      </w:r>
    </w:p>
    <w:p w:rsidR="0058581F" w:rsidRDefault="00EF7D2B" w:rsidP="00A864EF">
      <w:r>
        <w:t>Anexo a este texto estimamos as principias</w:t>
      </w:r>
      <w:r w:rsidR="00366DCE">
        <w:t xml:space="preserve"> contribuições tributárias considerando a cidade de São Paulo, para empreendimento </w:t>
      </w:r>
      <w:r w:rsidR="009046D5">
        <w:t>médio com 285</w:t>
      </w:r>
      <w:r w:rsidR="00A204F5">
        <w:t xml:space="preserve"> unidades de 7</w:t>
      </w:r>
      <w:r w:rsidR="009046D5">
        <w:t>0 m²</w:t>
      </w:r>
      <w:r w:rsidR="009309C4">
        <w:t xml:space="preserve"> de área útil</w:t>
      </w:r>
      <w:r>
        <w:t>. Em linha com estes cálculos</w:t>
      </w:r>
      <w:r w:rsidR="009309C4">
        <w:t xml:space="preserve">, </w:t>
      </w:r>
      <w:r>
        <w:t xml:space="preserve">e, de acordo com a amplificação do acesso ao imóvel com uma redução de custos advinda da desburocratização, estimamos o ganho fiscal com as medidas propostas. </w:t>
      </w:r>
    </w:p>
    <w:p w:rsidR="00AB24D9" w:rsidRDefault="00627AC6" w:rsidP="00AB24D9">
      <w:r>
        <w:t>C</w:t>
      </w:r>
      <w:r w:rsidR="00137A9C">
        <w:t xml:space="preserve">omo estimativa preliminar e meramente indicativa, </w:t>
      </w:r>
      <w:r>
        <w:t xml:space="preserve">pode ser </w:t>
      </w:r>
      <w:r w:rsidR="00EF7D2B">
        <w:t>c</w:t>
      </w:r>
      <w:r>
        <w:t>onsidera</w:t>
      </w:r>
      <w:r w:rsidR="00A204F5">
        <w:t xml:space="preserve">do </w:t>
      </w:r>
      <w:r w:rsidR="00EF7D2B">
        <w:t xml:space="preserve">um </w:t>
      </w:r>
      <w:r>
        <w:t>crescimento de</w:t>
      </w:r>
      <w:r w:rsidR="00380478">
        <w:t xml:space="preserve"> 14,7</w:t>
      </w:r>
      <w:r w:rsidR="00A204F5">
        <w:t xml:space="preserve">% </w:t>
      </w:r>
      <w:r w:rsidR="00EF7D2B">
        <w:t>nas unidades licenciadas</w:t>
      </w:r>
      <w:r w:rsidR="00D24904">
        <w:t>, representando</w:t>
      </w:r>
      <w:r w:rsidR="00377393">
        <w:t xml:space="preserve"> na cidade de</w:t>
      </w:r>
      <w:r w:rsidR="00D24904">
        <w:t xml:space="preserve"> </w:t>
      </w:r>
      <w:r w:rsidR="00EF7D2B">
        <w:t xml:space="preserve">São Paulo um adicional de </w:t>
      </w:r>
      <w:r w:rsidR="00366DCE">
        <w:t xml:space="preserve">cerca de </w:t>
      </w:r>
      <w:r w:rsidR="00A61761">
        <w:t>4.410</w:t>
      </w:r>
      <w:r w:rsidR="00A204F5">
        <w:t xml:space="preserve"> unidades por ano</w:t>
      </w:r>
      <w:r w:rsidR="005D5165">
        <w:t xml:space="preserve">. </w:t>
      </w:r>
      <w:r w:rsidR="006506F3">
        <w:t xml:space="preserve">No anexo, estimativa indicativa do aumento na arrecadação que isto acarretaria em Taxas de Licenciamento (ainda sem considerar outorgas e compensações), ISS na construção, ICMS para o Estado, </w:t>
      </w:r>
      <w:r w:rsidR="00AB24D9">
        <w:t xml:space="preserve">além de um incremento na contribuição anual de IPTU e de ITBI, considerando média de transações. </w:t>
      </w:r>
    </w:p>
    <w:p w:rsidR="00A02883" w:rsidRPr="00092B74" w:rsidRDefault="00A02883" w:rsidP="00894AB2">
      <w:pPr>
        <w:pStyle w:val="TextosemFormatao"/>
        <w:rPr>
          <w:b/>
          <w:color w:val="FF0000"/>
        </w:rPr>
      </w:pPr>
      <w:r w:rsidRPr="00092B74">
        <w:rPr>
          <w:b/>
          <w:color w:val="FF0000"/>
        </w:rPr>
        <w:t>Como enfrentar o problema</w:t>
      </w:r>
    </w:p>
    <w:p w:rsidR="00A02883" w:rsidRDefault="00A02883" w:rsidP="00894AB2">
      <w:pPr>
        <w:pStyle w:val="TextosemFormatao"/>
      </w:pPr>
    </w:p>
    <w:p w:rsidR="00A02883" w:rsidRDefault="00A02883" w:rsidP="00894AB2">
      <w:pPr>
        <w:pStyle w:val="TextosemFormatao"/>
      </w:pPr>
      <w:r>
        <w:t xml:space="preserve">Precisamos rapidamente avançar na superação deste problema, melhorando as condições de acesso aos imóveis, a produtividade do setor, a transparência dos processos e a arrecadação dos entes públicos. </w:t>
      </w:r>
    </w:p>
    <w:p w:rsidR="00A02883" w:rsidRDefault="00A02883" w:rsidP="00894AB2">
      <w:pPr>
        <w:pStyle w:val="TextosemFormatao"/>
      </w:pPr>
    </w:p>
    <w:p w:rsidR="0073572C" w:rsidRPr="0073572C" w:rsidRDefault="009557C4" w:rsidP="00894AB2">
      <w:pPr>
        <w:pStyle w:val="TextosemFormatao"/>
      </w:pPr>
      <w:r w:rsidRPr="0073572C">
        <w:t>Nesta oportunidade, propomos um</w:t>
      </w:r>
      <w:r w:rsidR="00894AB2" w:rsidRPr="0073572C">
        <w:t xml:space="preserve">a radical revisão </w:t>
      </w:r>
      <w:r w:rsidRPr="0073572C">
        <w:t xml:space="preserve">destes processos </w:t>
      </w:r>
      <w:r w:rsidR="00894AB2" w:rsidRPr="0073572C">
        <w:t xml:space="preserve">em prol da produtividade, da transparência e do bom encaminhamento dos processos. </w:t>
      </w:r>
    </w:p>
    <w:p w:rsidR="0073572C" w:rsidRPr="0073572C" w:rsidRDefault="0073572C" w:rsidP="00894AB2">
      <w:pPr>
        <w:pStyle w:val="TextosemFormatao"/>
      </w:pPr>
    </w:p>
    <w:p w:rsidR="005B3C85" w:rsidRPr="0073572C" w:rsidRDefault="0073572C" w:rsidP="00894AB2">
      <w:pPr>
        <w:pStyle w:val="TextosemFormatao"/>
      </w:pPr>
      <w:r w:rsidRPr="0073572C">
        <w:t>M</w:t>
      </w:r>
      <w:r w:rsidR="00A864EF" w:rsidRPr="0073572C">
        <w:t>ais do que uma proposta, esta é uma bandeira da ABRAINC-  Associação Brasileira de Incorporadoras, já que nela estão incluídas questões muito importantes para o setor, como a produtividade, os preços e prazos para os compradores e a transparência, o controle dos processos e a construção de modelos que impeçam práticas de concussão e corrupção.</w:t>
      </w:r>
      <w:r w:rsidRPr="0073572C">
        <w:t xml:space="preserve"> Note-se que o processo de mudança a </w:t>
      </w:r>
      <w:r w:rsidR="005B3C85" w:rsidRPr="0073572C">
        <w:t xml:space="preserve">ser construído </w:t>
      </w:r>
      <w:r w:rsidRPr="0073572C">
        <w:t xml:space="preserve">deve integrar </w:t>
      </w:r>
      <w:r w:rsidR="005B3C85" w:rsidRPr="0073572C">
        <w:t>poder públi</w:t>
      </w:r>
      <w:r w:rsidR="001A3F02" w:rsidRPr="0073572C">
        <w:t>co, iniciativa privada e Ministério P</w:t>
      </w:r>
      <w:r w:rsidR="005B3C85" w:rsidRPr="0073572C">
        <w:t>úblico</w:t>
      </w:r>
      <w:r w:rsidR="001A3F02" w:rsidRPr="0073572C">
        <w:t xml:space="preserve">, na forma de um </w:t>
      </w:r>
      <w:r w:rsidR="005B3C85" w:rsidRPr="0073572C">
        <w:t>pacto</w:t>
      </w:r>
      <w:r w:rsidR="001A3F02" w:rsidRPr="0073572C">
        <w:t>,</w:t>
      </w:r>
      <w:r w:rsidR="005B3C85" w:rsidRPr="0073572C">
        <w:t xml:space="preserve"> e que tal engajamento deve se sobrepor </w:t>
      </w:r>
      <w:r w:rsidRPr="0073572C">
        <w:t>a prazos de mandato, sendo uma P</w:t>
      </w:r>
      <w:r w:rsidR="005B3C85" w:rsidRPr="0073572C">
        <w:t xml:space="preserve">olítica </w:t>
      </w:r>
      <w:r w:rsidRPr="0073572C">
        <w:t xml:space="preserve">de Estado (em nível federal, estadual ou municipal) e </w:t>
      </w:r>
      <w:r w:rsidR="005B3C85" w:rsidRPr="0073572C">
        <w:t xml:space="preserve">não de </w:t>
      </w:r>
      <w:r w:rsidRPr="0073572C">
        <w:t>G</w:t>
      </w:r>
      <w:r w:rsidR="005B3C85" w:rsidRPr="0073572C">
        <w:t>overno</w:t>
      </w:r>
      <w:r w:rsidR="001A3F02" w:rsidRPr="0073572C">
        <w:t>.</w:t>
      </w:r>
    </w:p>
    <w:p w:rsidR="005B3C85" w:rsidRPr="0073572C" w:rsidRDefault="005B3C85" w:rsidP="00894AB2">
      <w:pPr>
        <w:pStyle w:val="TextosemFormatao"/>
      </w:pPr>
    </w:p>
    <w:p w:rsidR="00092B74" w:rsidRPr="00092B74" w:rsidRDefault="00092B74" w:rsidP="00894AB2">
      <w:pPr>
        <w:pStyle w:val="TextosemFormatao"/>
        <w:rPr>
          <w:color w:val="FF0000"/>
        </w:rPr>
      </w:pPr>
      <w:r w:rsidRPr="00092B74">
        <w:rPr>
          <w:color w:val="FF0000"/>
        </w:rPr>
        <w:t>“</w:t>
      </w:r>
      <w:r>
        <w:rPr>
          <w:color w:val="FF0000"/>
        </w:rPr>
        <w:t>Pessoal e</w:t>
      </w:r>
      <w:r w:rsidRPr="00092B74">
        <w:rPr>
          <w:color w:val="FF0000"/>
        </w:rPr>
        <w:t>ssa é a receita do bolo”</w:t>
      </w:r>
    </w:p>
    <w:p w:rsidR="00092B74" w:rsidRDefault="00092B74" w:rsidP="00894AB2">
      <w:pPr>
        <w:pStyle w:val="TextosemFormatao"/>
      </w:pPr>
    </w:p>
    <w:p w:rsidR="00894AB2" w:rsidRPr="0073572C" w:rsidRDefault="00894AB2" w:rsidP="00894AB2">
      <w:pPr>
        <w:pStyle w:val="TextosemFormatao"/>
      </w:pPr>
      <w:r w:rsidRPr="0073572C">
        <w:t xml:space="preserve">Esta proposta pode ser dividida em 4 </w:t>
      </w:r>
      <w:r w:rsidR="00D63AD7">
        <w:t>Pilares</w:t>
      </w:r>
      <w:r w:rsidRPr="0073572C">
        <w:t xml:space="preserve">, conforme abaixo, que devem ser encaminhadas de forma </w:t>
      </w:r>
      <w:r w:rsidR="005F0553">
        <w:t>progressiva</w:t>
      </w:r>
      <w:r w:rsidRPr="0073572C">
        <w:t xml:space="preserve">. Com isso, se terá um modelo de aprovações que, disseminado, trará substanciais ganhos para o ente público </w:t>
      </w:r>
      <w:r w:rsidR="009557C4" w:rsidRPr="0073572C">
        <w:t xml:space="preserve">no desempenho de </w:t>
      </w:r>
      <w:r w:rsidRPr="0073572C">
        <w:t>seu papel, para a sociedade</w:t>
      </w:r>
      <w:r w:rsidR="009557C4" w:rsidRPr="0073572C">
        <w:t xml:space="preserve"> e para a produção imobiliária de forma adequada no país</w:t>
      </w:r>
      <w:r w:rsidRPr="0073572C">
        <w:t>.</w:t>
      </w:r>
    </w:p>
    <w:p w:rsidR="005B3C85" w:rsidRPr="0073572C" w:rsidRDefault="005B3C85" w:rsidP="00894AB2">
      <w:pPr>
        <w:pStyle w:val="TextosemFormatao"/>
      </w:pPr>
    </w:p>
    <w:p w:rsidR="00894AB2" w:rsidRPr="00092B74" w:rsidRDefault="00894AB2" w:rsidP="00894AB2">
      <w:pPr>
        <w:pStyle w:val="TextosemFormatao"/>
        <w:rPr>
          <w:b/>
          <w:color w:val="FF0000"/>
        </w:rPr>
      </w:pPr>
      <w:r w:rsidRPr="00092B74">
        <w:rPr>
          <w:b/>
          <w:color w:val="FF0000"/>
        </w:rPr>
        <w:t>1 - O caráter declaratório</w:t>
      </w:r>
    </w:p>
    <w:p w:rsidR="00894AB2" w:rsidRPr="0073572C" w:rsidRDefault="00894AB2" w:rsidP="00894AB2">
      <w:pPr>
        <w:pStyle w:val="TextosemFormatao"/>
      </w:pPr>
    </w:p>
    <w:p w:rsidR="00894AB2" w:rsidRPr="0073572C" w:rsidRDefault="00894AB2" w:rsidP="009557C4">
      <w:pPr>
        <w:pStyle w:val="TextosemFormatao"/>
      </w:pPr>
      <w:r w:rsidRPr="0073572C">
        <w:t>A r</w:t>
      </w:r>
      <w:r w:rsidR="009557C4" w:rsidRPr="0073572C">
        <w:t xml:space="preserve">esponsabilidade </w:t>
      </w:r>
      <w:r w:rsidRPr="0073572C">
        <w:t xml:space="preserve">pelo cumprimento das normas e procedimentos adequados deve ser do </w:t>
      </w:r>
      <w:r w:rsidR="009557C4" w:rsidRPr="0073572C">
        <w:t>proponente</w:t>
      </w:r>
      <w:r w:rsidRPr="0073572C">
        <w:t xml:space="preserve"> - a empresa </w:t>
      </w:r>
      <w:r w:rsidR="009557C4" w:rsidRPr="0073572C">
        <w:t xml:space="preserve">responsável pelo projeto </w:t>
      </w:r>
      <w:r w:rsidRPr="0073572C">
        <w:t>e seus responsáveis técnicos. O órgão estatal deve concentrar seu foco na fiscalização da execução, conforme tais normas e procedimentos.</w:t>
      </w:r>
      <w:r w:rsidR="00953971" w:rsidRPr="0073572C">
        <w:t xml:space="preserve"> Determinadas responsabilidades devem ser transferidas do ente público para o privado, e já existem instrumentos para isto, como as ARTs e os controles que podem ser exercidos pelas entidades de classe. </w:t>
      </w:r>
      <w:r w:rsidRPr="0073572C">
        <w:t>Isto reduz a burocracia, os prazos de aprovação e permite o foco na fiscalização, que deve ser eficaz, com foco e controles adequados, com consistente punição às irregularidades encontradas.</w:t>
      </w:r>
      <w:r w:rsidR="009557C4" w:rsidRPr="0073572C">
        <w:t xml:space="preserve"> </w:t>
      </w:r>
      <w:r w:rsidR="00A864EF" w:rsidRPr="0073572C">
        <w:t>Esta mudança de visão é fundamental para se desafogar o</w:t>
      </w:r>
      <w:r w:rsidR="009557C4" w:rsidRPr="0073572C">
        <w:t xml:space="preserve"> ente público</w:t>
      </w:r>
      <w:r w:rsidR="00A864EF" w:rsidRPr="0073572C">
        <w:t xml:space="preserve"> e</w:t>
      </w:r>
      <w:r w:rsidR="009557C4" w:rsidRPr="0073572C">
        <w:t xml:space="preserve"> destrava</w:t>
      </w:r>
      <w:r w:rsidR="00A864EF" w:rsidRPr="0073572C">
        <w:t xml:space="preserve">r </w:t>
      </w:r>
      <w:r w:rsidR="009557C4" w:rsidRPr="0073572C">
        <w:t>as operações</w:t>
      </w:r>
      <w:r w:rsidR="00A864EF" w:rsidRPr="0073572C">
        <w:t xml:space="preserve">, com maior foco aos </w:t>
      </w:r>
      <w:r w:rsidR="009557C4" w:rsidRPr="0073572C">
        <w:t xml:space="preserve">controles </w:t>
      </w:r>
      <w:r w:rsidR="00A864EF" w:rsidRPr="0073572C">
        <w:t>necessários.</w:t>
      </w:r>
      <w:r w:rsidR="009557C4" w:rsidRPr="0073572C">
        <w:t xml:space="preserve"> </w:t>
      </w:r>
    </w:p>
    <w:p w:rsidR="00894AB2" w:rsidRPr="0073572C" w:rsidRDefault="00894AB2" w:rsidP="00894AB2">
      <w:pPr>
        <w:pStyle w:val="TextosemFormatao"/>
      </w:pPr>
    </w:p>
    <w:p w:rsidR="00894AB2" w:rsidRPr="00092B74" w:rsidRDefault="00D7382C" w:rsidP="00894AB2">
      <w:pPr>
        <w:pStyle w:val="TextosemFormatao"/>
        <w:rPr>
          <w:b/>
          <w:color w:val="FF0000"/>
        </w:rPr>
      </w:pPr>
      <w:r w:rsidRPr="00092B74">
        <w:rPr>
          <w:b/>
          <w:color w:val="FF0000"/>
        </w:rPr>
        <w:t>2 - A Simplificação da L</w:t>
      </w:r>
      <w:r w:rsidR="00894AB2" w:rsidRPr="00092B74">
        <w:rPr>
          <w:b/>
          <w:color w:val="FF0000"/>
        </w:rPr>
        <w:t>egislação</w:t>
      </w:r>
    </w:p>
    <w:p w:rsidR="00894AB2" w:rsidRPr="0073572C" w:rsidRDefault="00894AB2" w:rsidP="00894AB2">
      <w:pPr>
        <w:pStyle w:val="TextosemFormatao"/>
      </w:pPr>
    </w:p>
    <w:p w:rsidR="00953971" w:rsidRPr="0073572C" w:rsidRDefault="00894AB2" w:rsidP="005B3C85">
      <w:r w:rsidRPr="0073572C">
        <w:t xml:space="preserve">Para isso, as normas devem ser claras e objetivas. Regras não claras são a raiz da insegurança do servidor público e da empresa privada. Elas também são onde surgem a discricionariedade, a concussão e a corrupção. Não se deve deixar margem à subjetividade e a interpretações divergentes. É primordial um esforço e ação do ente público e seu mandatário para revisão da regulação pela supressão de superposições e contradições. </w:t>
      </w:r>
      <w:r w:rsidR="00953971" w:rsidRPr="0073572C">
        <w:t xml:space="preserve">Nos processos de licenciamentos, a legislação deve </w:t>
      </w:r>
      <w:r w:rsidR="005B3C85" w:rsidRPr="0073572C">
        <w:t>se dirigir à</w:t>
      </w:r>
      <w:r w:rsidR="00953971" w:rsidRPr="0073572C">
        <w:t xml:space="preserve"> análise de índices urbanísticos, tanto para a desburocratização do processo como para a construção de uma cidade melhor, desde a produção de terra urbanizada como o da edificação</w:t>
      </w:r>
      <w:r w:rsidR="005B3C85" w:rsidRPr="0073572C">
        <w:t>.</w:t>
      </w:r>
    </w:p>
    <w:p w:rsidR="00894AB2" w:rsidRPr="0073572C" w:rsidRDefault="00894AB2" w:rsidP="00894AB2">
      <w:pPr>
        <w:pStyle w:val="TextosemFormatao"/>
      </w:pPr>
      <w:r w:rsidRPr="0073572C">
        <w:t>Propomos a designação de um grupo de trabalho com este fim, com um prazo de 6 meses para a preparação de Decretos, Portarias e alterações regulatórias para aprovação e finalização deste trabalho</w:t>
      </w:r>
      <w:r w:rsidR="009557C4" w:rsidRPr="0073572C">
        <w:t>, que deve incluir o viés</w:t>
      </w:r>
      <w:r w:rsidR="00D7382C" w:rsidRPr="0073572C">
        <w:t xml:space="preserve"> declaratório acima descrito</w:t>
      </w:r>
      <w:r w:rsidRPr="0073572C">
        <w:t>.</w:t>
      </w:r>
    </w:p>
    <w:p w:rsidR="00894AB2" w:rsidRPr="0073572C" w:rsidRDefault="00894AB2" w:rsidP="00894AB2">
      <w:pPr>
        <w:pStyle w:val="TextosemFormatao"/>
      </w:pPr>
    </w:p>
    <w:p w:rsidR="00894AB2" w:rsidRPr="00092B74" w:rsidRDefault="009309C4" w:rsidP="00894AB2">
      <w:pPr>
        <w:pStyle w:val="TextosemFormatao"/>
        <w:rPr>
          <w:b/>
          <w:color w:val="FF0000"/>
        </w:rPr>
      </w:pPr>
      <w:r w:rsidRPr="00092B74">
        <w:rPr>
          <w:b/>
          <w:color w:val="FF0000"/>
        </w:rPr>
        <w:t xml:space="preserve">3 – Gestão e </w:t>
      </w:r>
      <w:r w:rsidR="00D7382C" w:rsidRPr="00092B74">
        <w:rPr>
          <w:b/>
          <w:color w:val="FF0000"/>
        </w:rPr>
        <w:t>Controle das I</w:t>
      </w:r>
      <w:r w:rsidR="00894AB2" w:rsidRPr="00092B74">
        <w:rPr>
          <w:b/>
          <w:color w:val="FF0000"/>
        </w:rPr>
        <w:t>nformações</w:t>
      </w:r>
    </w:p>
    <w:p w:rsidR="00894AB2" w:rsidRPr="0073572C" w:rsidRDefault="00894AB2" w:rsidP="00894AB2">
      <w:pPr>
        <w:pStyle w:val="TextosemFormatao"/>
      </w:pPr>
    </w:p>
    <w:p w:rsidR="00894AB2" w:rsidRPr="0073572C" w:rsidRDefault="00894AB2" w:rsidP="00894AB2">
      <w:pPr>
        <w:pStyle w:val="TextosemFormatao"/>
      </w:pPr>
      <w:r w:rsidRPr="0073572C">
        <w:t xml:space="preserve">Para a eficiência nos controles e segurança na fiscalização, a informatização e o cruzamento de informações </w:t>
      </w:r>
      <w:r w:rsidR="00D7382C" w:rsidRPr="0073572C">
        <w:t>é fundamental</w:t>
      </w:r>
      <w:r w:rsidRPr="0073572C">
        <w:t xml:space="preserve">. Assim, </w:t>
      </w:r>
      <w:r w:rsidR="00D7382C" w:rsidRPr="0073572C">
        <w:t xml:space="preserve">é </w:t>
      </w:r>
      <w:r w:rsidRPr="0073572C">
        <w:t>necessário um plano de informatização e de controle, sob gestão da Secretaria de Licenciamentos</w:t>
      </w:r>
      <w:r w:rsidR="00D7382C" w:rsidRPr="0073572C">
        <w:t xml:space="preserve">, e possível contratação de ente terceirizado, a ser contratado de acordo </w:t>
      </w:r>
      <w:r w:rsidRPr="0073572C">
        <w:t xml:space="preserve">com a legislação pertinente. É necessária a definição de escopo dos serviços para efetuação de licitação no menor prazo possível, visando implementação do trabalho até meados de 2015.  </w:t>
      </w:r>
    </w:p>
    <w:p w:rsidR="00894AB2" w:rsidRPr="0073572C" w:rsidRDefault="00894AB2" w:rsidP="00894AB2">
      <w:pPr>
        <w:pStyle w:val="TextosemFormatao"/>
      </w:pPr>
    </w:p>
    <w:p w:rsidR="00894AB2" w:rsidRPr="0073572C" w:rsidRDefault="00894AB2" w:rsidP="00894AB2">
      <w:pPr>
        <w:pStyle w:val="TextosemFormatao"/>
        <w:rPr>
          <w:b/>
        </w:rPr>
      </w:pPr>
      <w:r w:rsidRPr="00092B74">
        <w:rPr>
          <w:b/>
          <w:color w:val="FF0000"/>
        </w:rPr>
        <w:t>4-  o Balcão Único</w:t>
      </w:r>
    </w:p>
    <w:p w:rsidR="00894AB2" w:rsidRPr="0073572C" w:rsidRDefault="00894AB2" w:rsidP="00894AB2">
      <w:pPr>
        <w:pStyle w:val="TextosemFormatao"/>
      </w:pPr>
    </w:p>
    <w:p w:rsidR="00E52A10" w:rsidRDefault="00894AB2" w:rsidP="00894AB2">
      <w:pPr>
        <w:pStyle w:val="TextosemFormatao"/>
      </w:pPr>
      <w:r w:rsidRPr="0073572C">
        <w:t xml:space="preserve">Com os instrumentos acima descritos, os processos </w:t>
      </w:r>
      <w:r w:rsidR="00D7382C" w:rsidRPr="0073572C">
        <w:t>teriam condições de</w:t>
      </w:r>
      <w:r w:rsidRPr="0073572C">
        <w:t xml:space="preserve"> transitar com mais fluidez e eficiência nas instâncias de aprovação. Para que isto de fato ocorra, devem ser fixados prazos e responsabilidades para os departamentos e secretarias envolvidos. Dada a interdependência das análises, propõe-se o Balcão Único - entrada única, apreciação de forma colegiada e prazo para m</w:t>
      </w:r>
      <w:r w:rsidR="005B3C85" w:rsidRPr="0073572C">
        <w:t>anifestação</w:t>
      </w:r>
      <w:r w:rsidRPr="0073572C">
        <w:t>. Vencido este prazo sem manifestação do ente público, o projeto deverá ser considerado aprovado.  Analogamente, a definição de diretrizes para terrenos também obedecerá o mesmo princípio, c</w:t>
      </w:r>
      <w:r w:rsidR="005B3C85" w:rsidRPr="0073572C">
        <w:t>om definição de prazo</w:t>
      </w:r>
      <w:r w:rsidRPr="0073572C">
        <w:t xml:space="preserve"> para sua definição.</w:t>
      </w:r>
      <w:r w:rsidR="00D7382C" w:rsidRPr="0073572C">
        <w:t xml:space="preserve"> Propomos que a revisão da regulação acima descrita inclua estas definições no desenho </w:t>
      </w:r>
      <w:r w:rsidR="00D7382C">
        <w:t>das aprovações.</w:t>
      </w:r>
    </w:p>
    <w:p w:rsidR="005F0553" w:rsidRDefault="005F0553" w:rsidP="00894AB2">
      <w:pPr>
        <w:pStyle w:val="TextosemFormatao"/>
      </w:pPr>
    </w:p>
    <w:p w:rsidR="005F0553" w:rsidRDefault="00D078F3" w:rsidP="00894AB2">
      <w:pPr>
        <w:pStyle w:val="TextosemFormatao"/>
      </w:pPr>
      <w:r w:rsidRPr="00D078F3">
        <w:rPr>
          <w:b/>
        </w:rPr>
        <w:t>Observação:</w:t>
      </w:r>
      <w:r>
        <w:t xml:space="preserve"> a</w:t>
      </w:r>
      <w:r w:rsidR="005F0553">
        <w:t xml:space="preserve">pesar da simultaneidade indicada, a instalação do Balcão Único pode ser um movimento que se se comece a implementar antes dos demais. Conformes exemplos conhecidos (Rio de Janeiro, decreto referente ao PMCMV e aos equipamentos para eventos esportivos), esta definição está ao alcance do </w:t>
      </w:r>
      <w:r>
        <w:t>ente público até de forma isolada e anterior aos demais desenvolvimentos descritos.</w:t>
      </w:r>
    </w:p>
    <w:p w:rsidR="00D635C2" w:rsidRDefault="00D635C2" w:rsidP="00894AB2">
      <w:pPr>
        <w:pStyle w:val="TextosemFormatao"/>
      </w:pPr>
    </w:p>
    <w:p w:rsidR="00092B74" w:rsidRDefault="00092B74" w:rsidP="00894AB2">
      <w:pPr>
        <w:pStyle w:val="TextosemFormatao"/>
      </w:pPr>
    </w:p>
    <w:p w:rsidR="00092B74" w:rsidRPr="00092B74" w:rsidRDefault="00092B74" w:rsidP="00894AB2">
      <w:pPr>
        <w:pStyle w:val="TextosemFormatao"/>
        <w:rPr>
          <w:b/>
          <w:color w:val="FF0000"/>
        </w:rPr>
      </w:pPr>
      <w:r w:rsidRPr="00092B74">
        <w:rPr>
          <w:b/>
          <w:color w:val="FF0000"/>
        </w:rPr>
        <w:t>“Achamos que é melhor que o cálculo não esteja no final do folder”</w:t>
      </w:r>
    </w:p>
    <w:p w:rsidR="00092B74" w:rsidRDefault="00092B74" w:rsidP="00894AB2">
      <w:pPr>
        <w:pStyle w:val="TextosemFormatao"/>
      </w:pPr>
    </w:p>
    <w:p w:rsidR="00092B74" w:rsidRDefault="00092B74" w:rsidP="00894AB2">
      <w:pPr>
        <w:pStyle w:val="TextosemFormatao"/>
      </w:pPr>
    </w:p>
    <w:p w:rsidR="00D635C2" w:rsidRPr="0018705B" w:rsidRDefault="00D635C2" w:rsidP="00022834">
      <w:pPr>
        <w:pStyle w:val="TextosemFormatao"/>
        <w:pageBreakBefore/>
        <w:jc w:val="center"/>
        <w:rPr>
          <w:b/>
          <w:u w:val="single"/>
        </w:rPr>
      </w:pPr>
      <w:r w:rsidRPr="0018705B">
        <w:rPr>
          <w:b/>
          <w:u w:val="single"/>
        </w:rPr>
        <w:lastRenderedPageBreak/>
        <w:t xml:space="preserve">Anexo – Premissas </w:t>
      </w:r>
      <w:r w:rsidR="00BC0EF8" w:rsidRPr="0018705B">
        <w:rPr>
          <w:b/>
          <w:u w:val="single"/>
        </w:rPr>
        <w:t xml:space="preserve">para Estimativa </w:t>
      </w:r>
      <w:r w:rsidR="00377E2E" w:rsidRPr="0018705B">
        <w:rPr>
          <w:b/>
          <w:u w:val="single"/>
        </w:rPr>
        <w:t xml:space="preserve">de Contribuição Adicional </w:t>
      </w:r>
      <w:r w:rsidR="00F24DCA" w:rsidRPr="0018705B">
        <w:rPr>
          <w:b/>
          <w:u w:val="single"/>
        </w:rPr>
        <w:t xml:space="preserve">para </w:t>
      </w:r>
      <w:r w:rsidR="00377E2E" w:rsidRPr="0018705B">
        <w:rPr>
          <w:b/>
          <w:u w:val="single"/>
        </w:rPr>
        <w:t>a C</w:t>
      </w:r>
      <w:r w:rsidR="00F64345" w:rsidRPr="0018705B">
        <w:rPr>
          <w:b/>
          <w:u w:val="single"/>
        </w:rPr>
        <w:t xml:space="preserve">idade de </w:t>
      </w:r>
      <w:r w:rsidR="00F24DCA" w:rsidRPr="0018705B">
        <w:rPr>
          <w:b/>
          <w:u w:val="single"/>
        </w:rPr>
        <w:t>São Paulo</w:t>
      </w:r>
      <w:r w:rsidR="00BC0EF8" w:rsidRPr="0018705B">
        <w:rPr>
          <w:b/>
          <w:u w:val="single"/>
        </w:rPr>
        <w:t xml:space="preserve"> </w:t>
      </w:r>
    </w:p>
    <w:p w:rsidR="00D635C2" w:rsidRDefault="00D635C2" w:rsidP="00894AB2">
      <w:pPr>
        <w:pStyle w:val="TextosemFormatao"/>
      </w:pPr>
    </w:p>
    <w:p w:rsidR="00511D3D" w:rsidRDefault="00BC0EF8" w:rsidP="00D635C2">
      <w:r>
        <w:t>Área útil total d</w:t>
      </w:r>
      <w:r w:rsidR="00377E2E">
        <w:t xml:space="preserve">e um </w:t>
      </w:r>
      <w:r>
        <w:t>empreendimento</w:t>
      </w:r>
      <w:r w:rsidR="00377E2E">
        <w:t>, tomado como exemplo</w:t>
      </w:r>
      <w:r w:rsidR="00511D3D">
        <w:t xml:space="preserve">: </w:t>
      </w:r>
      <w:r w:rsidR="00511D3D" w:rsidRPr="00511D3D">
        <w:rPr>
          <w:b/>
        </w:rPr>
        <w:t>20.000m²</w:t>
      </w:r>
    </w:p>
    <w:p w:rsidR="00377E2E" w:rsidRPr="00D635C2" w:rsidRDefault="00377E2E" w:rsidP="00377E2E">
      <w:r>
        <w:t xml:space="preserve">Área útil da unidade em exemplo escolhido: </w:t>
      </w:r>
      <w:r w:rsidRPr="00F64345">
        <w:rPr>
          <w:b/>
        </w:rPr>
        <w:t>7</w:t>
      </w:r>
      <w:r>
        <w:rPr>
          <w:b/>
        </w:rPr>
        <w:t>0</w:t>
      </w:r>
      <w:r w:rsidRPr="00F64345">
        <w:rPr>
          <w:b/>
        </w:rPr>
        <w:t xml:space="preserve">m² </w:t>
      </w:r>
    </w:p>
    <w:p w:rsidR="00F64345" w:rsidRDefault="00F64345" w:rsidP="00D635C2">
      <w:r>
        <w:t xml:space="preserve">Número </w:t>
      </w:r>
      <w:r w:rsidR="00377E2E">
        <w:t xml:space="preserve">de </w:t>
      </w:r>
      <w:r>
        <w:t>unidades:</w:t>
      </w:r>
      <w:r w:rsidRPr="00F64345">
        <w:rPr>
          <w:b/>
        </w:rPr>
        <w:t xml:space="preserve"> 285</w:t>
      </w:r>
    </w:p>
    <w:p w:rsidR="00D635C2" w:rsidRPr="00D635C2" w:rsidRDefault="00D635C2" w:rsidP="00D635C2">
      <w:r w:rsidRPr="0058581F">
        <w:t>Área equivalente</w:t>
      </w:r>
      <w:r w:rsidR="00F64345">
        <w:t xml:space="preserve"> de construção d</w:t>
      </w:r>
      <w:r w:rsidR="00BC0EF8">
        <w:t>e cada</w:t>
      </w:r>
      <w:r w:rsidR="00F64345">
        <w:t xml:space="preserve"> unidade: </w:t>
      </w:r>
      <w:r w:rsidR="00440129" w:rsidRPr="00F64345">
        <w:rPr>
          <w:b/>
        </w:rPr>
        <w:t xml:space="preserve">112 </w:t>
      </w:r>
      <w:r w:rsidRPr="00F64345">
        <w:rPr>
          <w:b/>
        </w:rPr>
        <w:t>m²</w:t>
      </w:r>
    </w:p>
    <w:p w:rsidR="00377E2E" w:rsidRPr="0018705B" w:rsidRDefault="00377E2E" w:rsidP="00377E2E">
      <w:pPr>
        <w:jc w:val="center"/>
        <w:rPr>
          <w:b/>
          <w:u w:val="single"/>
        </w:rPr>
      </w:pPr>
      <w:r w:rsidRPr="0018705B">
        <w:rPr>
          <w:b/>
          <w:u w:val="single"/>
        </w:rPr>
        <w:t>Custos e contribuições</w:t>
      </w:r>
    </w:p>
    <w:p w:rsidR="00377E2E" w:rsidRPr="00377E2E" w:rsidRDefault="00370307" w:rsidP="00D635C2">
      <w:pPr>
        <w:rPr>
          <w:b/>
        </w:rPr>
      </w:pPr>
      <w:r>
        <w:rPr>
          <w:b/>
        </w:rPr>
        <w:t>ISS e ICMS no período da construção</w:t>
      </w:r>
    </w:p>
    <w:p w:rsidR="00D635C2" w:rsidRPr="0058581F" w:rsidRDefault="00F64345" w:rsidP="00D635C2">
      <w:r>
        <w:t>Custo da construção (estimado R$2.000/m²</w:t>
      </w:r>
      <w:r w:rsidR="00BC0EF8">
        <w:t xml:space="preserve"> de área equivalente</w:t>
      </w:r>
      <w:r>
        <w:t xml:space="preserve">): </w:t>
      </w:r>
      <w:r w:rsidR="00D635C2" w:rsidRPr="0058581F">
        <w:t xml:space="preserve">R$ </w:t>
      </w:r>
      <w:r w:rsidR="009309C4">
        <w:t>2</w:t>
      </w:r>
      <w:r w:rsidR="00440129">
        <w:t>.000/m2*112</w:t>
      </w:r>
      <w:r>
        <w:t>,00m²</w:t>
      </w:r>
      <w:r w:rsidR="00D635C2" w:rsidRPr="0058581F">
        <w:t xml:space="preserve">= </w:t>
      </w:r>
      <w:r w:rsidR="00D635C2" w:rsidRPr="00F64345">
        <w:rPr>
          <w:b/>
        </w:rPr>
        <w:t xml:space="preserve">R$ </w:t>
      </w:r>
      <w:r w:rsidR="00440129" w:rsidRPr="00F64345">
        <w:rPr>
          <w:b/>
        </w:rPr>
        <w:t>224</w:t>
      </w:r>
      <w:r w:rsidR="00D635C2" w:rsidRPr="00F64345">
        <w:rPr>
          <w:b/>
        </w:rPr>
        <w:t xml:space="preserve">.000 </w:t>
      </w:r>
    </w:p>
    <w:p w:rsidR="00D635C2" w:rsidRPr="00D635C2" w:rsidRDefault="00F64345" w:rsidP="00D635C2">
      <w:r>
        <w:t xml:space="preserve">Materiais </w:t>
      </w:r>
      <w:r w:rsidRPr="00F64345">
        <w:t>(estimado 50% do custo da construção): R$224.000</w:t>
      </w:r>
      <w:r w:rsidR="00440129" w:rsidRPr="00F64345">
        <w:t xml:space="preserve"> </w:t>
      </w:r>
      <w:r w:rsidR="00440129">
        <w:t xml:space="preserve">* 50% = </w:t>
      </w:r>
      <w:r w:rsidR="00440129" w:rsidRPr="00F64345">
        <w:rPr>
          <w:b/>
        </w:rPr>
        <w:t>R$ 112</w:t>
      </w:r>
      <w:r w:rsidR="00D635C2" w:rsidRPr="00F64345">
        <w:rPr>
          <w:b/>
        </w:rPr>
        <w:t>.000</w:t>
      </w:r>
      <w:r w:rsidR="00CD2890">
        <w:t xml:space="preserve"> </w:t>
      </w:r>
      <w:r w:rsidR="00BC0EF8">
        <w:t>por unidade</w:t>
      </w:r>
    </w:p>
    <w:p w:rsidR="00370307" w:rsidRPr="00370307" w:rsidRDefault="00370307" w:rsidP="00370307">
      <w:pPr>
        <w:pStyle w:val="PargrafodaLista"/>
        <w:numPr>
          <w:ilvl w:val="0"/>
          <w:numId w:val="5"/>
        </w:numPr>
        <w:rPr>
          <w:b/>
        </w:rPr>
      </w:pPr>
      <w:r w:rsidRPr="00370307">
        <w:rPr>
          <w:b/>
        </w:rPr>
        <w:t>ISS -</w:t>
      </w:r>
      <w:r w:rsidRPr="00511D3D">
        <w:t xml:space="preserve"> </w:t>
      </w:r>
      <w:r>
        <w:t xml:space="preserve"> R$ 112.000 </w:t>
      </w:r>
      <w:r w:rsidRPr="00D635C2">
        <w:t>*</w:t>
      </w:r>
      <w:r>
        <w:t xml:space="preserve"> </w:t>
      </w:r>
      <w:r w:rsidRPr="00D635C2">
        <w:t>5%</w:t>
      </w:r>
      <w:r>
        <w:t xml:space="preserve"> </w:t>
      </w:r>
      <w:r w:rsidRPr="00511D3D">
        <w:t xml:space="preserve">(alíquota) </w:t>
      </w:r>
      <w:r w:rsidRPr="00D635C2">
        <w:t>=</w:t>
      </w:r>
      <w:r>
        <w:t xml:space="preserve">   </w:t>
      </w:r>
      <w:r w:rsidRPr="00370307">
        <w:rPr>
          <w:b/>
        </w:rPr>
        <w:t>R$ 5.600/unidade pelo período da construção</w:t>
      </w:r>
    </w:p>
    <w:p w:rsidR="00D635C2" w:rsidRPr="00370307" w:rsidRDefault="00D635C2" w:rsidP="00370307">
      <w:pPr>
        <w:pStyle w:val="PargrafodaLista"/>
        <w:numPr>
          <w:ilvl w:val="0"/>
          <w:numId w:val="5"/>
        </w:numPr>
        <w:rPr>
          <w:b/>
        </w:rPr>
      </w:pPr>
      <w:r w:rsidRPr="00370307">
        <w:rPr>
          <w:b/>
        </w:rPr>
        <w:t>ICMS</w:t>
      </w:r>
      <w:r w:rsidRPr="0058581F">
        <w:t xml:space="preserve"> – </w:t>
      </w:r>
      <w:r w:rsidR="00370307">
        <w:t xml:space="preserve">R$ 112.000 * 12% </w:t>
      </w:r>
      <w:r w:rsidR="0058581F" w:rsidRPr="0058581F">
        <w:t>=</w:t>
      </w:r>
      <w:r w:rsidR="00440129">
        <w:t xml:space="preserve"> </w:t>
      </w:r>
      <w:r w:rsidR="00440129" w:rsidRPr="00370307">
        <w:rPr>
          <w:b/>
        </w:rPr>
        <w:t>R$ 13</w:t>
      </w:r>
      <w:r w:rsidRPr="00370307">
        <w:rPr>
          <w:b/>
        </w:rPr>
        <w:t>.</w:t>
      </w:r>
      <w:r w:rsidR="00440129" w:rsidRPr="00370307">
        <w:rPr>
          <w:b/>
        </w:rPr>
        <w:t>44</w:t>
      </w:r>
      <w:r w:rsidRPr="00370307">
        <w:rPr>
          <w:b/>
        </w:rPr>
        <w:t>0</w:t>
      </w:r>
      <w:r w:rsidR="00CC5AFC" w:rsidRPr="00370307">
        <w:rPr>
          <w:b/>
        </w:rPr>
        <w:t>/ unidade durante o período da construção</w:t>
      </w:r>
    </w:p>
    <w:p w:rsidR="00370307" w:rsidRDefault="00370307" w:rsidP="00D635C2">
      <w:pPr>
        <w:rPr>
          <w:b/>
        </w:rPr>
      </w:pPr>
    </w:p>
    <w:p w:rsidR="00370307" w:rsidRDefault="00370307" w:rsidP="00D635C2">
      <w:pPr>
        <w:rPr>
          <w:b/>
        </w:rPr>
      </w:pPr>
      <w:r>
        <w:rPr>
          <w:b/>
        </w:rPr>
        <w:t>Taxas de Licenciamento (sem se considerar Outorga Onerosa, compensações e outras taxas)</w:t>
      </w:r>
    </w:p>
    <w:p w:rsidR="00BC0EF8" w:rsidRDefault="00864367" w:rsidP="00370307">
      <w:pPr>
        <w:pStyle w:val="PargrafodaLista"/>
        <w:numPr>
          <w:ilvl w:val="0"/>
          <w:numId w:val="6"/>
        </w:numPr>
      </w:pPr>
      <w:r w:rsidRPr="00370307">
        <w:rPr>
          <w:b/>
        </w:rPr>
        <w:t>Licenciamento</w:t>
      </w:r>
      <w:r w:rsidRPr="00511D3D">
        <w:t xml:space="preserve">: </w:t>
      </w:r>
      <w:r w:rsidR="0058581F" w:rsidRPr="00511D3D">
        <w:t xml:space="preserve"> </w:t>
      </w:r>
      <w:r w:rsidR="00D635C2">
        <w:t>2</w:t>
      </w:r>
      <w:r w:rsidR="00D635C2" w:rsidRPr="00D635C2">
        <w:t>0.000 m²</w:t>
      </w:r>
      <w:r w:rsidR="00BC0EF8">
        <w:t xml:space="preserve"> *valor estimado de R$ </w:t>
      </w:r>
      <w:r w:rsidR="0058581F">
        <w:t>0,62</w:t>
      </w:r>
      <w:r w:rsidR="00377E2E">
        <w:t xml:space="preserve">/ m2 de área </w:t>
      </w:r>
      <w:r w:rsidR="0058581F">
        <w:t xml:space="preserve">= </w:t>
      </w:r>
      <w:r w:rsidR="00BC0EF8">
        <w:t>R$ 12.400 m2</w:t>
      </w:r>
    </w:p>
    <w:p w:rsidR="00D635C2" w:rsidRDefault="00377E2E" w:rsidP="00D635C2">
      <w:pPr>
        <w:rPr>
          <w:b/>
        </w:rPr>
      </w:pPr>
      <w:r>
        <w:t>12.400</w:t>
      </w:r>
      <w:r w:rsidR="0058581F">
        <w:t xml:space="preserve"> m² </w:t>
      </w:r>
      <w:r w:rsidR="00C86A63">
        <w:t>* R</w:t>
      </w:r>
      <w:r w:rsidR="0058581F">
        <w:t>$ 3,70/m</w:t>
      </w:r>
      <w:r w:rsidR="0058581F" w:rsidRPr="00C86A63">
        <w:t>²</w:t>
      </w:r>
      <w:r w:rsidR="00CD2890" w:rsidRPr="00C86A63">
        <w:t xml:space="preserve"> </w:t>
      </w:r>
      <w:r w:rsidR="00CD2890" w:rsidRPr="005D5165">
        <w:t>(</w:t>
      </w:r>
      <w:r w:rsidR="005D5165" w:rsidRPr="005D5165">
        <w:t>estimativa de emolumentos</w:t>
      </w:r>
      <w:r w:rsidR="00CD2890" w:rsidRPr="005D5165">
        <w:t xml:space="preserve">) </w:t>
      </w:r>
      <w:r w:rsidR="00CD2890" w:rsidRPr="00C86A63">
        <w:t>=</w:t>
      </w:r>
      <w:r w:rsidR="0058581F" w:rsidRPr="00C86A63">
        <w:t xml:space="preserve"> </w:t>
      </w:r>
      <w:r>
        <w:t>R$ 45.880</w:t>
      </w:r>
      <w:r w:rsidR="00440129">
        <w:t>/ 285</w:t>
      </w:r>
      <w:r w:rsidR="0058581F">
        <w:t xml:space="preserve"> unidades</w:t>
      </w:r>
      <w:r w:rsidR="00CD2890">
        <w:t xml:space="preserve"> </w:t>
      </w:r>
      <w:r w:rsidR="0058581F">
        <w:t>=</w:t>
      </w:r>
      <w:r w:rsidR="00440129">
        <w:t xml:space="preserve"> </w:t>
      </w:r>
      <w:r>
        <w:rPr>
          <w:b/>
        </w:rPr>
        <w:t>R$ 161</w:t>
      </w:r>
      <w:r w:rsidR="00864367" w:rsidRPr="00C86A63">
        <w:rPr>
          <w:b/>
        </w:rPr>
        <w:t>,00</w:t>
      </w:r>
      <w:r w:rsidR="0058581F" w:rsidRPr="00C86A63">
        <w:rPr>
          <w:b/>
        </w:rPr>
        <w:t>/unidade</w:t>
      </w:r>
    </w:p>
    <w:p w:rsidR="00370307" w:rsidRDefault="00370307" w:rsidP="00D635C2">
      <w:pPr>
        <w:rPr>
          <w:b/>
        </w:rPr>
      </w:pPr>
      <w:r>
        <w:rPr>
          <w:b/>
        </w:rPr>
        <w:t>Taxas que se somam à arrecadação do município com o empreendimento vendido/pronto</w:t>
      </w:r>
    </w:p>
    <w:p w:rsidR="00370307" w:rsidRPr="00370307" w:rsidRDefault="00D635C2" w:rsidP="00C541BA">
      <w:pPr>
        <w:pStyle w:val="PargrafodaLista"/>
        <w:numPr>
          <w:ilvl w:val="0"/>
          <w:numId w:val="6"/>
        </w:numPr>
      </w:pPr>
      <w:r w:rsidRPr="00370307">
        <w:rPr>
          <w:b/>
        </w:rPr>
        <w:t>IPTU</w:t>
      </w:r>
      <w:r w:rsidR="0058581F">
        <w:t xml:space="preserve"> </w:t>
      </w:r>
      <w:r w:rsidR="00BC3F68">
        <w:t xml:space="preserve">- </w:t>
      </w:r>
      <w:r w:rsidR="0058581F">
        <w:t>em m</w:t>
      </w:r>
      <w:r w:rsidRPr="00D635C2">
        <w:t>édia 0,2</w:t>
      </w:r>
      <w:r w:rsidR="0058581F">
        <w:t>5</w:t>
      </w:r>
      <w:r w:rsidRPr="00D635C2">
        <w:t xml:space="preserve">% </w:t>
      </w:r>
      <w:r w:rsidR="0058581F">
        <w:t xml:space="preserve">ao </w:t>
      </w:r>
      <w:r w:rsidRPr="00D635C2">
        <w:t>an</w:t>
      </w:r>
      <w:r w:rsidR="0058581F">
        <w:t xml:space="preserve">o do valor </w:t>
      </w:r>
      <w:r w:rsidR="0027052D">
        <w:t>do imóvel :</w:t>
      </w:r>
      <w:r w:rsidR="00440129">
        <w:t xml:space="preserve"> </w:t>
      </w:r>
      <w:r w:rsidR="00370307">
        <w:t xml:space="preserve"> R$ 420.000</w:t>
      </w:r>
      <w:r w:rsidR="0058581F">
        <w:t xml:space="preserve"> *</w:t>
      </w:r>
      <w:r w:rsidR="0027052D">
        <w:t xml:space="preserve"> </w:t>
      </w:r>
      <w:r w:rsidR="0058581F">
        <w:t>0,25%</w:t>
      </w:r>
      <w:r w:rsidR="0027052D">
        <w:t xml:space="preserve"> </w:t>
      </w:r>
      <w:r w:rsidR="0058581F">
        <w:t xml:space="preserve">= </w:t>
      </w:r>
      <w:r w:rsidR="0058581F" w:rsidRPr="00370307">
        <w:rPr>
          <w:b/>
        </w:rPr>
        <w:t>R</w:t>
      </w:r>
      <w:r w:rsidRPr="00370307">
        <w:rPr>
          <w:b/>
        </w:rPr>
        <w:t xml:space="preserve">$ </w:t>
      </w:r>
      <w:r w:rsidR="0058581F" w:rsidRPr="00370307">
        <w:rPr>
          <w:b/>
        </w:rPr>
        <w:t>1.</w:t>
      </w:r>
      <w:r w:rsidR="009309C4" w:rsidRPr="00370307">
        <w:rPr>
          <w:b/>
        </w:rPr>
        <w:t>050</w:t>
      </w:r>
      <w:r w:rsidRPr="00370307">
        <w:rPr>
          <w:b/>
        </w:rPr>
        <w:t>/ano</w:t>
      </w:r>
      <w:r w:rsidR="0058581F" w:rsidRPr="00370307">
        <w:rPr>
          <w:b/>
        </w:rPr>
        <w:t xml:space="preserve"> por unidade</w:t>
      </w:r>
    </w:p>
    <w:p w:rsidR="0018705B" w:rsidRDefault="00BC3F68" w:rsidP="007D7A80">
      <w:pPr>
        <w:pStyle w:val="PargrafodaLista"/>
        <w:numPr>
          <w:ilvl w:val="0"/>
          <w:numId w:val="6"/>
        </w:numPr>
      </w:pPr>
      <w:r w:rsidRPr="0018705B">
        <w:rPr>
          <w:b/>
        </w:rPr>
        <w:t xml:space="preserve">ITBI </w:t>
      </w:r>
      <w:r w:rsidR="0018705B" w:rsidRPr="0018705B">
        <w:rPr>
          <w:b/>
        </w:rPr>
        <w:t xml:space="preserve">- </w:t>
      </w:r>
      <w:r w:rsidR="00370307" w:rsidRPr="00370307">
        <w:t>1a venda com construção do imóvel; 2ª venda considerada em 10 anos</w:t>
      </w:r>
      <w:r w:rsidR="00370307">
        <w:t xml:space="preserve"> – média 5 anos</w:t>
      </w:r>
    </w:p>
    <w:p w:rsidR="00D635C2" w:rsidRDefault="00370307" w:rsidP="0018705B">
      <w:pPr>
        <w:rPr>
          <w:b/>
        </w:rPr>
      </w:pPr>
      <w:r>
        <w:t>R$ 420.000</w:t>
      </w:r>
      <w:r w:rsidR="0018705B">
        <w:t xml:space="preserve">*2%= R$ 8.400 dividido por prazo médio (5 anos) = </w:t>
      </w:r>
      <w:r w:rsidR="0058581F" w:rsidRPr="0018705B">
        <w:rPr>
          <w:b/>
        </w:rPr>
        <w:t xml:space="preserve">R$ </w:t>
      </w:r>
      <w:r w:rsidR="00440129" w:rsidRPr="0018705B">
        <w:rPr>
          <w:b/>
        </w:rPr>
        <w:t>1</w:t>
      </w:r>
      <w:r w:rsidR="0058581F" w:rsidRPr="0018705B">
        <w:rPr>
          <w:b/>
        </w:rPr>
        <w:t>.</w:t>
      </w:r>
      <w:r w:rsidR="00440129" w:rsidRPr="0018705B">
        <w:rPr>
          <w:b/>
        </w:rPr>
        <w:t>6</w:t>
      </w:r>
      <w:r w:rsidR="009309C4" w:rsidRPr="0018705B">
        <w:rPr>
          <w:b/>
        </w:rPr>
        <w:t>8</w:t>
      </w:r>
      <w:r w:rsidR="00440129" w:rsidRPr="0018705B">
        <w:rPr>
          <w:b/>
        </w:rPr>
        <w:t>0</w:t>
      </w:r>
      <w:r w:rsidR="0058581F" w:rsidRPr="0018705B">
        <w:rPr>
          <w:b/>
        </w:rPr>
        <w:t>/ano por unidade</w:t>
      </w:r>
    </w:p>
    <w:p w:rsidR="0018705B" w:rsidRDefault="0018705B" w:rsidP="0018705B">
      <w:pPr>
        <w:rPr>
          <w:b/>
        </w:rPr>
      </w:pPr>
    </w:p>
    <w:p w:rsidR="0018705B" w:rsidRDefault="0018705B" w:rsidP="0018705B">
      <w:pPr>
        <w:jc w:val="center"/>
        <w:rPr>
          <w:b/>
        </w:rPr>
      </w:pPr>
      <w:r>
        <w:rPr>
          <w:b/>
        </w:rPr>
        <w:t>Incrementos estimados</w:t>
      </w:r>
    </w:p>
    <w:p w:rsidR="0018705B" w:rsidRDefault="0018705B" w:rsidP="0018705B">
      <w:pPr>
        <w:spacing w:after="0"/>
        <w:rPr>
          <w:b/>
        </w:rPr>
      </w:pPr>
      <w:r>
        <w:rPr>
          <w:b/>
        </w:rPr>
        <w:t>Valor do imóvel – R$ 420.000</w:t>
      </w:r>
    </w:p>
    <w:p w:rsidR="0018705B" w:rsidRDefault="0018705B" w:rsidP="0018705B">
      <w:pPr>
        <w:spacing w:after="0"/>
      </w:pPr>
      <w:r>
        <w:t>Financiamento – 80% - R$ 336.000</w:t>
      </w:r>
    </w:p>
    <w:p w:rsidR="0018705B" w:rsidRDefault="0018705B" w:rsidP="0018705B">
      <w:pPr>
        <w:spacing w:after="0"/>
      </w:pPr>
      <w:r>
        <w:t xml:space="preserve">Considerando-se prazo de 360 meses, juros de 10% ao ano, Tabela Price, prestação de </w:t>
      </w:r>
    </w:p>
    <w:p w:rsidR="0018705B" w:rsidRDefault="0018705B" w:rsidP="0018705B">
      <w:pPr>
        <w:spacing w:after="0"/>
      </w:pPr>
      <w:r>
        <w:t>Comprometimento máximo de renda – 30% - Renda mínima R$ 9.470,00</w:t>
      </w:r>
    </w:p>
    <w:p w:rsidR="0018705B" w:rsidRDefault="0018705B" w:rsidP="0018705B">
      <w:pPr>
        <w:spacing w:after="0"/>
      </w:pPr>
    </w:p>
    <w:p w:rsidR="0018705B" w:rsidRPr="00BC2530" w:rsidRDefault="0018705B" w:rsidP="0018705B">
      <w:pPr>
        <w:spacing w:after="0"/>
        <w:rPr>
          <w:b/>
        </w:rPr>
      </w:pPr>
      <w:r w:rsidRPr="00BC2530">
        <w:rPr>
          <w:b/>
        </w:rPr>
        <w:t>Ganhos estimados com redução da burocracia – 80% (Licenciamentos)* 12% = 9,6%</w:t>
      </w:r>
    </w:p>
    <w:p w:rsidR="00BC2530" w:rsidRDefault="00BC2530" w:rsidP="00BC2530">
      <w:pPr>
        <w:spacing w:after="0"/>
        <w:rPr>
          <w:b/>
        </w:rPr>
      </w:pPr>
    </w:p>
    <w:p w:rsidR="00BC2530" w:rsidRDefault="00BC2530" w:rsidP="00BC2530">
      <w:pPr>
        <w:spacing w:after="0"/>
        <w:rPr>
          <w:b/>
        </w:rPr>
      </w:pPr>
      <w:r>
        <w:rPr>
          <w:b/>
        </w:rPr>
        <w:t>Valor do imóvel com redução da burocracia– R$ 379.680</w:t>
      </w:r>
    </w:p>
    <w:p w:rsidR="00BC2530" w:rsidRDefault="00BC2530" w:rsidP="00BC2530">
      <w:pPr>
        <w:spacing w:after="0"/>
      </w:pPr>
      <w:r>
        <w:t>Financiamento – 80% - R$ 303.744</w:t>
      </w:r>
    </w:p>
    <w:p w:rsidR="00BC2530" w:rsidRDefault="00BC2530" w:rsidP="00BC2530">
      <w:pPr>
        <w:spacing w:after="0"/>
      </w:pPr>
      <w:r>
        <w:t xml:space="preserve">Considerando-se prazo de 360 meses, juros de 10% ao ano, Tabela Price, prestação de </w:t>
      </w:r>
    </w:p>
    <w:p w:rsidR="00BC2530" w:rsidRDefault="00BC2530" w:rsidP="00BC2530">
      <w:pPr>
        <w:spacing w:after="0"/>
      </w:pPr>
      <w:r>
        <w:t>Comprometimento máximo de renda – 30% - Renda mínima R$ 8.560,00</w:t>
      </w:r>
    </w:p>
    <w:p w:rsidR="00BC2530" w:rsidRDefault="00BC2530" w:rsidP="0018705B">
      <w:pPr>
        <w:spacing w:after="0"/>
      </w:pPr>
    </w:p>
    <w:p w:rsidR="0018705B" w:rsidRPr="0018705B" w:rsidRDefault="0018705B" w:rsidP="0018705B">
      <w:pPr>
        <w:rPr>
          <w:b/>
        </w:rPr>
      </w:pPr>
      <w:r w:rsidRPr="0018705B">
        <w:rPr>
          <w:b/>
        </w:rPr>
        <w:t>Distribuição de rendas por PNAD 2013</w:t>
      </w:r>
    </w:p>
    <w:p w:rsidR="0018705B" w:rsidRDefault="0018705B" w:rsidP="00BC2530">
      <w:pPr>
        <w:spacing w:after="0"/>
      </w:pPr>
      <w:r>
        <w:t>Número de famílias com renda familiar superior a </w:t>
      </w:r>
      <w:r w:rsidRPr="0018705B">
        <w:t>R$ 9.470: 3.093.861</w:t>
      </w:r>
    </w:p>
    <w:p w:rsidR="0018705B" w:rsidRPr="0018705B" w:rsidRDefault="0018705B" w:rsidP="00BC2530">
      <w:pPr>
        <w:spacing w:after="0"/>
      </w:pPr>
      <w:r>
        <w:t>Número de famílias com renda familiar superior a </w:t>
      </w:r>
      <w:r w:rsidRPr="0018705B">
        <w:t>R$ 8.560: 3.549.516</w:t>
      </w:r>
    </w:p>
    <w:p w:rsidR="0018705B" w:rsidRDefault="0018705B" w:rsidP="00BC2530">
      <w:pPr>
        <w:spacing w:after="0"/>
      </w:pPr>
      <w:r w:rsidRPr="0018705B">
        <w:t>Aumento no acesso pela redução de custo – 14,7%</w:t>
      </w:r>
    </w:p>
    <w:p w:rsidR="00BC2530" w:rsidRDefault="00BC2530" w:rsidP="00BC2530">
      <w:pPr>
        <w:spacing w:after="0"/>
      </w:pPr>
    </w:p>
    <w:p w:rsidR="00BC2530" w:rsidRDefault="00BC2530" w:rsidP="00BC2530">
      <w:pPr>
        <w:spacing w:after="0"/>
        <w:jc w:val="center"/>
        <w:rPr>
          <w:b/>
        </w:rPr>
      </w:pPr>
      <w:r w:rsidRPr="00BC2530">
        <w:rPr>
          <w:b/>
        </w:rPr>
        <w:t>Estimativa indicativa no caso da Cidade de São Paulo</w:t>
      </w:r>
    </w:p>
    <w:p w:rsidR="00BC2530" w:rsidRDefault="00BC2530" w:rsidP="00BC2530">
      <w:pPr>
        <w:spacing w:after="0"/>
        <w:jc w:val="center"/>
        <w:rPr>
          <w:b/>
        </w:rPr>
      </w:pPr>
    </w:p>
    <w:p w:rsidR="00BC2530" w:rsidRDefault="00BC2530" w:rsidP="00BC2530">
      <w:pPr>
        <w:spacing w:after="0"/>
      </w:pPr>
      <w:r>
        <w:rPr>
          <w:b/>
        </w:rPr>
        <w:t>Lançamentos/vendas médios anuais –</w:t>
      </w:r>
      <w:r w:rsidRPr="00BC2530">
        <w:t xml:space="preserve"> aproximadamente 30.000 unidades</w:t>
      </w:r>
    </w:p>
    <w:p w:rsidR="00BC2530" w:rsidRDefault="00BC2530" w:rsidP="00BC2530">
      <w:pPr>
        <w:spacing w:after="0"/>
      </w:pPr>
      <w:r>
        <w:t>Incremento indicado – 14,7% - 4.410 unidades</w:t>
      </w:r>
    </w:p>
    <w:p w:rsidR="00BC2530" w:rsidRDefault="00BC2530" w:rsidP="00BC2530">
      <w:pPr>
        <w:spacing w:after="0"/>
        <w:rPr>
          <w:b/>
        </w:rPr>
      </w:pPr>
    </w:p>
    <w:p w:rsidR="00BC2530" w:rsidRDefault="00BC2530" w:rsidP="00516F89">
      <w:pPr>
        <w:spacing w:after="0"/>
        <w:jc w:val="center"/>
        <w:rPr>
          <w:b/>
        </w:rPr>
      </w:pPr>
      <w:r w:rsidRPr="00BC2530">
        <w:rPr>
          <w:b/>
        </w:rPr>
        <w:lastRenderedPageBreak/>
        <w:t xml:space="preserve">Efeitos </w:t>
      </w:r>
      <w:r w:rsidR="00516F89">
        <w:rPr>
          <w:b/>
        </w:rPr>
        <w:t xml:space="preserve">estimados </w:t>
      </w:r>
      <w:r w:rsidRPr="00BC2530">
        <w:rPr>
          <w:b/>
        </w:rPr>
        <w:t>nos tributos</w:t>
      </w:r>
    </w:p>
    <w:p w:rsidR="00BC2530" w:rsidRDefault="00BC2530" w:rsidP="00BC2530">
      <w:pPr>
        <w:spacing w:after="0"/>
        <w:rPr>
          <w:b/>
        </w:rPr>
      </w:pPr>
    </w:p>
    <w:p w:rsidR="00BC2530" w:rsidRPr="00BC2530" w:rsidRDefault="00BC2530" w:rsidP="00BC253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ISS – 4.410* R$ 5.600 =</w:t>
      </w:r>
      <w:r w:rsidR="00516F89">
        <w:rPr>
          <w:b/>
        </w:rPr>
        <w:t xml:space="preserve"> R$ 24,7 milhões por ano</w:t>
      </w:r>
    </w:p>
    <w:p w:rsidR="00BC2530" w:rsidRPr="00BC2530" w:rsidRDefault="00BC2530" w:rsidP="00BC253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ICMS – 4.410* R$ 13.440 =</w:t>
      </w:r>
      <w:r w:rsidR="00516F89">
        <w:rPr>
          <w:b/>
        </w:rPr>
        <w:t xml:space="preserve"> R$ 59,1 milhões por ano</w:t>
      </w:r>
    </w:p>
    <w:p w:rsidR="00BC2530" w:rsidRPr="00BC2530" w:rsidRDefault="00BC2530" w:rsidP="00BC253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Licenciamento (sem outorga, compensações) – 4.410* R$ 161 =</w:t>
      </w:r>
      <w:r w:rsidR="00516F89">
        <w:rPr>
          <w:b/>
        </w:rPr>
        <w:t>R$ 710 mil por ano</w:t>
      </w:r>
    </w:p>
    <w:p w:rsidR="00BC2530" w:rsidRPr="00BC2530" w:rsidRDefault="00BC2530" w:rsidP="00BC253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IPTU (considerada manutenção de valor venal) - 4.410*</w:t>
      </w:r>
      <w:r w:rsidR="00516F89">
        <w:rPr>
          <w:b/>
        </w:rPr>
        <w:t xml:space="preserve"> R$ 1.050</w:t>
      </w:r>
      <w:r>
        <w:rPr>
          <w:b/>
        </w:rPr>
        <w:t xml:space="preserve"> =</w:t>
      </w:r>
      <w:r w:rsidR="00516F89">
        <w:rPr>
          <w:b/>
        </w:rPr>
        <w:t xml:space="preserve"> R$ 4,6 milhões por ano </w:t>
      </w:r>
    </w:p>
    <w:p w:rsidR="00BC2530" w:rsidRPr="00BC2530" w:rsidRDefault="00516F89" w:rsidP="00BC253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ITBI </w:t>
      </w:r>
      <w:r w:rsidR="00BC2530">
        <w:rPr>
          <w:b/>
        </w:rPr>
        <w:t xml:space="preserve">– 4.410* R$ </w:t>
      </w:r>
      <w:r>
        <w:rPr>
          <w:b/>
        </w:rPr>
        <w:t>1.680</w:t>
      </w:r>
      <w:r w:rsidR="00BC2530">
        <w:rPr>
          <w:b/>
        </w:rPr>
        <w:t>* 90,4% (redução do valor-base) =</w:t>
      </w:r>
      <w:r>
        <w:rPr>
          <w:b/>
        </w:rPr>
        <w:t xml:space="preserve"> R$ 7,4 milhões por ano</w:t>
      </w:r>
    </w:p>
    <w:p w:rsidR="00BC2530" w:rsidRDefault="00BC2530" w:rsidP="00BC2530">
      <w:pPr>
        <w:spacing w:after="0"/>
      </w:pPr>
    </w:p>
    <w:p w:rsidR="0018705B" w:rsidRDefault="0018705B" w:rsidP="0018705B">
      <w:pPr>
        <w:spacing w:after="0"/>
      </w:pPr>
      <w:r>
        <w:t xml:space="preserve"> </w:t>
      </w:r>
    </w:p>
    <w:sectPr w:rsidR="0018705B" w:rsidSect="00894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4B6F"/>
    <w:multiLevelType w:val="hybridMultilevel"/>
    <w:tmpl w:val="57385E72"/>
    <w:lvl w:ilvl="0" w:tplc="0204D566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1ED1AD6"/>
    <w:multiLevelType w:val="hybridMultilevel"/>
    <w:tmpl w:val="CCB00D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131DEA"/>
    <w:multiLevelType w:val="hybridMultilevel"/>
    <w:tmpl w:val="57385E72"/>
    <w:lvl w:ilvl="0" w:tplc="0204D566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AB3993"/>
    <w:multiLevelType w:val="hybridMultilevel"/>
    <w:tmpl w:val="57385E72"/>
    <w:lvl w:ilvl="0" w:tplc="0204D566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9F506BE"/>
    <w:multiLevelType w:val="hybridMultilevel"/>
    <w:tmpl w:val="CB8A04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070C86"/>
    <w:multiLevelType w:val="hybridMultilevel"/>
    <w:tmpl w:val="493CE6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B2"/>
    <w:rsid w:val="00022834"/>
    <w:rsid w:val="00092B74"/>
    <w:rsid w:val="0010448C"/>
    <w:rsid w:val="00137A9C"/>
    <w:rsid w:val="00170E85"/>
    <w:rsid w:val="0018705B"/>
    <w:rsid w:val="001A34D1"/>
    <w:rsid w:val="001A3F02"/>
    <w:rsid w:val="00213FD8"/>
    <w:rsid w:val="00224D58"/>
    <w:rsid w:val="0027052D"/>
    <w:rsid w:val="002D5D14"/>
    <w:rsid w:val="002E0CF9"/>
    <w:rsid w:val="00366DCE"/>
    <w:rsid w:val="00370307"/>
    <w:rsid w:val="00377393"/>
    <w:rsid w:val="00377E2E"/>
    <w:rsid w:val="00380478"/>
    <w:rsid w:val="00440129"/>
    <w:rsid w:val="00511D3D"/>
    <w:rsid w:val="00516F89"/>
    <w:rsid w:val="005428F4"/>
    <w:rsid w:val="00582509"/>
    <w:rsid w:val="0058581F"/>
    <w:rsid w:val="005B3C85"/>
    <w:rsid w:val="005D5165"/>
    <w:rsid w:val="005F0553"/>
    <w:rsid w:val="005F1CC0"/>
    <w:rsid w:val="00627AC6"/>
    <w:rsid w:val="006506F3"/>
    <w:rsid w:val="006670E0"/>
    <w:rsid w:val="00673482"/>
    <w:rsid w:val="0073572C"/>
    <w:rsid w:val="007812B5"/>
    <w:rsid w:val="007D6420"/>
    <w:rsid w:val="00801179"/>
    <w:rsid w:val="00822D29"/>
    <w:rsid w:val="008343E3"/>
    <w:rsid w:val="00864367"/>
    <w:rsid w:val="00891BA5"/>
    <w:rsid w:val="00894AB2"/>
    <w:rsid w:val="008A0B58"/>
    <w:rsid w:val="008F6766"/>
    <w:rsid w:val="009046D5"/>
    <w:rsid w:val="009309C4"/>
    <w:rsid w:val="00953971"/>
    <w:rsid w:val="009557C4"/>
    <w:rsid w:val="00956A26"/>
    <w:rsid w:val="00A02883"/>
    <w:rsid w:val="00A204F5"/>
    <w:rsid w:val="00A60915"/>
    <w:rsid w:val="00A61761"/>
    <w:rsid w:val="00A864EF"/>
    <w:rsid w:val="00AB24D9"/>
    <w:rsid w:val="00AB430C"/>
    <w:rsid w:val="00BC0EF8"/>
    <w:rsid w:val="00BC2530"/>
    <w:rsid w:val="00BC3F68"/>
    <w:rsid w:val="00C069F7"/>
    <w:rsid w:val="00C27AC2"/>
    <w:rsid w:val="00C86A63"/>
    <w:rsid w:val="00CC5AFC"/>
    <w:rsid w:val="00CD2890"/>
    <w:rsid w:val="00D078F3"/>
    <w:rsid w:val="00D24904"/>
    <w:rsid w:val="00D62247"/>
    <w:rsid w:val="00D635C2"/>
    <w:rsid w:val="00D63AD7"/>
    <w:rsid w:val="00D65493"/>
    <w:rsid w:val="00D7382C"/>
    <w:rsid w:val="00D807EC"/>
    <w:rsid w:val="00E52A10"/>
    <w:rsid w:val="00EF7D2B"/>
    <w:rsid w:val="00F24DCA"/>
    <w:rsid w:val="00F64345"/>
    <w:rsid w:val="00F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DFFCF-B46A-4B8E-A86C-8DF8C059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94AB2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94AB2"/>
    <w:rPr>
      <w:rFonts w:ascii="Calibri" w:hAnsi="Calibri"/>
      <w:szCs w:val="21"/>
    </w:rPr>
  </w:style>
  <w:style w:type="paragraph" w:styleId="PargrafodaLista">
    <w:name w:val="List Paragraph"/>
    <w:basedOn w:val="Normal"/>
    <w:uiPriority w:val="34"/>
    <w:qFormat/>
    <w:rsid w:val="001A34D1"/>
    <w:pPr>
      <w:spacing w:after="0" w:line="240" w:lineRule="auto"/>
      <w:ind w:left="720"/>
    </w:pPr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6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1B20-3224-461E-ADB8-E435DF39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1648</Words>
  <Characters>8902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Ventura</dc:creator>
  <cp:keywords/>
  <dc:description/>
  <cp:lastModifiedBy>Renato Ventura</cp:lastModifiedBy>
  <cp:revision>2</cp:revision>
  <cp:lastPrinted>2014-10-03T19:56:00Z</cp:lastPrinted>
  <dcterms:created xsi:type="dcterms:W3CDTF">2014-10-04T10:35:00Z</dcterms:created>
  <dcterms:modified xsi:type="dcterms:W3CDTF">2014-10-04T10:35:00Z</dcterms:modified>
</cp:coreProperties>
</file>