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22B" w:rsidRDefault="0069022B" w:rsidP="0069022B">
      <w:pPr>
        <w:jc w:val="both"/>
      </w:pPr>
    </w:p>
    <w:p w:rsidR="00000BAB" w:rsidRDefault="00000BAB" w:rsidP="0069022B">
      <w:pPr>
        <w:jc w:val="both"/>
      </w:pPr>
    </w:p>
    <w:p w:rsidR="00000BAB" w:rsidRDefault="00000BAB" w:rsidP="0069022B">
      <w:pPr>
        <w:jc w:val="both"/>
      </w:pPr>
      <w:bookmarkStart w:id="0" w:name="_GoBack"/>
      <w:bookmarkEnd w:id="0"/>
    </w:p>
    <w:p w:rsidR="00000BAB" w:rsidRDefault="00000BAB" w:rsidP="0069022B">
      <w:pPr>
        <w:jc w:val="both"/>
      </w:pPr>
    </w:p>
    <w:p w:rsidR="00000BAB" w:rsidRDefault="00000BAB" w:rsidP="00000BAB">
      <w:pPr>
        <w:jc w:val="center"/>
        <w:rPr>
          <w:b/>
        </w:rPr>
      </w:pPr>
      <w:r w:rsidRPr="008305BB">
        <w:rPr>
          <w:b/>
        </w:rPr>
        <w:t>RELATÓRIO DA</w:t>
      </w:r>
      <w:r>
        <w:rPr>
          <w:b/>
        </w:rPr>
        <w:t xml:space="preserve"> 2ª</w:t>
      </w:r>
      <w:r w:rsidRPr="008305BB">
        <w:rPr>
          <w:b/>
        </w:rPr>
        <w:t xml:space="preserve"> REUNI</w:t>
      </w:r>
      <w:r>
        <w:rPr>
          <w:b/>
        </w:rPr>
        <w:t xml:space="preserve">ÃO </w:t>
      </w:r>
      <w:r w:rsidRPr="008305BB">
        <w:rPr>
          <w:b/>
        </w:rPr>
        <w:t>DA REVISÃO DA NR-18</w:t>
      </w:r>
    </w:p>
    <w:p w:rsidR="00000BAB" w:rsidRPr="008305BB" w:rsidRDefault="00000BAB" w:rsidP="00000BAB">
      <w:pPr>
        <w:jc w:val="center"/>
        <w:rPr>
          <w:b/>
        </w:rPr>
      </w:pPr>
    </w:p>
    <w:p w:rsidR="00000BAB" w:rsidRPr="008305BB" w:rsidRDefault="00000BAB" w:rsidP="00000BAB">
      <w:pPr>
        <w:jc w:val="both"/>
        <w:rPr>
          <w:sz w:val="20"/>
          <w:szCs w:val="20"/>
        </w:rPr>
      </w:pPr>
      <w:r w:rsidRPr="008305BB">
        <w:rPr>
          <w:sz w:val="20"/>
          <w:szCs w:val="20"/>
        </w:rPr>
        <w:t xml:space="preserve">LOCAL: </w:t>
      </w:r>
      <w:r>
        <w:rPr>
          <w:sz w:val="20"/>
          <w:szCs w:val="20"/>
        </w:rPr>
        <w:t>Brasília</w:t>
      </w:r>
      <w:r w:rsidRPr="008305BB">
        <w:rPr>
          <w:sz w:val="20"/>
          <w:szCs w:val="20"/>
        </w:rPr>
        <w:t xml:space="preserve"> (</w:t>
      </w:r>
      <w:r>
        <w:rPr>
          <w:sz w:val="20"/>
          <w:szCs w:val="20"/>
        </w:rPr>
        <w:t>Ministério do Trabalho e Emprego</w:t>
      </w:r>
      <w:r w:rsidRPr="008305BB">
        <w:rPr>
          <w:sz w:val="20"/>
          <w:szCs w:val="20"/>
        </w:rPr>
        <w:t>)</w:t>
      </w:r>
    </w:p>
    <w:p w:rsidR="00000BAB" w:rsidRPr="008305BB" w:rsidRDefault="00000BAB" w:rsidP="00000BAB">
      <w:pPr>
        <w:jc w:val="both"/>
        <w:rPr>
          <w:sz w:val="20"/>
          <w:szCs w:val="20"/>
        </w:rPr>
      </w:pPr>
      <w:r w:rsidRPr="008305BB">
        <w:rPr>
          <w:sz w:val="20"/>
          <w:szCs w:val="20"/>
        </w:rPr>
        <w:t xml:space="preserve">DATA: de </w:t>
      </w:r>
      <w:r>
        <w:rPr>
          <w:sz w:val="20"/>
          <w:szCs w:val="20"/>
        </w:rPr>
        <w:t>30/09</w:t>
      </w:r>
      <w:r w:rsidRPr="008305BB">
        <w:rPr>
          <w:sz w:val="20"/>
          <w:szCs w:val="20"/>
        </w:rPr>
        <w:t xml:space="preserve"> à 0</w:t>
      </w:r>
      <w:r>
        <w:rPr>
          <w:sz w:val="20"/>
          <w:szCs w:val="20"/>
        </w:rPr>
        <w:t>2/10</w:t>
      </w:r>
      <w:r w:rsidRPr="008305BB">
        <w:rPr>
          <w:sz w:val="20"/>
          <w:szCs w:val="20"/>
        </w:rPr>
        <w:t>/2013</w:t>
      </w:r>
    </w:p>
    <w:p w:rsidR="00000BAB" w:rsidRPr="008305BB" w:rsidRDefault="00000BAB" w:rsidP="00000BAB">
      <w:pPr>
        <w:jc w:val="both"/>
        <w:rPr>
          <w:sz w:val="20"/>
          <w:szCs w:val="20"/>
        </w:rPr>
      </w:pPr>
      <w:r w:rsidRPr="008305BB">
        <w:rPr>
          <w:sz w:val="20"/>
          <w:szCs w:val="20"/>
        </w:rPr>
        <w:t>GRUPO DE TRABALHO: GTT1</w:t>
      </w:r>
    </w:p>
    <w:p w:rsidR="00000BAB" w:rsidRDefault="00000BAB" w:rsidP="00000BAB">
      <w:pPr>
        <w:pStyle w:val="NormalWeb"/>
        <w:spacing w:before="173" w:beforeAutospacing="0" w:after="0" w:afterAutospacing="0"/>
        <w:ind w:left="547" w:hanging="547"/>
        <w:jc w:val="both"/>
        <w:rPr>
          <w:rFonts w:ascii="Calibri" w:hAnsi="Calibri"/>
          <w:b/>
          <w:bCs/>
          <w:kern w:val="24"/>
          <w:sz w:val="20"/>
          <w:szCs w:val="20"/>
        </w:rPr>
      </w:pPr>
      <w:r w:rsidRPr="008305BB">
        <w:rPr>
          <w:rFonts w:asciiTheme="minorHAnsi" w:hAnsiTheme="minorHAnsi" w:cs="Arial"/>
          <w:b/>
          <w:sz w:val="20"/>
          <w:szCs w:val="20"/>
        </w:rPr>
        <w:t>ITENS QUE SERÃO REVISADOS:</w:t>
      </w:r>
      <w:r w:rsidRPr="008305BB">
        <w:rPr>
          <w:sz w:val="20"/>
          <w:szCs w:val="20"/>
        </w:rPr>
        <w:t xml:space="preserve"> </w:t>
      </w:r>
      <w:r w:rsidRPr="008305BB">
        <w:rPr>
          <w:rFonts w:ascii="Calibri" w:hAnsi="Calibri"/>
          <w:b/>
          <w:bCs/>
          <w:kern w:val="24"/>
          <w:sz w:val="20"/>
          <w:szCs w:val="20"/>
        </w:rPr>
        <w:t>Organização do Canteiro – DF</w:t>
      </w:r>
    </w:p>
    <w:p w:rsidR="00000BAB" w:rsidRPr="008305BB" w:rsidRDefault="00000BAB" w:rsidP="00000BAB">
      <w:pPr>
        <w:pStyle w:val="NormalWeb"/>
        <w:spacing w:before="173" w:beforeAutospacing="0" w:after="0" w:afterAutospacing="0"/>
        <w:ind w:left="547" w:hanging="547"/>
        <w:jc w:val="both"/>
        <w:rPr>
          <w:rFonts w:ascii="Calibri" w:hAnsi="Calibri"/>
          <w:b/>
          <w:bCs/>
          <w:kern w:val="24"/>
          <w:sz w:val="20"/>
          <w:szCs w:val="20"/>
        </w:rPr>
      </w:pPr>
    </w:p>
    <w:p w:rsidR="00000BAB" w:rsidRPr="003D5CC1" w:rsidRDefault="00000BAB" w:rsidP="00000BAB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3D5CC1">
        <w:rPr>
          <w:color w:val="000000"/>
          <w:kern w:val="24"/>
          <w:sz w:val="24"/>
          <w:szCs w:val="24"/>
        </w:rPr>
        <w:t>18.5. Formação</w:t>
      </w:r>
    </w:p>
    <w:p w:rsidR="00000BAB" w:rsidRPr="003D5CC1" w:rsidRDefault="00000BAB" w:rsidP="00000BAB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3D5CC1">
        <w:rPr>
          <w:color w:val="000000"/>
          <w:kern w:val="24"/>
          <w:sz w:val="24"/>
          <w:szCs w:val="24"/>
        </w:rPr>
        <w:t>18.7. Áreas de vivência</w:t>
      </w:r>
    </w:p>
    <w:p w:rsidR="00000BAB" w:rsidRPr="003E4073" w:rsidRDefault="00000BAB" w:rsidP="00000BAB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3D5CC1">
        <w:rPr>
          <w:color w:val="000000"/>
          <w:kern w:val="24"/>
          <w:sz w:val="24"/>
          <w:szCs w:val="24"/>
        </w:rPr>
        <w:t>18.8. Organização dos canteiros de obra e frentes de trabalho</w:t>
      </w:r>
    </w:p>
    <w:p w:rsidR="00000BAB" w:rsidRDefault="00000BAB" w:rsidP="00000BAB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3E4073">
        <w:rPr>
          <w:sz w:val="24"/>
          <w:szCs w:val="24"/>
        </w:rPr>
        <w:t>18.26 Atividades em vias públicas</w:t>
      </w:r>
    </w:p>
    <w:p w:rsidR="00000BAB" w:rsidRDefault="00000BAB" w:rsidP="00000BAB">
      <w:pPr>
        <w:pStyle w:val="PargrafodaLista"/>
        <w:spacing w:after="0" w:line="240" w:lineRule="auto"/>
        <w:jc w:val="both"/>
        <w:rPr>
          <w:sz w:val="24"/>
          <w:szCs w:val="24"/>
        </w:rPr>
      </w:pPr>
    </w:p>
    <w:p w:rsidR="00000BAB" w:rsidRPr="003D5CC1" w:rsidRDefault="00000BAB" w:rsidP="00000BAB">
      <w:pPr>
        <w:pStyle w:val="PargrafodaLista"/>
        <w:spacing w:after="0" w:line="240" w:lineRule="auto"/>
        <w:jc w:val="both"/>
        <w:rPr>
          <w:sz w:val="24"/>
          <w:szCs w:val="24"/>
        </w:rPr>
      </w:pPr>
    </w:p>
    <w:p w:rsidR="00000BAB" w:rsidRDefault="00000BAB" w:rsidP="00000BAB">
      <w:pPr>
        <w:jc w:val="both"/>
      </w:pPr>
      <w:r>
        <w:t>A 2ª reunião tripartite para a revisão da NR-18</w:t>
      </w:r>
      <w:proofErr w:type="gramStart"/>
      <w:r>
        <w:t>, foi</w:t>
      </w:r>
      <w:proofErr w:type="gramEnd"/>
      <w:r>
        <w:t xml:space="preserve"> na sede do Ministério do Trabalho e Emprego em Brasília – DF, com representantes  (4 membros ) das 3 bancadas (trabalhadores, governo  e empregadores).</w:t>
      </w:r>
    </w:p>
    <w:p w:rsidR="00000BAB" w:rsidRDefault="00000BAB" w:rsidP="00000BAB">
      <w:pPr>
        <w:jc w:val="both"/>
      </w:pPr>
      <w:r>
        <w:t xml:space="preserve">Na representação patronal os membros foram: </w:t>
      </w:r>
      <w:proofErr w:type="spellStart"/>
      <w:r w:rsidRPr="001262E1">
        <w:t>Tárcia</w:t>
      </w:r>
      <w:proofErr w:type="spellEnd"/>
      <w:r w:rsidRPr="001262E1">
        <w:t xml:space="preserve"> L. de C. Braga </w:t>
      </w:r>
      <w:proofErr w:type="spellStart"/>
      <w:r w:rsidRPr="001262E1">
        <w:t>Capuruço</w:t>
      </w:r>
      <w:proofErr w:type="spellEnd"/>
      <w:r>
        <w:t xml:space="preserve"> (SICEPOT-MG), </w:t>
      </w:r>
      <w:r w:rsidRPr="001262E1">
        <w:t>José Luiz Esteves da Fonseca (MRV)</w:t>
      </w:r>
      <w:r>
        <w:t xml:space="preserve">, Roberto G. Rocha (SECONCI-PR) e Joaquim (Empresa Engesa - MG), a reunião foi coordenada pela Auditora Fiscal do MTE </w:t>
      </w:r>
      <w:r w:rsidRPr="003E4073">
        <w:t>Eva Patrícia Gonçalo Pires</w:t>
      </w:r>
      <w:r>
        <w:t xml:space="preserve"> (MTE – Brasília).</w:t>
      </w:r>
    </w:p>
    <w:p w:rsidR="003107B4" w:rsidRDefault="003107B4" w:rsidP="00000BAB">
      <w:pPr>
        <w:jc w:val="both"/>
      </w:pPr>
    </w:p>
    <w:p w:rsidR="003107B4" w:rsidRDefault="00000BAB" w:rsidP="00000BAB">
      <w:pPr>
        <w:jc w:val="both"/>
      </w:pPr>
      <w:r>
        <w:t xml:space="preserve">A revisão iniciou-se com a revisão dos itens que não tiveram consenso e ficaram sem definição na 1ª reunião do GTT </w:t>
      </w:r>
      <w:proofErr w:type="gramStart"/>
      <w:r>
        <w:t>1</w:t>
      </w:r>
      <w:proofErr w:type="gramEnd"/>
      <w:r>
        <w:t xml:space="preserve">. </w:t>
      </w:r>
    </w:p>
    <w:p w:rsidR="003107B4" w:rsidRDefault="003107B4" w:rsidP="00000BAB">
      <w:pPr>
        <w:jc w:val="both"/>
      </w:pPr>
    </w:p>
    <w:p w:rsidR="00000BAB" w:rsidRPr="003107B4" w:rsidRDefault="003107B4" w:rsidP="00000BAB">
      <w:pPr>
        <w:jc w:val="both"/>
        <w:rPr>
          <w:b/>
        </w:rPr>
      </w:pPr>
      <w:r w:rsidRPr="003107B4">
        <w:rPr>
          <w:b/>
        </w:rPr>
        <w:t>I</w:t>
      </w:r>
      <w:r w:rsidR="00000BAB" w:rsidRPr="003107B4">
        <w:rPr>
          <w:b/>
        </w:rPr>
        <w:t xml:space="preserve">tens </w:t>
      </w:r>
      <w:r w:rsidRPr="003107B4">
        <w:rPr>
          <w:b/>
        </w:rPr>
        <w:t xml:space="preserve">que </w:t>
      </w:r>
      <w:r w:rsidR="00000BAB" w:rsidRPr="003107B4">
        <w:rPr>
          <w:b/>
        </w:rPr>
        <w:t xml:space="preserve">foram novamente debatidos pelas </w:t>
      </w:r>
      <w:proofErr w:type="gramStart"/>
      <w:r w:rsidR="00000BAB" w:rsidRPr="003107B4">
        <w:rPr>
          <w:b/>
        </w:rPr>
        <w:t>3</w:t>
      </w:r>
      <w:proofErr w:type="gramEnd"/>
      <w:r w:rsidR="00000BAB" w:rsidRPr="003107B4">
        <w:rPr>
          <w:b/>
        </w:rPr>
        <w:t xml:space="preserve"> bancadas com o seguinte resultado:</w:t>
      </w:r>
    </w:p>
    <w:p w:rsidR="00000BAB" w:rsidRDefault="003107B4" w:rsidP="00000BAB">
      <w:pPr>
        <w:jc w:val="both"/>
      </w:pPr>
      <w:r w:rsidRPr="003107B4">
        <w:rPr>
          <w:b/>
        </w:rPr>
        <w:t xml:space="preserve">- </w:t>
      </w:r>
      <w:r w:rsidR="00000BAB" w:rsidRPr="003107B4">
        <w:rPr>
          <w:b/>
        </w:rPr>
        <w:t>Item 18.8.1.2 – ÁREA DE VIVÊNCIA:</w:t>
      </w:r>
      <w:r w:rsidR="00000BAB" w:rsidRPr="00DB5592">
        <w:t xml:space="preserve"> Ficou definido que o </w:t>
      </w:r>
      <w:proofErr w:type="spellStart"/>
      <w:proofErr w:type="gramStart"/>
      <w:r w:rsidR="00000BAB" w:rsidRPr="00DB5592">
        <w:t>sub</w:t>
      </w:r>
      <w:r>
        <w:t>-</w:t>
      </w:r>
      <w:r w:rsidR="00000BAB" w:rsidRPr="00DB5592">
        <w:t>solo</w:t>
      </w:r>
      <w:proofErr w:type="spellEnd"/>
      <w:proofErr w:type="gramEnd"/>
      <w:r w:rsidR="00000BAB" w:rsidRPr="00DB5592">
        <w:t xml:space="preserve"> de edificações poderá ser utilizado como área de vivência, desde que atenda os itens de área de vivência da norma regulamentadora, </w:t>
      </w:r>
      <w:r w:rsidR="00000BAB">
        <w:t xml:space="preserve">o mesmo </w:t>
      </w:r>
      <w:r w:rsidR="00000BAB" w:rsidRPr="00DB5592">
        <w:t>fará parte do item 18.29.1 Soluções Alternativas.</w:t>
      </w:r>
    </w:p>
    <w:p w:rsidR="003107B4" w:rsidRPr="00DB5592" w:rsidRDefault="003107B4" w:rsidP="00000BAB">
      <w:pPr>
        <w:jc w:val="both"/>
      </w:pPr>
    </w:p>
    <w:p w:rsidR="00000BAB" w:rsidRPr="00DB5592" w:rsidRDefault="00000BAB" w:rsidP="00000BAB">
      <w:pPr>
        <w:jc w:val="both"/>
      </w:pPr>
      <w:r w:rsidRPr="003107B4">
        <w:rPr>
          <w:b/>
        </w:rPr>
        <w:t>Item 18.8.2.6.1 – MICTÓRIOS:</w:t>
      </w:r>
      <w:r w:rsidRPr="00DB5592">
        <w:t xml:space="preserve"> Segundo a bancada do governo há problemas de assédio em obras quando trabalhadores utilizam mictório tipo calha coletiva, sendo este</w:t>
      </w:r>
      <w:r>
        <w:t>,</w:t>
      </w:r>
      <w:r w:rsidRPr="00DB5592">
        <w:t xml:space="preserve"> segundo eles</w:t>
      </w:r>
      <w:r>
        <w:t>,</w:t>
      </w:r>
      <w:r w:rsidRPr="00DB5592">
        <w:t xml:space="preserve"> o motivo da proposição de inclusão de divisórias nos </w:t>
      </w:r>
      <w:proofErr w:type="gramStart"/>
      <w:r w:rsidRPr="00DB5592">
        <w:t>mictórios tipo</w:t>
      </w:r>
      <w:proofErr w:type="gramEnd"/>
      <w:r w:rsidRPr="00DB5592">
        <w:t xml:space="preserve"> calha. Também as </w:t>
      </w:r>
      <w:proofErr w:type="gramStart"/>
      <w:r w:rsidRPr="00DB5592">
        <w:t>2</w:t>
      </w:r>
      <w:proofErr w:type="gramEnd"/>
      <w:r w:rsidRPr="00DB5592">
        <w:t xml:space="preserve"> bancadas sugerem  a proibição de mictórios coletivos executados em alvenaria, alegando ser de difícil hig</w:t>
      </w:r>
      <w:r>
        <w:t>i</w:t>
      </w:r>
      <w:r w:rsidRPr="00DB5592">
        <w:t xml:space="preserve">enização. Não </w:t>
      </w:r>
      <w:r w:rsidR="003107B4">
        <w:t>sendo aceito pela bancada patronal, a</w:t>
      </w:r>
      <w:r w:rsidRPr="00DB5592">
        <w:t xml:space="preserve">rgumentando que havendo </w:t>
      </w:r>
      <w:r>
        <w:t>constrangimento</w:t>
      </w:r>
      <w:r w:rsidRPr="00DB5592">
        <w:t xml:space="preserve"> por parte dos usuários, </w:t>
      </w:r>
      <w:r>
        <w:t xml:space="preserve">os mesmos terão a opção de </w:t>
      </w:r>
      <w:r w:rsidRPr="00DB5592">
        <w:t xml:space="preserve">utilizar o vaso sanitário que possuem paredes </w:t>
      </w:r>
      <w:r>
        <w:t>de</w:t>
      </w:r>
      <w:r w:rsidRPr="00DB5592">
        <w:t xml:space="preserve"> isolam</w:t>
      </w:r>
      <w:r>
        <w:t xml:space="preserve">ento. Quanto </w:t>
      </w:r>
      <w:r w:rsidRPr="00DB5592">
        <w:t xml:space="preserve">a proibição de calhas </w:t>
      </w:r>
      <w:r>
        <w:t>em</w:t>
      </w:r>
      <w:r w:rsidRPr="00DB5592">
        <w:t xml:space="preserve"> alvenaria, </w:t>
      </w:r>
      <w:r>
        <w:t>também não</w:t>
      </w:r>
      <w:proofErr w:type="gramStart"/>
      <w:r>
        <w:t xml:space="preserve"> </w:t>
      </w:r>
      <w:r w:rsidR="003107B4">
        <w:t xml:space="preserve"> </w:t>
      </w:r>
      <w:proofErr w:type="gramEnd"/>
      <w:r w:rsidR="003107B4">
        <w:t>houve consenso</w:t>
      </w:r>
      <w:r>
        <w:t xml:space="preserve">, pois ao nosso ver sendo construídas de modo correto, não haverá problemas com relação de higienização, sendo uma opção a mais para as empresas. </w:t>
      </w:r>
      <w:r w:rsidRPr="00DB5592">
        <w:t xml:space="preserve"> O</w:t>
      </w:r>
      <w:r>
        <w:t xml:space="preserve"> i</w:t>
      </w:r>
      <w:r w:rsidRPr="00DB5592">
        <w:t>tem será enviado ao CPN para discussão e definição do mesmo.</w:t>
      </w:r>
    </w:p>
    <w:p w:rsidR="00000BAB" w:rsidRPr="00DB5592" w:rsidRDefault="00000BAB" w:rsidP="00000BAB">
      <w:pPr>
        <w:jc w:val="both"/>
      </w:pPr>
    </w:p>
    <w:p w:rsidR="00A5210F" w:rsidRDefault="00A5210F" w:rsidP="00000BAB">
      <w:pPr>
        <w:jc w:val="both"/>
      </w:pPr>
    </w:p>
    <w:p w:rsidR="00A5210F" w:rsidRDefault="00A5210F" w:rsidP="00000BAB">
      <w:pPr>
        <w:jc w:val="both"/>
      </w:pPr>
    </w:p>
    <w:p w:rsidR="00A5210F" w:rsidRDefault="00A5210F" w:rsidP="00000BAB">
      <w:pPr>
        <w:jc w:val="both"/>
      </w:pPr>
    </w:p>
    <w:p w:rsidR="00A5210F" w:rsidRDefault="00A5210F" w:rsidP="00000BAB">
      <w:pPr>
        <w:jc w:val="both"/>
      </w:pPr>
    </w:p>
    <w:p w:rsidR="00A5210F" w:rsidRDefault="00A5210F" w:rsidP="00000BAB">
      <w:pPr>
        <w:jc w:val="both"/>
      </w:pPr>
    </w:p>
    <w:p w:rsidR="00000BAB" w:rsidRPr="00DB5592" w:rsidRDefault="00BC0764" w:rsidP="00000BAB">
      <w:pPr>
        <w:jc w:val="both"/>
      </w:pPr>
      <w:r>
        <w:t xml:space="preserve">- </w:t>
      </w:r>
      <w:r w:rsidR="00000BAB" w:rsidRPr="00BC0764">
        <w:rPr>
          <w:b/>
        </w:rPr>
        <w:t>Item 18.8.2.9 - ALOJAMENTOS</w:t>
      </w:r>
      <w:r w:rsidR="00000BAB" w:rsidRPr="00DB5592">
        <w:t xml:space="preserve">: Ficou definido que o vestiário servirá para atender os trabalhadores que moram na localidade onde está sendo executada a obra, e não para os trabalhadores alojados na obra, pois </w:t>
      </w:r>
      <w:r w:rsidR="00000BAB">
        <w:t>estes</w:t>
      </w:r>
      <w:proofErr w:type="gramStart"/>
      <w:r w:rsidR="00000BAB">
        <w:t xml:space="preserve"> </w:t>
      </w:r>
      <w:r w:rsidR="00000BAB" w:rsidRPr="00DB5592">
        <w:t xml:space="preserve"> </w:t>
      </w:r>
      <w:proofErr w:type="gramEnd"/>
      <w:r w:rsidR="00000BAB" w:rsidRPr="00DB5592">
        <w:t>deverão ter instalações sanitárias e armários no alojamento</w:t>
      </w:r>
      <w:r w:rsidR="00000BAB">
        <w:t xml:space="preserve"> para uso exclusivo.</w:t>
      </w:r>
      <w:r w:rsidR="00000BAB" w:rsidRPr="00DB5592">
        <w:t>.</w:t>
      </w:r>
    </w:p>
    <w:p w:rsidR="00000BAB" w:rsidRPr="00DB5592" w:rsidRDefault="00000BAB" w:rsidP="00000BAB">
      <w:pPr>
        <w:jc w:val="both"/>
      </w:pPr>
      <w:r w:rsidRPr="00DB5592">
        <w:t xml:space="preserve">Também no item alojamentos </w:t>
      </w:r>
      <w:r w:rsidR="00BC0764">
        <w:t>a bancada patronal</w:t>
      </w:r>
      <w:proofErr w:type="gramStart"/>
      <w:r w:rsidR="00BC0764">
        <w:t xml:space="preserve">  </w:t>
      </w:r>
      <w:proofErr w:type="gramEnd"/>
      <w:r w:rsidRPr="00DB5592">
        <w:t>não aceitou a sugestão vinda d</w:t>
      </w:r>
      <w:r>
        <w:t>e</w:t>
      </w:r>
      <w:r w:rsidRPr="00DB5592">
        <w:t xml:space="preserve"> consulta pública</w:t>
      </w:r>
      <w:r>
        <w:t xml:space="preserve"> visando</w:t>
      </w:r>
      <w:r w:rsidRPr="00DB5592">
        <w:t xml:space="preserve"> inserir no novo texto obrigatoriedade de o  empregador fornecer gratuitamente um “kit” com escova de dentes, pasta de de</w:t>
      </w:r>
      <w:r>
        <w:t>ntes, desodorante, shampoo etc. A sugestão foi</w:t>
      </w:r>
      <w:r w:rsidRPr="00DB5592">
        <w:t xml:space="preserve"> retirada</w:t>
      </w:r>
      <w:r>
        <w:t xml:space="preserve"> do texto</w:t>
      </w:r>
      <w:r w:rsidRPr="00DB5592">
        <w:t>.</w:t>
      </w:r>
    </w:p>
    <w:p w:rsidR="00000BAB" w:rsidRPr="00DB5592" w:rsidRDefault="00000BAB" w:rsidP="00000BAB">
      <w:pPr>
        <w:jc w:val="both"/>
      </w:pPr>
    </w:p>
    <w:p w:rsidR="00000BAB" w:rsidRPr="00DB5592" w:rsidRDefault="00BC0764" w:rsidP="00000BAB">
      <w:pPr>
        <w:jc w:val="both"/>
      </w:pPr>
      <w:r w:rsidRPr="00BC0764">
        <w:rPr>
          <w:b/>
        </w:rPr>
        <w:t xml:space="preserve">- </w:t>
      </w:r>
      <w:r w:rsidR="00000BAB" w:rsidRPr="00BC0764">
        <w:rPr>
          <w:b/>
        </w:rPr>
        <w:t>Item 18. 8.1.4.2 - CONTEINERS:</w:t>
      </w:r>
      <w:r w:rsidR="00000BAB" w:rsidRPr="00DB5592">
        <w:t xml:space="preserve"> Proibição de adaptação de </w:t>
      </w:r>
      <w:r w:rsidRPr="00DB5592">
        <w:t>contêineres</w:t>
      </w:r>
      <w:r w:rsidR="00000BAB" w:rsidRPr="00DB5592">
        <w:t xml:space="preserve"> que foram utilizados de forma comercial para transporte de cargas, em função da difícil rastreabilidade para saber se foram usados no transporte de cargas perigosas como produtos químicos e radioativos. </w:t>
      </w:r>
      <w:r w:rsidR="00000BAB">
        <w:t>Ficou definido que o</w:t>
      </w:r>
      <w:r w:rsidR="00000BAB" w:rsidRPr="00DB5592">
        <w:t xml:space="preserve">s </w:t>
      </w:r>
      <w:r w:rsidRPr="00DB5592">
        <w:t>contêineres</w:t>
      </w:r>
      <w:r w:rsidR="00000BAB" w:rsidRPr="00DB5592">
        <w:t xml:space="preserve"> deverão possuir aterramento, e para raios (no caso de frente</w:t>
      </w:r>
      <w:r w:rsidR="00000BAB">
        <w:t>s</w:t>
      </w:r>
      <w:r w:rsidR="00000BAB" w:rsidRPr="00DB5592">
        <w:t xml:space="preserve"> de trabalho).</w:t>
      </w:r>
    </w:p>
    <w:p w:rsidR="00000BAB" w:rsidRPr="00DB5592" w:rsidRDefault="00000BAB" w:rsidP="00000BAB">
      <w:pPr>
        <w:jc w:val="both"/>
      </w:pPr>
    </w:p>
    <w:p w:rsidR="00000BAB" w:rsidRPr="00DB5592" w:rsidRDefault="00BC0764" w:rsidP="00000BAB">
      <w:pPr>
        <w:jc w:val="both"/>
      </w:pPr>
      <w:r w:rsidRPr="00BC0764">
        <w:rPr>
          <w:b/>
        </w:rPr>
        <w:t xml:space="preserve">- </w:t>
      </w:r>
      <w:r w:rsidR="00000BAB" w:rsidRPr="00BC0764">
        <w:rPr>
          <w:b/>
        </w:rPr>
        <w:t>Item 18.8.2.3 - INSTALAÇÕES SANITÁRIAS:</w:t>
      </w:r>
      <w:r w:rsidR="00000BAB" w:rsidRPr="00DB5592">
        <w:t xml:space="preserve"> Foi reduzida a distância máxima que o trabalhador deve percorrer para utilização do b</w:t>
      </w:r>
      <w:r w:rsidR="00000BAB">
        <w:t>anheiro, de 150 para 100 metros. S</w:t>
      </w:r>
      <w:r w:rsidR="00000BAB" w:rsidRPr="00DB5592">
        <w:t xml:space="preserve">egundo a bancada do governo </w:t>
      </w:r>
      <w:r w:rsidR="00000BAB">
        <w:t xml:space="preserve">a alteração </w:t>
      </w:r>
      <w:r w:rsidR="00000BAB" w:rsidRPr="00DB5592">
        <w:t>é para igualar a distância dos bebedouros que já é de 100 metros</w:t>
      </w:r>
      <w:r w:rsidR="00000BAB">
        <w:t>. E</w:t>
      </w:r>
      <w:r w:rsidR="00000BAB" w:rsidRPr="00DB5592">
        <w:t>sta</w:t>
      </w:r>
      <w:proofErr w:type="gramStart"/>
      <w:r w:rsidR="00000BAB" w:rsidRPr="00DB5592">
        <w:t xml:space="preserve">  </w:t>
      </w:r>
      <w:proofErr w:type="gramEnd"/>
      <w:r w:rsidR="00000BAB" w:rsidRPr="00DB5592">
        <w:t>regra será aplicada apenas para canteiros de obras, para frentes de trabalho manteve-se o limite de 150 metros.</w:t>
      </w:r>
    </w:p>
    <w:p w:rsidR="00000BAB" w:rsidRPr="00DB5592" w:rsidRDefault="00BC0764" w:rsidP="00000BAB">
      <w:pPr>
        <w:jc w:val="both"/>
      </w:pPr>
      <w:r w:rsidRPr="00BC0764">
        <w:rPr>
          <w:b/>
        </w:rPr>
        <w:t>-</w:t>
      </w:r>
      <w:r>
        <w:rPr>
          <w:b/>
        </w:rPr>
        <w:t xml:space="preserve"> </w:t>
      </w:r>
      <w:r w:rsidR="00000BAB" w:rsidRPr="00BC0764">
        <w:rPr>
          <w:b/>
        </w:rPr>
        <w:t>Item 18.8.2.8.2 ARMÁRIOS:</w:t>
      </w:r>
      <w:r w:rsidR="00000BAB" w:rsidRPr="00DB5592">
        <w:t xml:space="preserve"> Fo</w:t>
      </w:r>
      <w:r w:rsidR="00000BAB">
        <w:t xml:space="preserve">ram </w:t>
      </w:r>
      <w:r w:rsidRPr="00DB5592">
        <w:t>transformadas</w:t>
      </w:r>
      <w:r w:rsidR="00000BAB" w:rsidRPr="00DB5592">
        <w:t xml:space="preserve"> as medidas dos armários de metragem linear para volume em metro cúbico, visando facilitar a compra de armários existentes no mercado, atendendo o volume mínimo independente das medidas (altura, largura e profundidade</w:t>
      </w:r>
      <w:r>
        <w:t>)</w:t>
      </w:r>
      <w:r w:rsidR="00000BAB" w:rsidRPr="00DB5592">
        <w:t>.</w:t>
      </w:r>
    </w:p>
    <w:p w:rsidR="00000BAB" w:rsidRPr="00DB5592" w:rsidRDefault="00000BAB" w:rsidP="00000BAB">
      <w:pPr>
        <w:jc w:val="both"/>
      </w:pPr>
    </w:p>
    <w:p w:rsidR="00000BAB" w:rsidRPr="00DB5592" w:rsidRDefault="00000BAB" w:rsidP="00000BAB">
      <w:pPr>
        <w:jc w:val="both"/>
      </w:pPr>
      <w:r w:rsidRPr="00DB5592">
        <w:t>Armários de vestiário – volume mínimo 0,008 m3 (80 litros).</w:t>
      </w:r>
    </w:p>
    <w:p w:rsidR="00000BAB" w:rsidRPr="00DB5592" w:rsidRDefault="00000BAB" w:rsidP="00000BAB">
      <w:pPr>
        <w:jc w:val="both"/>
      </w:pPr>
      <w:r w:rsidRPr="00DB5592">
        <w:t>Armários de alojamento- volume mínimo 0,20 m3 (200 litros).</w:t>
      </w:r>
    </w:p>
    <w:p w:rsidR="00000BAB" w:rsidRPr="00DB5592" w:rsidRDefault="00000BAB" w:rsidP="00000BAB">
      <w:pPr>
        <w:jc w:val="both"/>
      </w:pPr>
    </w:p>
    <w:p w:rsidR="00000BAB" w:rsidRPr="00BC0764" w:rsidRDefault="00000BAB" w:rsidP="00000BAB">
      <w:pPr>
        <w:jc w:val="both"/>
        <w:rPr>
          <w:b/>
        </w:rPr>
      </w:pPr>
      <w:r w:rsidRPr="00BC0764">
        <w:rPr>
          <w:b/>
        </w:rPr>
        <w:t>Obs. O cadeado deverá ser fornecido pelo empregador.</w:t>
      </w:r>
    </w:p>
    <w:p w:rsidR="00000BAB" w:rsidRPr="00DB5592" w:rsidRDefault="00000BAB" w:rsidP="00000BAB">
      <w:pPr>
        <w:jc w:val="both"/>
      </w:pPr>
    </w:p>
    <w:p w:rsidR="00000BAB" w:rsidRPr="00DB5592" w:rsidRDefault="00BC0764" w:rsidP="00000BAB">
      <w:pPr>
        <w:jc w:val="both"/>
      </w:pPr>
      <w:r w:rsidRPr="00BC0764">
        <w:rPr>
          <w:b/>
        </w:rPr>
        <w:t xml:space="preserve">- </w:t>
      </w:r>
      <w:r w:rsidR="00000BAB" w:rsidRPr="00BC0764">
        <w:rPr>
          <w:b/>
        </w:rPr>
        <w:t>Item 18.8.2.9 - ALOJAMENTO:</w:t>
      </w:r>
      <w:r w:rsidR="00000BAB" w:rsidRPr="00DB5592">
        <w:t xml:space="preserve"> Deverá ser disponibilizada </w:t>
      </w:r>
      <w:r w:rsidRPr="00DB5592">
        <w:t>uma</w:t>
      </w:r>
      <w:r w:rsidR="00000BAB" w:rsidRPr="00DB5592">
        <w:t xml:space="preserve"> tomada elétrica/trabalhador no alojamento. A área mínima por módulo cama/armário incluindo área circulação por trabalhador alojado</w:t>
      </w:r>
      <w:proofErr w:type="gramStart"/>
      <w:r w:rsidR="00000BAB" w:rsidRPr="00DB5592">
        <w:t>, passou</w:t>
      </w:r>
      <w:proofErr w:type="gramEnd"/>
      <w:r w:rsidR="00000BAB" w:rsidRPr="00DB5592">
        <w:t xml:space="preserve"> de 3,00 para 3,20, em função do espaçamento entre as camas (beliches)</w:t>
      </w:r>
      <w:r w:rsidR="00000BAB">
        <w:t xml:space="preserve"> ter sido aumentado de</w:t>
      </w:r>
      <w:r w:rsidR="00000BAB" w:rsidRPr="00DB5592">
        <w:t xml:space="preserve"> no mínimo de 0,60 metros </w:t>
      </w:r>
      <w:r w:rsidR="00000BAB">
        <w:t>para</w:t>
      </w:r>
      <w:r w:rsidR="00000BAB" w:rsidRPr="00DB5592">
        <w:t xml:space="preserve"> 0,70 metros.</w:t>
      </w:r>
    </w:p>
    <w:p w:rsidR="00000BAB" w:rsidRPr="00DB5592" w:rsidRDefault="00000BAB" w:rsidP="00000BAB">
      <w:pPr>
        <w:jc w:val="both"/>
      </w:pPr>
      <w:r w:rsidRPr="00DB5592">
        <w:t>Também conseguimos a opção de confeccionar as camas com materiais de obras (madeira), desde que não haja quinas, arestas e felpas.</w:t>
      </w:r>
    </w:p>
    <w:p w:rsidR="00000BAB" w:rsidRPr="00DB5592" w:rsidRDefault="00000BAB" w:rsidP="00000BAB">
      <w:pPr>
        <w:jc w:val="both"/>
      </w:pPr>
      <w:r w:rsidRPr="00DB5592">
        <w:t xml:space="preserve"> </w:t>
      </w:r>
    </w:p>
    <w:p w:rsidR="00000BAB" w:rsidRPr="00DB5592" w:rsidRDefault="00EA142F" w:rsidP="00000BAB">
      <w:pPr>
        <w:jc w:val="both"/>
      </w:pPr>
      <w:r w:rsidRPr="00EA142F">
        <w:rPr>
          <w:b/>
        </w:rPr>
        <w:t xml:space="preserve">- </w:t>
      </w:r>
      <w:r w:rsidR="00000BAB" w:rsidRPr="00EA142F">
        <w:rPr>
          <w:b/>
        </w:rPr>
        <w:t>Item 18.8.2.9.9 – ALOJAMENTO:</w:t>
      </w:r>
      <w:r w:rsidR="00000BAB" w:rsidRPr="00DB5592">
        <w:t xml:space="preserve"> Haverá item específico para tratar do uso de hotéis, pousadas, aluguel de casas e apartamentos com</w:t>
      </w:r>
      <w:r w:rsidR="00000BAB">
        <w:t>o</w:t>
      </w:r>
      <w:r w:rsidR="00000BAB" w:rsidRPr="00DB5592">
        <w:t xml:space="preserve"> alojamento de trabalhadores. </w:t>
      </w:r>
      <w:r w:rsidR="00000BAB">
        <w:t>Havendo</w:t>
      </w:r>
      <w:r w:rsidR="00000BAB" w:rsidRPr="00DB5592">
        <w:t xml:space="preserve"> </w:t>
      </w:r>
      <w:r w:rsidR="00000BAB">
        <w:t>este tipo de</w:t>
      </w:r>
      <w:r w:rsidR="00000BAB" w:rsidRPr="00DB5592">
        <w:t xml:space="preserve"> alojamento, o mesmo deverá obedecer </w:t>
      </w:r>
      <w:r w:rsidR="000F78B8" w:rsidRPr="00DB5592">
        <w:t>às</w:t>
      </w:r>
      <w:r w:rsidR="00000BAB" w:rsidRPr="00DB5592">
        <w:t xml:space="preserve"> mesmas regras previstas pela norma para alojamento em canteiros de obras.</w:t>
      </w:r>
    </w:p>
    <w:p w:rsidR="00000BAB" w:rsidRPr="00DB5592" w:rsidRDefault="00000BAB" w:rsidP="00000BAB">
      <w:pPr>
        <w:jc w:val="both"/>
      </w:pPr>
    </w:p>
    <w:p w:rsidR="00A5210F" w:rsidRDefault="00A5210F" w:rsidP="00000BAB">
      <w:pPr>
        <w:jc w:val="both"/>
        <w:rPr>
          <w:b/>
        </w:rPr>
      </w:pPr>
    </w:p>
    <w:p w:rsidR="00A5210F" w:rsidRDefault="00A5210F" w:rsidP="00000BAB">
      <w:pPr>
        <w:jc w:val="both"/>
        <w:rPr>
          <w:b/>
        </w:rPr>
      </w:pPr>
    </w:p>
    <w:p w:rsidR="00A5210F" w:rsidRDefault="00A5210F" w:rsidP="00000BAB">
      <w:pPr>
        <w:jc w:val="both"/>
        <w:rPr>
          <w:b/>
        </w:rPr>
      </w:pPr>
    </w:p>
    <w:p w:rsidR="00A5210F" w:rsidRDefault="00A5210F" w:rsidP="00000BAB">
      <w:pPr>
        <w:jc w:val="both"/>
        <w:rPr>
          <w:b/>
        </w:rPr>
      </w:pPr>
    </w:p>
    <w:p w:rsidR="00A5210F" w:rsidRDefault="00A5210F" w:rsidP="00000BAB">
      <w:pPr>
        <w:jc w:val="both"/>
        <w:rPr>
          <w:b/>
        </w:rPr>
      </w:pPr>
    </w:p>
    <w:p w:rsidR="00A5210F" w:rsidRDefault="00A5210F" w:rsidP="00000BAB">
      <w:pPr>
        <w:jc w:val="both"/>
        <w:rPr>
          <w:b/>
        </w:rPr>
      </w:pPr>
    </w:p>
    <w:p w:rsidR="00000BAB" w:rsidRPr="00DB5592" w:rsidRDefault="000F78B8" w:rsidP="00000BAB">
      <w:pPr>
        <w:jc w:val="both"/>
      </w:pPr>
      <w:r w:rsidRPr="000F78B8">
        <w:rPr>
          <w:b/>
        </w:rPr>
        <w:t xml:space="preserve">- </w:t>
      </w:r>
      <w:r w:rsidR="00000BAB" w:rsidRPr="000F78B8">
        <w:rPr>
          <w:b/>
        </w:rPr>
        <w:t>Item 18.8.2.9.9 – ALOJAMENTO:</w:t>
      </w:r>
      <w:r w:rsidR="00000BAB" w:rsidRPr="00DB5592">
        <w:t xml:space="preserve"> Ficou definido que o empregador deverá disponibilizar na proporção de </w:t>
      </w:r>
      <w:r w:rsidRPr="00DB5592">
        <w:t>um tanque</w:t>
      </w:r>
      <w:r w:rsidR="00000BAB" w:rsidRPr="00DB5592">
        <w:t xml:space="preserve"> de lavagem de roupas para cada 20 trabalhadores alojados, não sendo obrigatória a disponibilização de máquinas de lavar roupas, ficando como opcional </w:t>
      </w:r>
      <w:r w:rsidR="00000BAB">
        <w:t xml:space="preserve">o fornecimento </w:t>
      </w:r>
      <w:r w:rsidR="00000BAB" w:rsidRPr="00DB5592">
        <w:t>por parte do empregador.</w:t>
      </w:r>
    </w:p>
    <w:p w:rsidR="00000BAB" w:rsidRPr="00DB5592" w:rsidRDefault="00000BAB" w:rsidP="00000BAB">
      <w:pPr>
        <w:jc w:val="both"/>
      </w:pPr>
    </w:p>
    <w:p w:rsidR="00000BAB" w:rsidRPr="00DB5592" w:rsidRDefault="000F78B8" w:rsidP="00000BAB">
      <w:pPr>
        <w:jc w:val="both"/>
      </w:pPr>
      <w:r w:rsidRPr="000F78B8">
        <w:rPr>
          <w:b/>
        </w:rPr>
        <w:t xml:space="preserve">- </w:t>
      </w:r>
      <w:r w:rsidR="00000BAB" w:rsidRPr="000F78B8">
        <w:rPr>
          <w:b/>
        </w:rPr>
        <w:t>Item 18.8.10 - LOCAL PARA REFEIÇÕES:</w:t>
      </w:r>
      <w:r w:rsidR="00000BAB" w:rsidRPr="00DB5592">
        <w:t xml:space="preserve"> Ficou definido que a norma diferenciará refeitório de canteiro de obras </w:t>
      </w:r>
      <w:r w:rsidR="00000BAB">
        <w:t xml:space="preserve">dos refeitórios </w:t>
      </w:r>
      <w:r w:rsidR="00000BAB" w:rsidRPr="00DB5592">
        <w:t>de frentes de trabalho</w:t>
      </w:r>
      <w:r w:rsidR="00000BAB">
        <w:t>,</w:t>
      </w:r>
      <w:r w:rsidR="00000BAB" w:rsidRPr="00DB5592">
        <w:t xml:space="preserve"> em função das especificidades de cada um.</w:t>
      </w:r>
    </w:p>
    <w:p w:rsidR="00000BAB" w:rsidRPr="000F78B8" w:rsidRDefault="00000BAB" w:rsidP="00000BAB">
      <w:pPr>
        <w:jc w:val="both"/>
        <w:rPr>
          <w:b/>
        </w:rPr>
      </w:pPr>
    </w:p>
    <w:p w:rsidR="00000BAB" w:rsidRPr="00DB5592" w:rsidRDefault="000F78B8" w:rsidP="00000BAB">
      <w:pPr>
        <w:jc w:val="both"/>
      </w:pPr>
      <w:r w:rsidRPr="000F78B8">
        <w:rPr>
          <w:b/>
        </w:rPr>
        <w:t xml:space="preserve">- </w:t>
      </w:r>
      <w:r w:rsidR="00000BAB" w:rsidRPr="000F78B8">
        <w:rPr>
          <w:b/>
        </w:rPr>
        <w:t xml:space="preserve">Item 18.9 – BARREIRAS, TAUMES E GALERIAS: </w:t>
      </w:r>
      <w:r w:rsidR="00000BAB" w:rsidRPr="00DB5592">
        <w:t>As atividades em vias públicas dever</w:t>
      </w:r>
      <w:r w:rsidR="00000BAB">
        <w:t>ão</w:t>
      </w:r>
      <w:r w:rsidR="00000BAB" w:rsidRPr="00DB5592">
        <w:t xml:space="preserve"> possuir barreiras, tapumes, sinalizados e com iluminação de segurança.</w:t>
      </w:r>
    </w:p>
    <w:p w:rsidR="00000BAB" w:rsidRPr="00DB5592" w:rsidRDefault="00000BAB" w:rsidP="00000BAB">
      <w:pPr>
        <w:jc w:val="both"/>
      </w:pPr>
      <w:r w:rsidRPr="00DB5592">
        <w:t>Quanto ao uso de tapumes metálicos, deverão possuir aterramento elétrico.</w:t>
      </w:r>
    </w:p>
    <w:p w:rsidR="00000BAB" w:rsidRPr="00DB5592" w:rsidRDefault="00000BAB" w:rsidP="00000BAB">
      <w:pPr>
        <w:jc w:val="both"/>
      </w:pPr>
    </w:p>
    <w:p w:rsidR="00000BAB" w:rsidRPr="00DB5592" w:rsidRDefault="000F78B8" w:rsidP="00000BAB">
      <w:pPr>
        <w:jc w:val="both"/>
      </w:pPr>
      <w:r>
        <w:rPr>
          <w:b/>
        </w:rPr>
        <w:t xml:space="preserve">- </w:t>
      </w:r>
      <w:r w:rsidR="00000BAB" w:rsidRPr="000F78B8">
        <w:rPr>
          <w:b/>
        </w:rPr>
        <w:t>Item 18.5 – FORMAÇÃO PROFISSIONAL:</w:t>
      </w:r>
      <w:r w:rsidR="00000BAB" w:rsidRPr="00DB5592">
        <w:t xml:space="preserve"> Iniciou-se a discussão para a definição do que é trabalhador treinado, capacitado, habilitado e autorizado, não havendo ainda nada definido.</w:t>
      </w:r>
    </w:p>
    <w:p w:rsidR="00000BAB" w:rsidRPr="00DB5592" w:rsidRDefault="00000BAB" w:rsidP="00000BAB">
      <w:pPr>
        <w:jc w:val="both"/>
      </w:pPr>
    </w:p>
    <w:p w:rsidR="00000BAB" w:rsidRPr="00DB5592" w:rsidRDefault="000F78B8" w:rsidP="00000BAB">
      <w:pPr>
        <w:jc w:val="both"/>
      </w:pPr>
      <w:r>
        <w:rPr>
          <w:b/>
        </w:rPr>
        <w:t xml:space="preserve">- </w:t>
      </w:r>
      <w:r w:rsidR="00000BAB" w:rsidRPr="000F78B8">
        <w:rPr>
          <w:b/>
        </w:rPr>
        <w:t>Item 18.5.5 – FORMAÇÃO PROFISSIONAL/TRABALHADOR TREINADO:</w:t>
      </w:r>
      <w:r w:rsidR="00000BAB" w:rsidRPr="00DB5592">
        <w:t xml:space="preserve"> A proposta é de que no mínimo</w:t>
      </w:r>
      <w:r w:rsidR="00000BAB">
        <w:t xml:space="preserve"> </w:t>
      </w:r>
      <w:r w:rsidR="00000BAB" w:rsidRPr="00DB5592">
        <w:t xml:space="preserve">o trabalhador deverá </w:t>
      </w:r>
      <w:r w:rsidR="00000BAB">
        <w:t>passar por treinamento</w:t>
      </w:r>
      <w:proofErr w:type="gramStart"/>
      <w:r w:rsidR="00000BAB">
        <w:t xml:space="preserve">  </w:t>
      </w:r>
      <w:proofErr w:type="gramEnd"/>
      <w:r w:rsidR="00000BAB">
        <w:t>de</w:t>
      </w:r>
      <w:r w:rsidR="00000BAB" w:rsidRPr="00DB5592">
        <w:t xml:space="preserve"> 8 horas nos cursos de formação profissional.  Estamos suger</w:t>
      </w:r>
      <w:r w:rsidR="00000BAB">
        <w:t>in</w:t>
      </w:r>
      <w:r w:rsidR="00000BAB" w:rsidRPr="00DB5592">
        <w:t xml:space="preserve">do que seja feito um levantamento de carga horária dos diversos cursos de formação </w:t>
      </w:r>
      <w:r w:rsidR="00000BAB">
        <w:t xml:space="preserve">profissional </w:t>
      </w:r>
      <w:r w:rsidR="00000BAB" w:rsidRPr="00DB5592">
        <w:t>na construção</w:t>
      </w:r>
      <w:r w:rsidR="00000BAB">
        <w:t xml:space="preserve"> civil</w:t>
      </w:r>
      <w:r w:rsidR="00000BAB" w:rsidRPr="00DB5592">
        <w:t xml:space="preserve">, pois </w:t>
      </w:r>
      <w:r w:rsidR="00000BAB">
        <w:t xml:space="preserve">para </w:t>
      </w:r>
      <w:r w:rsidR="00000BAB" w:rsidRPr="00DB5592">
        <w:t xml:space="preserve">alguns </w:t>
      </w:r>
      <w:r w:rsidR="00000BAB">
        <w:t xml:space="preserve">não há necessidade de </w:t>
      </w:r>
      <w:r w:rsidR="00000BAB" w:rsidRPr="00DB5592">
        <w:t xml:space="preserve">8 horas </w:t>
      </w:r>
      <w:r w:rsidR="00000BAB">
        <w:t>de treinamento</w:t>
      </w:r>
      <w:r w:rsidR="00000BAB" w:rsidRPr="00DB5592">
        <w:t>.</w:t>
      </w:r>
    </w:p>
    <w:p w:rsidR="00000BAB" w:rsidRPr="00DB5592" w:rsidRDefault="00000BAB" w:rsidP="00000BAB">
      <w:pPr>
        <w:jc w:val="both"/>
      </w:pPr>
    </w:p>
    <w:p w:rsidR="00000BAB" w:rsidRPr="007467EB" w:rsidRDefault="00000BAB" w:rsidP="00000BAB">
      <w:pPr>
        <w:jc w:val="both"/>
        <w:rPr>
          <w:color w:val="FF0000"/>
        </w:rPr>
      </w:pPr>
    </w:p>
    <w:p w:rsidR="00000BAB" w:rsidRDefault="00000BAB" w:rsidP="00000BAB">
      <w:pPr>
        <w:jc w:val="both"/>
      </w:pPr>
    </w:p>
    <w:p w:rsidR="00000BAB" w:rsidRDefault="00000BAB" w:rsidP="0069022B">
      <w:pPr>
        <w:jc w:val="both"/>
      </w:pPr>
    </w:p>
    <w:p w:rsidR="00000BAB" w:rsidRDefault="00000BAB" w:rsidP="0069022B">
      <w:pPr>
        <w:jc w:val="both"/>
      </w:pPr>
    </w:p>
    <w:p w:rsidR="00000BAB" w:rsidRDefault="00000BAB" w:rsidP="0069022B">
      <w:pPr>
        <w:jc w:val="both"/>
      </w:pPr>
    </w:p>
    <w:p w:rsidR="00C87C43" w:rsidRDefault="00C87C43" w:rsidP="00C87C43">
      <w:pPr>
        <w:rPr>
          <w:rFonts w:eastAsia="Calibri"/>
          <w:color w:val="1F497D"/>
          <w:sz w:val="20"/>
          <w:szCs w:val="20"/>
        </w:rPr>
      </w:pPr>
      <w:r>
        <w:rPr>
          <w:rFonts w:eastAsia="Calibri"/>
          <w:color w:val="1F497D"/>
          <w:sz w:val="20"/>
          <w:szCs w:val="20"/>
        </w:rPr>
        <w:t>José Luiz Esteves da Fonseca</w:t>
      </w:r>
    </w:p>
    <w:p w:rsidR="00C87C43" w:rsidRDefault="00C87C43" w:rsidP="00C87C43">
      <w:pPr>
        <w:rPr>
          <w:rFonts w:eastAsia="Calibri"/>
          <w:color w:val="1F497D"/>
          <w:sz w:val="20"/>
          <w:szCs w:val="20"/>
        </w:rPr>
      </w:pPr>
      <w:r>
        <w:rPr>
          <w:rFonts w:eastAsia="Calibri"/>
          <w:color w:val="1F497D"/>
          <w:sz w:val="20"/>
          <w:szCs w:val="20"/>
        </w:rPr>
        <w:t xml:space="preserve">Gestor Executivo de SST </w:t>
      </w:r>
    </w:p>
    <w:p w:rsidR="00C87C43" w:rsidRDefault="00C87C43" w:rsidP="00C87C43">
      <w:pPr>
        <w:rPr>
          <w:rFonts w:eastAsia="Calibri"/>
          <w:color w:val="1F497D"/>
          <w:sz w:val="20"/>
          <w:szCs w:val="20"/>
        </w:rPr>
      </w:pPr>
      <w:r>
        <w:rPr>
          <w:rFonts w:eastAsia="Calibri"/>
          <w:color w:val="1F497D"/>
          <w:sz w:val="20"/>
          <w:szCs w:val="20"/>
        </w:rPr>
        <w:t>MRV Engenharia e Participações S.A.</w:t>
      </w:r>
    </w:p>
    <w:p w:rsidR="00C87C43" w:rsidRDefault="00C87C43" w:rsidP="00C87C43">
      <w:pPr>
        <w:rPr>
          <w:rFonts w:eastAsia="Calibri"/>
          <w:color w:val="1F497D"/>
          <w:sz w:val="20"/>
          <w:szCs w:val="20"/>
        </w:rPr>
      </w:pPr>
      <w:r>
        <w:rPr>
          <w:rFonts w:eastAsia="Calibri"/>
          <w:color w:val="1F497D"/>
          <w:sz w:val="20"/>
          <w:szCs w:val="20"/>
        </w:rPr>
        <w:t>Av. Raja Gabaglia, 2674 - Belo Horizonte - MG</w:t>
      </w:r>
      <w:r w:rsidR="00B47719" w:rsidRPr="00B47719">
        <w:t xml:space="preserve"> </w:t>
      </w:r>
    </w:p>
    <w:p w:rsidR="00C87C43" w:rsidRDefault="00C87C43" w:rsidP="00C87C43">
      <w:pPr>
        <w:rPr>
          <w:rFonts w:eastAsia="Calibri"/>
          <w:color w:val="0000FF"/>
          <w:sz w:val="20"/>
          <w:szCs w:val="20"/>
        </w:rPr>
      </w:pPr>
      <w:proofErr w:type="spellStart"/>
      <w:r>
        <w:rPr>
          <w:rFonts w:eastAsia="Calibri"/>
          <w:color w:val="1F497D"/>
          <w:sz w:val="20"/>
          <w:szCs w:val="20"/>
        </w:rPr>
        <w:t>Tel</w:t>
      </w:r>
      <w:proofErr w:type="spellEnd"/>
      <w:r>
        <w:rPr>
          <w:rFonts w:eastAsia="Calibri"/>
          <w:color w:val="1F497D"/>
          <w:sz w:val="20"/>
          <w:szCs w:val="20"/>
        </w:rPr>
        <w:t>: (31) - 3515.8318 -  Cel. (VIVO</w:t>
      </w:r>
      <w:proofErr w:type="gramStart"/>
      <w:r>
        <w:rPr>
          <w:rFonts w:eastAsia="Calibri"/>
          <w:color w:val="1F497D"/>
          <w:sz w:val="20"/>
          <w:szCs w:val="20"/>
        </w:rPr>
        <w:t>):</w:t>
      </w:r>
      <w:proofErr w:type="gramEnd"/>
      <w:r>
        <w:rPr>
          <w:rFonts w:eastAsia="Calibri"/>
          <w:color w:val="1F497D"/>
          <w:sz w:val="20"/>
          <w:szCs w:val="20"/>
        </w:rPr>
        <w:t>(31) - 9432.2468</w:t>
      </w:r>
    </w:p>
    <w:p w:rsidR="00E36912" w:rsidRDefault="00AD7581">
      <w:hyperlink r:id="rId11" w:history="1">
        <w:r w:rsidR="00C87C43">
          <w:rPr>
            <w:rStyle w:val="Hyperlink"/>
            <w:rFonts w:eastAsia="Calibri"/>
            <w:sz w:val="20"/>
            <w:szCs w:val="20"/>
          </w:rPr>
          <w:t>jose.fonseca@mrv.com.br</w:t>
        </w:r>
      </w:hyperlink>
      <w:r w:rsidR="00C87C43">
        <w:rPr>
          <w:rFonts w:eastAsia="Calibri"/>
          <w:color w:val="0000FF"/>
          <w:sz w:val="20"/>
          <w:szCs w:val="20"/>
        </w:rPr>
        <w:t xml:space="preserve"> - </w:t>
      </w:r>
      <w:hyperlink r:id="rId12" w:history="1">
        <w:r w:rsidR="00C87C43">
          <w:rPr>
            <w:rStyle w:val="Hyperlink"/>
            <w:rFonts w:eastAsia="Calibri"/>
            <w:sz w:val="20"/>
            <w:szCs w:val="20"/>
          </w:rPr>
          <w:t>www.mrv.com.br</w:t>
        </w:r>
      </w:hyperlink>
    </w:p>
    <w:sectPr w:rsidR="00E3691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581" w:rsidRDefault="00AD7581">
      <w:r>
        <w:separator/>
      </w:r>
    </w:p>
  </w:endnote>
  <w:endnote w:type="continuationSeparator" w:id="0">
    <w:p w:rsidR="00AD7581" w:rsidRDefault="00AD7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1EA" w:rsidRDefault="001A21E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1EA" w:rsidRDefault="001A21E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1EA" w:rsidRDefault="001A21E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581" w:rsidRDefault="00AD7581">
      <w:r>
        <w:separator/>
      </w:r>
    </w:p>
  </w:footnote>
  <w:footnote w:type="continuationSeparator" w:id="0">
    <w:p w:rsidR="00AD7581" w:rsidRDefault="00AD75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1EA" w:rsidRDefault="00AD7581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3" type="#_x0000_t75" style="position:absolute;margin-left:0;margin-top:0;width:595.2pt;height:841.9pt;z-index:-251658752;mso-position-horizontal:center;mso-position-horizontal-relative:margin;mso-position-vertical:center;mso-position-vertical-relative:margin" o:allowincell="f">
          <v:imagedata r:id="rId1" o:title="Papel Carta_210x29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1EA" w:rsidRDefault="00AD7581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4" type="#_x0000_t75" style="position:absolute;margin-left:0;margin-top:0;width:595.2pt;height:841.9pt;z-index:-251657728;mso-position-horizontal:center;mso-position-horizontal-relative:margin;mso-position-vertical:center;mso-position-vertical-relative:margin" o:allowincell="f">
          <v:imagedata r:id="rId1" o:title="Papel Carta_210x297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1EA" w:rsidRDefault="00AD7581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2" type="#_x0000_t75" style="position:absolute;margin-left:0;margin-top:0;width:595.2pt;height:841.9pt;z-index:-251659776;mso-position-horizontal:center;mso-position-horizontal-relative:margin;mso-position-vertical:center;mso-position-vertical-relative:margin" o:allowincell="f">
          <v:imagedata r:id="rId1" o:title="Papel Carta_210x297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31F30"/>
    <w:multiLevelType w:val="hybridMultilevel"/>
    <w:tmpl w:val="782E2370"/>
    <w:lvl w:ilvl="0" w:tplc="ED92B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A2C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FC0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CA46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E432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0C3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E698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8E5A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648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1EA"/>
    <w:rsid w:val="00000BAB"/>
    <w:rsid w:val="000404BC"/>
    <w:rsid w:val="00073753"/>
    <w:rsid w:val="00097CBB"/>
    <w:rsid w:val="000A04E2"/>
    <w:rsid w:val="000A626D"/>
    <w:rsid w:val="000B75BF"/>
    <w:rsid w:val="000F78B8"/>
    <w:rsid w:val="00133C05"/>
    <w:rsid w:val="00150D68"/>
    <w:rsid w:val="001738CD"/>
    <w:rsid w:val="001A21EA"/>
    <w:rsid w:val="001E4E19"/>
    <w:rsid w:val="001F1650"/>
    <w:rsid w:val="00204D2E"/>
    <w:rsid w:val="00214BA2"/>
    <w:rsid w:val="00225979"/>
    <w:rsid w:val="0027394D"/>
    <w:rsid w:val="002A718F"/>
    <w:rsid w:val="002D0FFC"/>
    <w:rsid w:val="002D138E"/>
    <w:rsid w:val="003107B4"/>
    <w:rsid w:val="00323D65"/>
    <w:rsid w:val="003556DC"/>
    <w:rsid w:val="00382A64"/>
    <w:rsid w:val="00384D16"/>
    <w:rsid w:val="003B3FC7"/>
    <w:rsid w:val="003C15D1"/>
    <w:rsid w:val="003D3722"/>
    <w:rsid w:val="003D7CFC"/>
    <w:rsid w:val="004244A3"/>
    <w:rsid w:val="004444A6"/>
    <w:rsid w:val="004512B0"/>
    <w:rsid w:val="00456E6C"/>
    <w:rsid w:val="00465D19"/>
    <w:rsid w:val="00466891"/>
    <w:rsid w:val="00466C95"/>
    <w:rsid w:val="00477BE8"/>
    <w:rsid w:val="0048557D"/>
    <w:rsid w:val="004B5818"/>
    <w:rsid w:val="004D21F8"/>
    <w:rsid w:val="004D4564"/>
    <w:rsid w:val="004E1BF4"/>
    <w:rsid w:val="005209B1"/>
    <w:rsid w:val="00545C39"/>
    <w:rsid w:val="0055765F"/>
    <w:rsid w:val="00575F80"/>
    <w:rsid w:val="00576EE6"/>
    <w:rsid w:val="005839F2"/>
    <w:rsid w:val="00584FA3"/>
    <w:rsid w:val="00596E97"/>
    <w:rsid w:val="005D7172"/>
    <w:rsid w:val="005E5F25"/>
    <w:rsid w:val="00657C92"/>
    <w:rsid w:val="0069022B"/>
    <w:rsid w:val="006902DD"/>
    <w:rsid w:val="006A2867"/>
    <w:rsid w:val="006A4054"/>
    <w:rsid w:val="006A543F"/>
    <w:rsid w:val="006C53C2"/>
    <w:rsid w:val="00717336"/>
    <w:rsid w:val="00723612"/>
    <w:rsid w:val="00763013"/>
    <w:rsid w:val="007D7994"/>
    <w:rsid w:val="007F3DD0"/>
    <w:rsid w:val="008C713C"/>
    <w:rsid w:val="008D31DE"/>
    <w:rsid w:val="008D56B4"/>
    <w:rsid w:val="008E6213"/>
    <w:rsid w:val="008F5DAA"/>
    <w:rsid w:val="00902982"/>
    <w:rsid w:val="00907647"/>
    <w:rsid w:val="00912AF6"/>
    <w:rsid w:val="00966C26"/>
    <w:rsid w:val="009956BB"/>
    <w:rsid w:val="009E6EA9"/>
    <w:rsid w:val="009E7F33"/>
    <w:rsid w:val="009F76C5"/>
    <w:rsid w:val="00A0401B"/>
    <w:rsid w:val="00A14C28"/>
    <w:rsid w:val="00A473F0"/>
    <w:rsid w:val="00A5210F"/>
    <w:rsid w:val="00A652FF"/>
    <w:rsid w:val="00AA094B"/>
    <w:rsid w:val="00AC65D5"/>
    <w:rsid w:val="00AD7581"/>
    <w:rsid w:val="00B407EB"/>
    <w:rsid w:val="00B408F9"/>
    <w:rsid w:val="00B44E62"/>
    <w:rsid w:val="00B47719"/>
    <w:rsid w:val="00B7553E"/>
    <w:rsid w:val="00B93A68"/>
    <w:rsid w:val="00B94575"/>
    <w:rsid w:val="00BC0764"/>
    <w:rsid w:val="00BD03F0"/>
    <w:rsid w:val="00BE0392"/>
    <w:rsid w:val="00BE5C28"/>
    <w:rsid w:val="00BF6EDD"/>
    <w:rsid w:val="00C01ED1"/>
    <w:rsid w:val="00C50995"/>
    <w:rsid w:val="00C70660"/>
    <w:rsid w:val="00C710BF"/>
    <w:rsid w:val="00C72984"/>
    <w:rsid w:val="00C83ABB"/>
    <w:rsid w:val="00C85AAA"/>
    <w:rsid w:val="00C87C43"/>
    <w:rsid w:val="00D25D48"/>
    <w:rsid w:val="00D271BC"/>
    <w:rsid w:val="00D54B10"/>
    <w:rsid w:val="00D55A21"/>
    <w:rsid w:val="00D730A0"/>
    <w:rsid w:val="00DB1DDC"/>
    <w:rsid w:val="00DB3474"/>
    <w:rsid w:val="00DC1F4C"/>
    <w:rsid w:val="00DE27D4"/>
    <w:rsid w:val="00E36912"/>
    <w:rsid w:val="00E41C35"/>
    <w:rsid w:val="00EA142F"/>
    <w:rsid w:val="00ED3AE9"/>
    <w:rsid w:val="00F16459"/>
    <w:rsid w:val="00FA65A2"/>
    <w:rsid w:val="00FB1905"/>
    <w:rsid w:val="00FD1C41"/>
    <w:rsid w:val="00FF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1A21E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1A21EA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semiHidden/>
    <w:rsid w:val="001A21E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9022B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</w:rPr>
  </w:style>
  <w:style w:type="paragraph" w:styleId="NormalWeb">
    <w:name w:val="Normal (Web)"/>
    <w:basedOn w:val="Normal"/>
    <w:uiPriority w:val="99"/>
    <w:unhideWhenUsed/>
    <w:rsid w:val="0069022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Fontepargpadro"/>
    <w:uiPriority w:val="99"/>
    <w:unhideWhenUsed/>
    <w:rsid w:val="00C87C4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1A21E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1A21EA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semiHidden/>
    <w:rsid w:val="001A21E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9022B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</w:rPr>
  </w:style>
  <w:style w:type="paragraph" w:styleId="NormalWeb">
    <w:name w:val="Normal (Web)"/>
    <w:basedOn w:val="Normal"/>
    <w:uiPriority w:val="99"/>
    <w:unhideWhenUsed/>
    <w:rsid w:val="0069022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Fontepargpadro"/>
    <w:uiPriority w:val="99"/>
    <w:unhideWhenUsed/>
    <w:rsid w:val="00C87C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mrv.com.br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mailto:jose.fonseca@mrv.com.br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E094E42787B64EAB5107A07067B632" ma:contentTypeVersion="0" ma:contentTypeDescription="Crie um novo documento." ma:contentTypeScope="" ma:versionID="7aa3a5f32f01728815a2f7f5fc902f2d">
  <xsd:schema xmlns:xsd="http://www.w3.org/2001/XMLSchema" xmlns:p="http://schemas.microsoft.com/office/2006/metadata/properties" targetNamespace="http://schemas.microsoft.com/office/2006/metadata/properties" ma:root="true" ma:fieldsID="d4c91b7329815976e323b684a9871a4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i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79FC453E-B557-40F2-B7E0-30F6467BC3CB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B93009A-A725-45BC-8539-F6B1DAFB13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9DFB5C-B1AC-46B1-BDF3-FBDA85110F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989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Jose Luiz Esteves da Fonseca</cp:lastModifiedBy>
  <cp:revision>6</cp:revision>
  <cp:lastPrinted>2009-12-22T12:42:00Z</cp:lastPrinted>
  <dcterms:created xsi:type="dcterms:W3CDTF">2013-10-11T13:20:00Z</dcterms:created>
  <dcterms:modified xsi:type="dcterms:W3CDTF">2013-10-14T18:34:00Z</dcterms:modified>
</cp:coreProperties>
</file>