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7BC" w:rsidRPr="000B37BC" w:rsidRDefault="000B37BC" w:rsidP="000B37BC">
      <w:pPr>
        <w:spacing w:after="240" w:line="270" w:lineRule="atLeast"/>
        <w:textAlignment w:val="baseline"/>
        <w:outlineLvl w:val="3"/>
        <w:rPr>
          <w:rFonts w:ascii="Georgia" w:eastAsia="Times New Roman" w:hAnsi="Georgia" w:cs="Arial"/>
          <w:b/>
          <w:color w:val="335577"/>
          <w:sz w:val="28"/>
          <w:szCs w:val="28"/>
          <w:lang w:eastAsia="pt-BR"/>
        </w:rPr>
      </w:pPr>
      <w:r w:rsidRPr="000B37BC">
        <w:rPr>
          <w:rFonts w:ascii="Georgia" w:eastAsia="Times New Roman" w:hAnsi="Georgia" w:cs="Arial"/>
          <w:b/>
          <w:color w:val="335577"/>
          <w:sz w:val="28"/>
          <w:szCs w:val="28"/>
          <w:lang w:eastAsia="pt-BR"/>
        </w:rPr>
        <w:t>CONTRA A CORRUPÇÃO, COMPLIANCE.</w:t>
      </w:r>
    </w:p>
    <w:p w:rsidR="000B37BC" w:rsidRPr="000B37BC" w:rsidRDefault="000B37BC" w:rsidP="000B37BC">
      <w:pPr>
        <w:spacing w:after="240" w:line="270" w:lineRule="atLeast"/>
        <w:textAlignment w:val="baseline"/>
        <w:outlineLvl w:val="3"/>
        <w:rPr>
          <w:rFonts w:ascii="Georgia" w:eastAsia="Times New Roman" w:hAnsi="Georgia" w:cs="Arial"/>
          <w:color w:val="335577"/>
          <w:sz w:val="28"/>
          <w:szCs w:val="28"/>
          <w:lang w:eastAsia="pt-BR"/>
        </w:rPr>
      </w:pPr>
      <w:r w:rsidRPr="000B37BC">
        <w:rPr>
          <w:rFonts w:ascii="Georgia" w:eastAsia="Times New Roman" w:hAnsi="Georgia" w:cs="Arial"/>
          <w:color w:val="335577"/>
          <w:sz w:val="28"/>
          <w:szCs w:val="28"/>
          <w:lang w:eastAsia="pt-BR"/>
        </w:rPr>
        <w:t xml:space="preserve">Por Roberto </w:t>
      </w:r>
      <w:proofErr w:type="spellStart"/>
      <w:r w:rsidRPr="000B37BC">
        <w:rPr>
          <w:rFonts w:ascii="Georgia" w:eastAsia="Times New Roman" w:hAnsi="Georgia" w:cs="Arial"/>
          <w:color w:val="335577"/>
          <w:sz w:val="28"/>
          <w:szCs w:val="28"/>
          <w:lang w:eastAsia="pt-BR"/>
        </w:rPr>
        <w:t>Abdenur</w:t>
      </w:r>
      <w:proofErr w:type="spellEnd"/>
      <w:r w:rsidRPr="000B37BC">
        <w:rPr>
          <w:rFonts w:ascii="Georgia" w:eastAsia="Times New Roman" w:hAnsi="Georgia" w:cs="Arial"/>
          <w:color w:val="335577"/>
          <w:sz w:val="28"/>
          <w:szCs w:val="28"/>
          <w:lang w:eastAsia="pt-BR"/>
        </w:rPr>
        <w:t>, Presidente Executivo do Instituto Brasilei</w:t>
      </w:r>
      <w:r>
        <w:rPr>
          <w:rFonts w:ascii="Georgia" w:eastAsia="Times New Roman" w:hAnsi="Georgia" w:cs="Arial"/>
          <w:color w:val="335577"/>
          <w:sz w:val="28"/>
          <w:szCs w:val="28"/>
          <w:lang w:eastAsia="pt-BR"/>
        </w:rPr>
        <w:t>ro de Ética Concorrencial (ETCO).</w:t>
      </w:r>
    </w:p>
    <w:p w:rsidR="000B37BC" w:rsidRPr="000B37BC" w:rsidRDefault="000B37BC" w:rsidP="000B37BC">
      <w:pPr>
        <w:spacing w:after="240" w:line="270" w:lineRule="atLeast"/>
        <w:textAlignment w:val="baseline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Benéficas mudanças no ambiente de negócios já começam a aparecer em consequência da Lei Anticorrupção (Lei nº 12.846/2013), antes mesmo de ela ser regulamentada. Aprovada e sancionada em agosto, ainda depende de processo de análise de vetos. A lei, que pela primeira vez no País abre a possibilidade de punição de pessoas jurídicas em caso de corrupção, descortinou um horizonte até então pouco percebido por muitos executivos, que constatam agora a necessidade de criar ou reforçar a área de compliance, até como forma de comprovar uma atuação ética.</w:t>
      </w:r>
    </w:p>
    <w:p w:rsidR="000B37BC" w:rsidRPr="000B37BC" w:rsidRDefault="000B37BC" w:rsidP="000B37BC">
      <w:pPr>
        <w:spacing w:after="240" w:line="270" w:lineRule="atLeast"/>
        <w:textAlignment w:val="baseline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Programas de compliance são conhecidos por empresas de capital aberto, que têm por compromisso atuar com transparência e seguir os parâmetros de governança corporativa.</w:t>
      </w:r>
    </w:p>
    <w:p w:rsidR="000B37BC" w:rsidRPr="000B37BC" w:rsidRDefault="000B37BC" w:rsidP="000B37BC">
      <w:pPr>
        <w:spacing w:after="240" w:line="270" w:lineRule="atLeast"/>
        <w:textAlignment w:val="baseline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A disseminação do conceito de compliance, graças à Lei Anticorrupção, que visa responsabilizar a empresa por atos ilícitos praticados por seus funcionários, certamente vai provocar uma mudança cultural no modus operandi das empresas e organizações, mas não sem apresentar desafios que, sob vários aspectos, são muito brasileiros. Atuar como empresa ética é muito mais do que cumprir as regras: significa erradicar a cultura de tolerância com desvios de conduta de toda sorte. Significa esquecer o significado do famoso jeitinho brasileiro.</w:t>
      </w:r>
    </w:p>
    <w:p w:rsidR="000B37BC" w:rsidRPr="000B37BC" w:rsidRDefault="000B37BC" w:rsidP="000B37BC">
      <w:pPr>
        <w:spacing w:after="240" w:line="270" w:lineRule="atLeast"/>
        <w:textAlignment w:val="baseline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O incentivo às mudanças deve-se, em grande parte, a um dos artigos da lei, que prevê redução de pena a empresas que comprovarem programas de compliance. Isso significa que, se a companhia cria uma estrutura para estimular que todos sigam as leis, ela já está fazendo a sua parte. Presume-se que, dessa forma, haja menos possibilidade de um funcionário ter desvios de conduta e a empresa pode, eventualmente, se eximir de culpa. Sem conformidade, o terreno se torna mais fértil para atitudes não éticas.</w:t>
      </w:r>
    </w:p>
    <w:p w:rsidR="000B37BC" w:rsidRPr="000B37BC" w:rsidRDefault="000B37BC" w:rsidP="000B37BC">
      <w:pPr>
        <w:spacing w:after="240" w:line="270" w:lineRule="atLeast"/>
        <w:textAlignment w:val="baseline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A Lei nº 12.846 também inova ao envolver a atuação de empresas brasileiras no exterior. Nesse sentido, está alinhada a legislações dos Estados Unidos e da Grã-Bretanha, por exemplo. Nos EUA, desde 1977, o </w:t>
      </w:r>
      <w:proofErr w:type="spellStart"/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Foreign</w:t>
      </w:r>
      <w:proofErr w:type="spellEnd"/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</w:t>
      </w:r>
      <w:proofErr w:type="spellStart"/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Corrupt</w:t>
      </w:r>
      <w:proofErr w:type="spellEnd"/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</w:t>
      </w:r>
      <w:proofErr w:type="spellStart"/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Practices</w:t>
      </w:r>
      <w:proofErr w:type="spellEnd"/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</w:t>
      </w:r>
      <w:proofErr w:type="spellStart"/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Act</w:t>
      </w:r>
      <w:proofErr w:type="spellEnd"/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(FCPA) proíbe suborno de funcionários públicos estrangeiros por empresas americanas. Em 2011, a Grã-Bretanha aprovou o </w:t>
      </w:r>
      <w:proofErr w:type="spellStart"/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Bribery</w:t>
      </w:r>
      <w:proofErr w:type="spellEnd"/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 </w:t>
      </w:r>
      <w:proofErr w:type="spellStart"/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Act</w:t>
      </w:r>
      <w:proofErr w:type="spellEnd"/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, a lei de combate à </w:t>
      </w:r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lastRenderedPageBreak/>
        <w:t>corrupção que também prevê punição em casos envolvendo funcionários estrangeiros.</w:t>
      </w:r>
    </w:p>
    <w:p w:rsidR="000B37BC" w:rsidRPr="000B37BC" w:rsidRDefault="000B37BC" w:rsidP="000B37BC">
      <w:pPr>
        <w:spacing w:after="240" w:line="270" w:lineRule="atLeast"/>
        <w:textAlignment w:val="baseline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Com a globalização cada vez mais consolidada, a tendência é de que os governos se preocupem não apenas com a corrupção dentro de casa, mas também portas afora. Em tese, a Lei Anticorrupção pode ser aplicada no recente caso de uma empresa estrangeira que revelou um esquema de corrupção em licitações de serviços públicos no Brasil.</w:t>
      </w:r>
    </w:p>
    <w:p w:rsidR="000B37BC" w:rsidRPr="000B37BC" w:rsidRDefault="000B37BC" w:rsidP="000B37BC">
      <w:pPr>
        <w:spacing w:after="240" w:line="270" w:lineRule="atLeast"/>
        <w:textAlignment w:val="baseline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Resumidamente, pela lei, são atos lesivos à administração pública, nacional ou estrangeira, prometer ou dar vantagem indevida a agente público; financiar ou patrocinar atos ilícitos; fraudar processo licitatório; criar, de modo fraudulento, pessoa jurídica para participar de licitação pública; obter vantagem ou benefício indevido em contratos com a administração pública; manipular ou fraudar o equilíbrio econômico-financeiro dos contratos; ou dificultar investigação ou fiscalização de órgãos ou agentes públicos. Tudo isso para evitar os descaminhos no relacionamento público-privado.</w:t>
      </w:r>
    </w:p>
    <w:p w:rsidR="000B37BC" w:rsidRPr="000B37BC" w:rsidRDefault="000B37BC" w:rsidP="000B37BC">
      <w:pPr>
        <w:spacing w:after="240" w:line="270" w:lineRule="atLeast"/>
        <w:textAlignment w:val="baseline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Demoraram os trâmites da lei. Após três anos no Congresso, foi votada e sancionada no início de agosto, em boa parte por conta da pressão popular decorrente das manifestações de junho.</w:t>
      </w:r>
    </w:p>
    <w:p w:rsidR="000B37BC" w:rsidRPr="000B37BC" w:rsidRDefault="000B37BC" w:rsidP="000B37BC">
      <w:pPr>
        <w:spacing w:after="240" w:line="270" w:lineRule="atLeast"/>
        <w:textAlignment w:val="baseline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Proposto pelo Executivo, o Projeto de Lei 826/2010 se transformou na Lei Ordinária 12.846/2013. Como foi sancionada pela Presidente Dilma Rousseff com alguns vetos, a Câmara constituiu Comissão Mista incumbida de relatar o veto. Integra a comissão o deputado Carlos Zarattini (PT-SP), relator do PL. Para ele, a aprovação da lei é um grande avanço, por prever também que a empresa repare o dano causado.</w:t>
      </w:r>
    </w:p>
    <w:p w:rsidR="000B37BC" w:rsidRPr="000B37BC" w:rsidRDefault="000B37BC" w:rsidP="000B37BC">
      <w:pPr>
        <w:spacing w:after="240" w:line="270" w:lineRule="atLeast"/>
        <w:textAlignment w:val="baseline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Entre as punições previstas estão multas que podem ir de 0,1% a 20% do faturamento da empresa, perda de bens, suspensão de atividades ou até a dissolução da pessoa jurídica em caso de empresas-laranja. As penas podem ser atenuadas se as organizações colaborarem com as investigações ou se já tiverem mecanismos de compliance.</w:t>
      </w:r>
    </w:p>
    <w:p w:rsidR="000B37BC" w:rsidRPr="000B37BC" w:rsidRDefault="000B37BC" w:rsidP="000B37BC">
      <w:pPr>
        <w:spacing w:after="240" w:line="270" w:lineRule="atLeast"/>
        <w:textAlignment w:val="baseline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 xml:space="preserve">Como com os princípios de sustentabilidade, em que grandes empresas adotam modelos internos e passam a exigir o mesmo de fornecedores, apresenta-se hoje uma grande oportunidade de criarmos um círculo virtuoso de compliance. Duas consequências imediatas podem ser vislumbradas com isso: o Brasil vai atrair mais </w:t>
      </w:r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lastRenderedPageBreak/>
        <w:t xml:space="preserve">investimentos externos e a relação entre o setor privado e o setor público será mais </w:t>
      </w:r>
      <w:proofErr w:type="gramStart"/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ética</w:t>
      </w:r>
      <w:proofErr w:type="gramEnd"/>
      <w:r w:rsidRPr="000B37BC">
        <w:rPr>
          <w:rFonts w:ascii="Arial" w:eastAsia="Times New Roman" w:hAnsi="Arial" w:cs="Arial"/>
          <w:color w:val="333333"/>
          <w:sz w:val="28"/>
          <w:szCs w:val="20"/>
          <w:lang w:eastAsia="pt-BR"/>
        </w:rPr>
        <w:t>.</w:t>
      </w:r>
    </w:p>
    <w:p w:rsidR="000B37BC" w:rsidRPr="000B37BC" w:rsidRDefault="000B37BC" w:rsidP="000B37BC">
      <w:pPr>
        <w:numPr>
          <w:ilvl w:val="0"/>
          <w:numId w:val="1"/>
        </w:numPr>
        <w:spacing w:beforeAutospacing="1" w:after="0" w:afterAutospacing="1" w:line="270" w:lineRule="atLeast"/>
        <w:textAlignment w:val="baseline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0B37BC" w:rsidRPr="000B37BC" w:rsidRDefault="000B37BC" w:rsidP="000B37BC">
      <w:pPr>
        <w:numPr>
          <w:ilvl w:val="0"/>
          <w:numId w:val="1"/>
        </w:numPr>
        <w:spacing w:beforeAutospacing="1" w:after="0" w:afterAutospacing="1" w:line="270" w:lineRule="atLeast"/>
        <w:textAlignment w:val="baseline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0B37BC" w:rsidRPr="000B37BC" w:rsidRDefault="000B37BC" w:rsidP="000B37BC">
      <w:pPr>
        <w:numPr>
          <w:ilvl w:val="0"/>
          <w:numId w:val="1"/>
        </w:numPr>
        <w:spacing w:beforeAutospacing="1" w:after="0" w:afterAutospacing="1" w:line="270" w:lineRule="atLeast"/>
        <w:textAlignment w:val="baseline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0B37BC" w:rsidRPr="000B37BC" w:rsidRDefault="000B37BC" w:rsidP="000B37BC">
      <w:pPr>
        <w:numPr>
          <w:ilvl w:val="0"/>
          <w:numId w:val="1"/>
        </w:numPr>
        <w:spacing w:before="100" w:beforeAutospacing="1" w:after="100" w:afterAutospacing="1" w:line="270" w:lineRule="atLeast"/>
        <w:textAlignment w:val="baseline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0B37BC" w:rsidRPr="000B37BC" w:rsidRDefault="000B37BC" w:rsidP="000B37BC">
      <w:pPr>
        <w:pBdr>
          <w:bottom w:val="single" w:sz="6" w:space="7" w:color="CCCCCC"/>
        </w:pBd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i/>
          <w:iCs/>
          <w:color w:val="777777"/>
          <w:sz w:val="28"/>
          <w:lang w:eastAsia="pt-BR"/>
        </w:rPr>
      </w:pPr>
      <w:r w:rsidRPr="000B37BC">
        <w:rPr>
          <w:rFonts w:ascii="Arial" w:eastAsia="Times New Roman" w:hAnsi="Arial" w:cs="Arial"/>
          <w:i/>
          <w:iCs/>
          <w:color w:val="777777"/>
          <w:sz w:val="28"/>
          <w:szCs w:val="17"/>
          <w:bdr w:val="none" w:sz="0" w:space="0" w:color="auto" w:frame="1"/>
          <w:lang w:eastAsia="pt-BR"/>
        </w:rPr>
        <w:t>Publicado em </w:t>
      </w:r>
      <w:hyperlink r:id="rId6" w:history="1">
        <w:r w:rsidRPr="000B37BC">
          <w:rPr>
            <w:rFonts w:ascii="Arial" w:eastAsia="Times New Roman" w:hAnsi="Arial" w:cs="Arial"/>
            <w:color w:val="093754"/>
            <w:sz w:val="28"/>
            <w:szCs w:val="17"/>
            <w:bdr w:val="none" w:sz="0" w:space="0" w:color="auto" w:frame="1"/>
            <w:lang w:eastAsia="pt-BR"/>
          </w:rPr>
          <w:t>ETCO Informa</w:t>
        </w:r>
      </w:hyperlink>
      <w:r w:rsidRPr="000B37BC">
        <w:rPr>
          <w:rFonts w:ascii="Arial" w:eastAsia="Times New Roman" w:hAnsi="Arial" w:cs="Arial"/>
          <w:i/>
          <w:iCs/>
          <w:color w:val="777777"/>
          <w:sz w:val="28"/>
          <w:lang w:eastAsia="pt-BR"/>
        </w:rPr>
        <w:t> </w:t>
      </w:r>
      <w:r w:rsidRPr="000B37BC">
        <w:rPr>
          <w:rFonts w:ascii="Arial" w:eastAsia="Times New Roman" w:hAnsi="Arial" w:cs="Arial"/>
          <w:i/>
          <w:iCs/>
          <w:color w:val="777777"/>
          <w:sz w:val="28"/>
          <w:szCs w:val="17"/>
          <w:bdr w:val="none" w:sz="0" w:space="0" w:color="auto" w:frame="1"/>
          <w:lang w:eastAsia="pt-BR"/>
        </w:rPr>
        <w:t xml:space="preserve">| </w:t>
      </w:r>
      <w:proofErr w:type="spellStart"/>
      <w:r w:rsidRPr="000B37BC">
        <w:rPr>
          <w:rFonts w:ascii="Arial" w:eastAsia="Times New Roman" w:hAnsi="Arial" w:cs="Arial"/>
          <w:i/>
          <w:iCs/>
          <w:color w:val="777777"/>
          <w:sz w:val="28"/>
          <w:szCs w:val="17"/>
          <w:bdr w:val="none" w:sz="0" w:space="0" w:color="auto" w:frame="1"/>
          <w:lang w:eastAsia="pt-BR"/>
        </w:rPr>
        <w:t>Tags</w:t>
      </w:r>
      <w:proofErr w:type="spellEnd"/>
      <w:r w:rsidRPr="000B37BC">
        <w:rPr>
          <w:rFonts w:ascii="Arial" w:eastAsia="Times New Roman" w:hAnsi="Arial" w:cs="Arial"/>
          <w:i/>
          <w:iCs/>
          <w:color w:val="777777"/>
          <w:sz w:val="28"/>
          <w:szCs w:val="17"/>
          <w:bdr w:val="none" w:sz="0" w:space="0" w:color="auto" w:frame="1"/>
          <w:lang w:eastAsia="pt-BR"/>
        </w:rPr>
        <w:t>: </w:t>
      </w:r>
      <w:hyperlink r:id="rId7" w:history="1">
        <w:r w:rsidRPr="000B37BC">
          <w:rPr>
            <w:rFonts w:ascii="Arial" w:eastAsia="Times New Roman" w:hAnsi="Arial" w:cs="Arial"/>
            <w:color w:val="093754"/>
            <w:sz w:val="28"/>
            <w:szCs w:val="17"/>
            <w:bdr w:val="none" w:sz="0" w:space="0" w:color="auto" w:frame="1"/>
            <w:lang w:eastAsia="pt-BR"/>
          </w:rPr>
          <w:t xml:space="preserve">Roberto </w:t>
        </w:r>
        <w:proofErr w:type="spellStart"/>
        <w:r w:rsidRPr="000B37BC">
          <w:rPr>
            <w:rFonts w:ascii="Arial" w:eastAsia="Times New Roman" w:hAnsi="Arial" w:cs="Arial"/>
            <w:color w:val="093754"/>
            <w:sz w:val="28"/>
            <w:szCs w:val="17"/>
            <w:bdr w:val="none" w:sz="0" w:space="0" w:color="auto" w:frame="1"/>
            <w:lang w:eastAsia="pt-BR"/>
          </w:rPr>
          <w:t>Abdenur</w:t>
        </w:r>
        <w:proofErr w:type="spellEnd"/>
      </w:hyperlink>
    </w:p>
    <w:p w:rsidR="00DC16A8" w:rsidRPr="000B37BC" w:rsidRDefault="00DC16A8">
      <w:pPr>
        <w:rPr>
          <w:sz w:val="28"/>
        </w:rPr>
      </w:pPr>
      <w:bookmarkStart w:id="0" w:name="_GoBack"/>
      <w:bookmarkEnd w:id="0"/>
    </w:p>
    <w:sectPr w:rsidR="00DC16A8" w:rsidRPr="000B3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96458"/>
    <w:multiLevelType w:val="multilevel"/>
    <w:tmpl w:val="A7F8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7BC"/>
    <w:rsid w:val="000B37BC"/>
    <w:rsid w:val="00DC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0B37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0B37B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B37BC"/>
    <w:rPr>
      <w:color w:val="0000FF"/>
      <w:u w:val="single"/>
    </w:rPr>
  </w:style>
  <w:style w:type="paragraph" w:customStyle="1" w:styleId="entry-meta">
    <w:name w:val="entry-meta"/>
    <w:basedOn w:val="Normal"/>
    <w:rsid w:val="000B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tegory">
    <w:name w:val="category"/>
    <w:basedOn w:val="Fontepargpadro"/>
    <w:rsid w:val="000B37BC"/>
  </w:style>
  <w:style w:type="character" w:customStyle="1" w:styleId="apple-converted-space">
    <w:name w:val="apple-converted-space"/>
    <w:basedOn w:val="Fontepargpadro"/>
    <w:rsid w:val="000B37BC"/>
  </w:style>
  <w:style w:type="character" w:customStyle="1" w:styleId="posttag">
    <w:name w:val="post_tag"/>
    <w:basedOn w:val="Fontepargpadro"/>
    <w:rsid w:val="000B37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0B37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0B37B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B37BC"/>
    <w:rPr>
      <w:color w:val="0000FF"/>
      <w:u w:val="single"/>
    </w:rPr>
  </w:style>
  <w:style w:type="paragraph" w:customStyle="1" w:styleId="entry-meta">
    <w:name w:val="entry-meta"/>
    <w:basedOn w:val="Normal"/>
    <w:rsid w:val="000B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tegory">
    <w:name w:val="category"/>
    <w:basedOn w:val="Fontepargpadro"/>
    <w:rsid w:val="000B37BC"/>
  </w:style>
  <w:style w:type="character" w:customStyle="1" w:styleId="apple-converted-space">
    <w:name w:val="apple-converted-space"/>
    <w:basedOn w:val="Fontepargpadro"/>
    <w:rsid w:val="000B37BC"/>
  </w:style>
  <w:style w:type="character" w:customStyle="1" w:styleId="posttag">
    <w:name w:val="post_tag"/>
    <w:basedOn w:val="Fontepargpadro"/>
    <w:rsid w:val="000B3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tco.org.br/tag/roberto-abdenu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tco.org.br/category/noticias/etco-inform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747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Cyrela Brazil Realty</Company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aronz</dc:creator>
  <cp:lastModifiedBy>aronz</cp:lastModifiedBy>
  <cp:revision>1</cp:revision>
  <dcterms:created xsi:type="dcterms:W3CDTF">2013-12-20T13:53:00Z</dcterms:created>
  <dcterms:modified xsi:type="dcterms:W3CDTF">2013-12-20T13:58:00Z</dcterms:modified>
</cp:coreProperties>
</file>