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8B7" w:rsidRPr="00490505" w:rsidRDefault="00801F3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2E7DDD" w:rsidRPr="002E7DDD">
        <w:rPr>
          <w:b/>
          <w:color w:val="FF0000"/>
          <w:sz w:val="28"/>
          <w:szCs w:val="28"/>
        </w:rPr>
        <w:t>Comentários Abrainc sobre documento:</w:t>
      </w:r>
      <w:r w:rsidR="003163DE" w:rsidRPr="002E7DDD">
        <w:rPr>
          <w:b/>
          <w:color w:val="FF0000"/>
          <w:sz w:val="28"/>
          <w:szCs w:val="28"/>
        </w:rPr>
        <w:t xml:space="preserve"> </w:t>
      </w:r>
      <w:r w:rsidR="009829E9" w:rsidRPr="002E7DDD">
        <w:rPr>
          <w:b/>
          <w:color w:val="FF0000"/>
          <w:sz w:val="28"/>
          <w:szCs w:val="28"/>
        </w:rPr>
        <w:t xml:space="preserve"> </w:t>
      </w:r>
      <w:r w:rsidR="002E7DDD">
        <w:rPr>
          <w:b/>
          <w:sz w:val="28"/>
          <w:szCs w:val="28"/>
        </w:rPr>
        <w:t>Especificações para empreendimentos do Programa Minha Casa Minha Vida atendendo aos requisitos da NBR 15575 e normas a ela associadas- Documento básico – Análise dos comentários elaborados pela ABRAINC</w:t>
      </w:r>
    </w:p>
    <w:p w:rsidR="006E0842" w:rsidRDefault="006E0842"/>
    <w:p w:rsidR="006E0842" w:rsidRPr="008C38F1" w:rsidRDefault="003A796B">
      <w:pPr>
        <w:rPr>
          <w:b/>
          <w:sz w:val="24"/>
          <w:szCs w:val="24"/>
          <w:u w:val="single"/>
        </w:rPr>
      </w:pPr>
      <w:r w:rsidRPr="008C38F1">
        <w:rPr>
          <w:b/>
          <w:sz w:val="24"/>
          <w:szCs w:val="24"/>
          <w:u w:val="single"/>
        </w:rPr>
        <w:t>Questionamentos</w:t>
      </w:r>
      <w:r w:rsidR="006E0842" w:rsidRPr="008C38F1">
        <w:rPr>
          <w:b/>
          <w:sz w:val="24"/>
          <w:szCs w:val="24"/>
          <w:u w:val="single"/>
        </w:rPr>
        <w:t xml:space="preserve"> Gerais:</w:t>
      </w:r>
    </w:p>
    <w:p w:rsidR="00EC4B8D" w:rsidRDefault="00D63F10" w:rsidP="00EC4B8D">
      <w:pPr>
        <w:pStyle w:val="PargrafodaLista"/>
        <w:numPr>
          <w:ilvl w:val="0"/>
          <w:numId w:val="5"/>
        </w:numPr>
      </w:pPr>
      <w:r>
        <w:t>Os itens</w:t>
      </w:r>
      <w:r w:rsidRPr="00415DB6">
        <w:rPr>
          <w:b/>
        </w:rPr>
        <w:t xml:space="preserve">: </w:t>
      </w:r>
      <w:r w:rsidR="00A21B22" w:rsidRPr="00415DB6">
        <w:rPr>
          <w:b/>
        </w:rPr>
        <w:t>2.2, 2.3</w:t>
      </w:r>
      <w:r w:rsidR="006D3208" w:rsidRPr="00415DB6">
        <w:rPr>
          <w:b/>
        </w:rPr>
        <w:t>, 2.7</w:t>
      </w:r>
      <w:r w:rsidR="008504FE">
        <w:t xml:space="preserve"> (i</w:t>
      </w:r>
      <w:r w:rsidR="006D3208">
        <w:t xml:space="preserve">tem acabamentos- componentes instalações de gás) </w:t>
      </w:r>
      <w:r w:rsidR="006D3208" w:rsidRPr="00415DB6">
        <w:rPr>
          <w:b/>
        </w:rPr>
        <w:t>e 2.8</w:t>
      </w:r>
      <w:r w:rsidR="006D3208">
        <w:t xml:space="preserve"> (</w:t>
      </w:r>
      <w:r w:rsidR="008504FE">
        <w:t>i</w:t>
      </w:r>
      <w:r w:rsidR="007005A0">
        <w:t xml:space="preserve">tem Fachadas- Desempenho Térmico e Segurança no uso e operação; </w:t>
      </w:r>
      <w:r w:rsidR="00415DB6">
        <w:t>Pisos- desempenho acústico</w:t>
      </w:r>
      <w:r w:rsidR="003A2F28">
        <w:t>; Sistemas prediais</w:t>
      </w:r>
      <w:r w:rsidR="00415DB6">
        <w:t>)</w:t>
      </w:r>
      <w:r w:rsidR="009E71C4">
        <w:t xml:space="preserve"> </w:t>
      </w:r>
      <w:r>
        <w:t xml:space="preserve">não foram comentados. </w:t>
      </w:r>
      <w:r w:rsidR="00F612FF">
        <w:t>Entendemos que estes itens foram aceitos.</w:t>
      </w:r>
    </w:p>
    <w:p w:rsidR="00EC4B8D" w:rsidRDefault="00EC4B8D" w:rsidP="00EC4B8D">
      <w:pPr>
        <w:pStyle w:val="PargrafodaLista"/>
        <w:numPr>
          <w:ilvl w:val="0"/>
          <w:numId w:val="5"/>
        </w:numPr>
      </w:pPr>
      <w:r>
        <w:t>Enquanto o Catálogo de Desempenho não estiver finalizado, haverá disponibilização de dados para os demais desempenhos que ainda não foram ensaiados pelas empresas</w:t>
      </w:r>
      <w:r w:rsidR="004B6580">
        <w:t>?</w:t>
      </w:r>
    </w:p>
    <w:p w:rsidR="00B876B5" w:rsidRDefault="007B6EE6" w:rsidP="00BF70CC">
      <w:pPr>
        <w:pStyle w:val="PargrafodaLista"/>
        <w:numPr>
          <w:ilvl w:val="0"/>
          <w:numId w:val="5"/>
        </w:numPr>
      </w:pPr>
      <w:r>
        <w:t>Caso a apresentação de ART/RRT não seja suficiente como comprovação de atendimento à leis e normas, e de fato seja exigida a declaração de conformidade, solicitamos que a lista de normas aplicáveis a cada um dos projetos seja disponibilizada no Guia do Proponente, e também a informação de quais procedimentos devem ser adotados enquanto o guia não for publicado.</w:t>
      </w:r>
    </w:p>
    <w:p w:rsidR="00517329" w:rsidRDefault="00711B99" w:rsidP="0034241B">
      <w:pPr>
        <w:pStyle w:val="PargrafodaLista"/>
        <w:numPr>
          <w:ilvl w:val="0"/>
          <w:numId w:val="5"/>
        </w:numPr>
      </w:pPr>
      <w:r>
        <w:t>O</w:t>
      </w:r>
      <w:r w:rsidR="0034241B" w:rsidRPr="00590473">
        <w:t xml:space="preserve">s itens que não se referem à Norma de Desempenho </w:t>
      </w:r>
      <w:r>
        <w:t>devem estar</w:t>
      </w:r>
      <w:r w:rsidR="0034241B" w:rsidRPr="00590473">
        <w:t xml:space="preserve"> desvinculados e </w:t>
      </w:r>
      <w:r w:rsidR="00957D35">
        <w:t xml:space="preserve">separados no documento básico, além de </w:t>
      </w:r>
      <w:r w:rsidR="0034241B" w:rsidRPr="00590473">
        <w:t>caracterizados (caso isso se confirme) como novos itens de atendimento ao Programa Minh</w:t>
      </w:r>
      <w:r w:rsidR="00CD2E72">
        <w:t xml:space="preserve">a Casa Minha Vida. </w:t>
      </w:r>
      <w:r w:rsidR="001372FE">
        <w:t xml:space="preserve">     </w:t>
      </w:r>
    </w:p>
    <w:p w:rsidR="00EC4B8D" w:rsidRDefault="00EC4B8D"/>
    <w:p w:rsidR="009829E9" w:rsidRPr="008C38F1" w:rsidRDefault="00B876B5">
      <w:pPr>
        <w:rPr>
          <w:b/>
          <w:sz w:val="24"/>
          <w:szCs w:val="24"/>
          <w:u w:val="single"/>
        </w:rPr>
      </w:pPr>
      <w:r w:rsidRPr="008C38F1">
        <w:rPr>
          <w:b/>
          <w:sz w:val="24"/>
          <w:szCs w:val="24"/>
          <w:u w:val="single"/>
        </w:rPr>
        <w:t>Questionamentos Pontuais:</w:t>
      </w:r>
    </w:p>
    <w:p w:rsidR="00517329" w:rsidRPr="00F612FF" w:rsidRDefault="000243B3">
      <w:pPr>
        <w:rPr>
          <w:b/>
          <w:sz w:val="24"/>
          <w:szCs w:val="24"/>
        </w:rPr>
      </w:pPr>
      <w:r w:rsidRPr="00F612FF">
        <w:t xml:space="preserve">1: </w:t>
      </w:r>
      <w:r w:rsidR="00517329" w:rsidRPr="00F612FF">
        <w:rPr>
          <w:b/>
        </w:rPr>
        <w:t>Apresentação:</w:t>
      </w:r>
    </w:p>
    <w:p w:rsidR="00FA310B" w:rsidRPr="00731546" w:rsidRDefault="00FA310B" w:rsidP="00731546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072C40">
        <w:t>Acrescentar no texto</w:t>
      </w:r>
      <w:r>
        <w:t>:</w:t>
      </w:r>
    </w:p>
    <w:p w:rsidR="00731546" w:rsidRPr="00F612FF" w:rsidRDefault="00731546" w:rsidP="00731546">
      <w:pPr>
        <w:pStyle w:val="PargrafodaLista"/>
        <w:rPr>
          <w:rFonts w:asciiTheme="minorHAnsi" w:hAnsiTheme="minorHAnsi"/>
          <w:sz w:val="24"/>
          <w:szCs w:val="24"/>
        </w:rPr>
      </w:pPr>
    </w:p>
    <w:p w:rsidR="00B574FF" w:rsidRPr="00F612FF" w:rsidRDefault="00B574FF" w:rsidP="00B574FF">
      <w:pPr>
        <w:pStyle w:val="Default"/>
        <w:numPr>
          <w:ilvl w:val="0"/>
          <w:numId w:val="17"/>
        </w:numPr>
        <w:rPr>
          <w:rFonts w:asciiTheme="minorHAnsi" w:hAnsiTheme="minorHAnsi"/>
          <w:b/>
          <w:color w:val="44546A" w:themeColor="text2"/>
          <w:sz w:val="22"/>
          <w:szCs w:val="22"/>
        </w:rPr>
      </w:pPr>
      <w:r w:rsidRPr="00F612FF">
        <w:rPr>
          <w:rFonts w:asciiTheme="minorHAnsi" w:hAnsiTheme="minorHAnsi"/>
          <w:color w:val="44546A" w:themeColor="text2"/>
          <w:sz w:val="22"/>
          <w:szCs w:val="22"/>
        </w:rPr>
        <w:t>“No caso de materiais, componentes e sistemas construtivos inovadores poderá ser dispensada do processo de qualificação, a empresa detentora de um Documento de Avaliação Técnica (</w:t>
      </w:r>
      <w:proofErr w:type="spellStart"/>
      <w:r w:rsidRPr="00F612FF">
        <w:rPr>
          <w:rFonts w:asciiTheme="minorHAnsi" w:hAnsiTheme="minorHAnsi"/>
          <w:color w:val="44546A" w:themeColor="text2"/>
          <w:sz w:val="22"/>
          <w:szCs w:val="22"/>
        </w:rPr>
        <w:t>DATec</w:t>
      </w:r>
      <w:proofErr w:type="spellEnd"/>
      <w:r w:rsidRPr="00F612FF">
        <w:rPr>
          <w:rFonts w:asciiTheme="minorHAnsi" w:hAnsiTheme="minorHAnsi"/>
          <w:color w:val="44546A" w:themeColor="text2"/>
          <w:sz w:val="22"/>
          <w:szCs w:val="22"/>
        </w:rPr>
        <w:t>) do Sistema Nacional de Avaliações Técnicas de Produtos Inovadores (SINAT) do PBQP-H relat</w:t>
      </w:r>
      <w:r w:rsidR="00FA310B" w:rsidRPr="00F612FF">
        <w:rPr>
          <w:rFonts w:asciiTheme="minorHAnsi" w:hAnsiTheme="minorHAnsi"/>
          <w:color w:val="44546A" w:themeColor="text2"/>
          <w:sz w:val="22"/>
          <w:szCs w:val="22"/>
        </w:rPr>
        <w:t>i</w:t>
      </w:r>
      <w:r w:rsidR="00906553">
        <w:rPr>
          <w:rFonts w:asciiTheme="minorHAnsi" w:hAnsiTheme="minorHAnsi"/>
          <w:color w:val="44546A" w:themeColor="text2"/>
          <w:sz w:val="22"/>
          <w:szCs w:val="22"/>
        </w:rPr>
        <w:t xml:space="preserve">vo ao produto a ser adquirido </w:t>
      </w:r>
      <w:r w:rsidR="00FA310B" w:rsidRPr="00F612FF">
        <w:rPr>
          <w:rFonts w:asciiTheme="minorHAnsi" w:hAnsiTheme="minorHAnsi"/>
          <w:color w:val="FF0000"/>
          <w:sz w:val="22"/>
          <w:szCs w:val="22"/>
        </w:rPr>
        <w:t xml:space="preserve">ou apresentação de conjunto de ensaios de desempenho conforme requisitos aplicáveis ao sistema ou subsistemas em questão realizados </w:t>
      </w:r>
      <w:r w:rsidR="00C4315B" w:rsidRPr="00F612FF">
        <w:rPr>
          <w:rFonts w:asciiTheme="minorHAnsi" w:hAnsiTheme="minorHAnsi"/>
          <w:color w:val="FF0000"/>
          <w:sz w:val="22"/>
          <w:szCs w:val="22"/>
        </w:rPr>
        <w:t>p</w:t>
      </w:r>
      <w:r w:rsidR="00741099" w:rsidRPr="00F612FF">
        <w:rPr>
          <w:rFonts w:asciiTheme="minorHAnsi" w:hAnsiTheme="minorHAnsi"/>
          <w:color w:val="FF0000"/>
          <w:sz w:val="22"/>
          <w:szCs w:val="22"/>
        </w:rPr>
        <w:t>or ITA</w:t>
      </w:r>
      <w:r w:rsidR="00FA310B" w:rsidRPr="00F612FF">
        <w:rPr>
          <w:rFonts w:asciiTheme="minorHAnsi" w:hAnsiTheme="minorHAnsi"/>
          <w:color w:val="FF0000"/>
          <w:sz w:val="22"/>
          <w:szCs w:val="22"/>
        </w:rPr>
        <w:t xml:space="preserve"> em consonância com os requisitos das 6 partes da NBR 15575”.</w:t>
      </w:r>
    </w:p>
    <w:p w:rsidR="00FA310B" w:rsidRDefault="00FA310B" w:rsidP="00FA310B">
      <w:pPr>
        <w:pStyle w:val="PargrafodaLista"/>
        <w:rPr>
          <w:sz w:val="24"/>
          <w:szCs w:val="24"/>
        </w:rPr>
      </w:pPr>
    </w:p>
    <w:p w:rsidR="00FA310B" w:rsidRPr="00FA310B" w:rsidRDefault="00FA310B" w:rsidP="00FA310B">
      <w:pPr>
        <w:pStyle w:val="PargrafodaLista"/>
        <w:rPr>
          <w:sz w:val="24"/>
          <w:szCs w:val="24"/>
        </w:rPr>
      </w:pPr>
    </w:p>
    <w:p w:rsidR="009829E9" w:rsidRPr="00F612FF" w:rsidRDefault="009829E9" w:rsidP="009829E9">
      <w:r w:rsidRPr="00F612FF">
        <w:rPr>
          <w:rFonts w:ascii="Calibri" w:hAnsi="Calibri"/>
        </w:rPr>
        <w:t xml:space="preserve">2.1: </w:t>
      </w:r>
      <w:r w:rsidR="007E5CFF" w:rsidRPr="00F612FF">
        <w:rPr>
          <w:rFonts w:cs="Arial"/>
          <w:b/>
          <w:bCs/>
        </w:rPr>
        <w:t>Condições de Implantação do empreendimento no terr</w:t>
      </w:r>
      <w:r w:rsidR="001D0920" w:rsidRPr="00F612FF">
        <w:rPr>
          <w:rFonts w:cs="Arial"/>
          <w:b/>
          <w:bCs/>
        </w:rPr>
        <w:t>en</w:t>
      </w:r>
      <w:r w:rsidR="007E5CFF" w:rsidRPr="00F612FF">
        <w:rPr>
          <w:rFonts w:cs="Arial"/>
          <w:b/>
          <w:bCs/>
        </w:rPr>
        <w:t>o a serem consideradas</w:t>
      </w:r>
    </w:p>
    <w:p w:rsidR="00C82FCC" w:rsidRPr="00F612FF" w:rsidRDefault="00C82FCC" w:rsidP="00C82FCC">
      <w:pPr>
        <w:pStyle w:val="Default"/>
        <w:rPr>
          <w:rFonts w:asciiTheme="minorHAnsi" w:hAnsiTheme="minorHAnsi"/>
          <w:sz w:val="22"/>
          <w:szCs w:val="22"/>
        </w:rPr>
      </w:pPr>
    </w:p>
    <w:p w:rsidR="00C82FCC" w:rsidRPr="00F612FF" w:rsidRDefault="00B574FF" w:rsidP="00C82FCC">
      <w:pPr>
        <w:pStyle w:val="Default"/>
        <w:numPr>
          <w:ilvl w:val="0"/>
          <w:numId w:val="16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F612FF">
        <w:rPr>
          <w:rFonts w:asciiTheme="minorHAnsi" w:hAnsiTheme="minorHAnsi"/>
          <w:color w:val="44546A" w:themeColor="text2"/>
          <w:sz w:val="22"/>
          <w:szCs w:val="22"/>
        </w:rPr>
        <w:t>“</w:t>
      </w:r>
      <w:r w:rsidR="00C82FCC" w:rsidRPr="00F612FF">
        <w:rPr>
          <w:rFonts w:asciiTheme="minorHAnsi" w:hAnsiTheme="minorHAnsi"/>
          <w:color w:val="44546A" w:themeColor="text2"/>
          <w:sz w:val="22"/>
          <w:szCs w:val="22"/>
        </w:rPr>
        <w:t xml:space="preserve">Além da documentação exigida pela legislação, o empreendedor deve apresentar a avaliação geotécnica do terreno por meio de relatório de análise das sondagens realizadas de acordo com a ABNT NBR 8036, ABNT NBR 9820, ABNT NBR 6484, e/ou de outros meios de investigação do subsolo. </w:t>
      </w:r>
      <w:r w:rsidR="00C82FCC" w:rsidRPr="00F612FF">
        <w:rPr>
          <w:rFonts w:asciiTheme="minorHAnsi" w:hAnsiTheme="minorHAnsi"/>
          <w:strike/>
          <w:color w:val="44546A" w:themeColor="text2"/>
          <w:sz w:val="22"/>
          <w:szCs w:val="22"/>
        </w:rPr>
        <w:t>Não serão aceitos levantamentos desatualizados, ou seja, como regra geral, realizados há mais de dois anos.</w:t>
      </w:r>
      <w:r w:rsidR="00C82FCC" w:rsidRPr="00F612FF">
        <w:rPr>
          <w:rFonts w:asciiTheme="minorHAnsi" w:hAnsiTheme="minorHAnsi"/>
          <w:color w:val="44546A" w:themeColor="text2"/>
          <w:sz w:val="22"/>
          <w:szCs w:val="22"/>
        </w:rPr>
        <w:t xml:space="preserve"> </w:t>
      </w:r>
      <w:r w:rsidRPr="00F612FF">
        <w:rPr>
          <w:rFonts w:asciiTheme="minorHAnsi" w:hAnsiTheme="minorHAnsi"/>
          <w:color w:val="44546A" w:themeColor="text2"/>
          <w:sz w:val="22"/>
          <w:szCs w:val="22"/>
        </w:rPr>
        <w:t>“</w:t>
      </w:r>
    </w:p>
    <w:p w:rsidR="00C82FCC" w:rsidRDefault="00C82FCC" w:rsidP="00C82FCC">
      <w:pPr>
        <w:pStyle w:val="PargrafodaLista"/>
        <w:autoSpaceDE w:val="0"/>
        <w:autoSpaceDN w:val="0"/>
        <w:adjustRightInd w:val="0"/>
        <w:jc w:val="both"/>
      </w:pPr>
    </w:p>
    <w:p w:rsidR="00CA31B9" w:rsidRDefault="00D74AB0" w:rsidP="00906553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</w:pPr>
      <w:r>
        <w:lastRenderedPageBreak/>
        <w:t>Considerando que já será apresentado o relatório de sondagem, s</w:t>
      </w:r>
      <w:r w:rsidR="00677685" w:rsidRPr="00E660E8">
        <w:t>olicitamos a retirada de prazo do levantamento geotécnico, já que</w:t>
      </w:r>
      <w:r w:rsidR="00906F45" w:rsidRPr="00E660E8">
        <w:t xml:space="preserve"> não há alteração geológica</w:t>
      </w:r>
      <w:r w:rsidR="000219FA" w:rsidRPr="00E660E8">
        <w:t xml:space="preserve"> que justifique tal necessidade</w:t>
      </w:r>
      <w:r>
        <w:t>;</w:t>
      </w:r>
      <w:r w:rsidR="00D225E3" w:rsidRPr="00AC4A80">
        <w:rPr>
          <w:highlight w:val="yellow"/>
        </w:rPr>
        <w:t xml:space="preserve"> </w:t>
      </w:r>
    </w:p>
    <w:p w:rsidR="00981E29" w:rsidRPr="00EA5829" w:rsidRDefault="00981E29" w:rsidP="009829E9">
      <w:pPr>
        <w:rPr>
          <w:rFonts w:ascii="Calibri" w:hAnsi="Calibri"/>
        </w:rPr>
      </w:pPr>
    </w:p>
    <w:p w:rsidR="009829E9" w:rsidRPr="00F612FF" w:rsidRDefault="009829E9" w:rsidP="009829E9">
      <w:pPr>
        <w:rPr>
          <w:rFonts w:cs="Arial"/>
          <w:b/>
          <w:bCs/>
        </w:rPr>
      </w:pPr>
      <w:r w:rsidRPr="00F612FF">
        <w:t xml:space="preserve">2.5: </w:t>
      </w:r>
      <w:r w:rsidR="00224674" w:rsidRPr="00F612FF">
        <w:rPr>
          <w:rFonts w:cs="Arial"/>
          <w:b/>
          <w:bCs/>
        </w:rPr>
        <w:t>Diretrizes gerais para materiais, componentes e sistemas</w:t>
      </w:r>
    </w:p>
    <w:p w:rsidR="005C4852" w:rsidRPr="00F612FF" w:rsidRDefault="005C4852" w:rsidP="009829E9">
      <w:pPr>
        <w:rPr>
          <w:rFonts w:cs="Arial"/>
          <w:b/>
          <w:bCs/>
        </w:rPr>
      </w:pPr>
      <w:r w:rsidRPr="00F612FF">
        <w:rPr>
          <w:rFonts w:cs="Arial"/>
          <w:b/>
          <w:bCs/>
        </w:rPr>
        <w:t>Requisito: Durabilidade</w:t>
      </w:r>
    </w:p>
    <w:p w:rsidR="00FA310B" w:rsidRPr="00F612FF" w:rsidRDefault="00FA310B" w:rsidP="009829E9">
      <w:pPr>
        <w:rPr>
          <w:rFonts w:cs="Arial"/>
          <w:color w:val="44546A" w:themeColor="text2"/>
        </w:rPr>
      </w:pPr>
    </w:p>
    <w:p w:rsidR="00FA310B" w:rsidRPr="00F612FF" w:rsidRDefault="00FA310B" w:rsidP="00D152F6">
      <w:pPr>
        <w:pStyle w:val="Default"/>
        <w:numPr>
          <w:ilvl w:val="0"/>
          <w:numId w:val="16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F612FF">
        <w:rPr>
          <w:rFonts w:asciiTheme="minorHAnsi" w:hAnsiTheme="minorHAnsi"/>
          <w:color w:val="44546A" w:themeColor="text2"/>
          <w:sz w:val="22"/>
          <w:szCs w:val="22"/>
        </w:rPr>
        <w:t xml:space="preserve">Todos os materiais, componentes e sistemas construtivos deverão ser comprovadamente conformes às suas respectivas normas de especificação. Será disponibilizada uma relação com as normas de especificação que devem ser atendidas pelos principais materiais, componentes e sistemas construtivos usados em edificações. </w:t>
      </w:r>
    </w:p>
    <w:p w:rsidR="00FA310B" w:rsidRPr="00F612FF" w:rsidRDefault="00FA310B" w:rsidP="00215417">
      <w:pPr>
        <w:pStyle w:val="Default"/>
        <w:ind w:left="1080"/>
        <w:rPr>
          <w:rFonts w:asciiTheme="minorHAnsi" w:hAnsiTheme="minorHAnsi"/>
          <w:color w:val="44546A" w:themeColor="text2"/>
          <w:sz w:val="22"/>
          <w:szCs w:val="22"/>
        </w:rPr>
      </w:pPr>
      <w:r w:rsidRPr="00F612FF">
        <w:rPr>
          <w:rFonts w:asciiTheme="minorHAnsi" w:hAnsiTheme="minorHAnsi"/>
          <w:color w:val="44546A" w:themeColor="text2"/>
          <w:sz w:val="22"/>
          <w:szCs w:val="22"/>
        </w:rPr>
        <w:t xml:space="preserve">A comprovação da conformidade de materiais </w:t>
      </w:r>
      <w:r w:rsidRPr="00F612FF">
        <w:rPr>
          <w:rFonts w:asciiTheme="minorHAnsi" w:hAnsiTheme="minorHAnsi"/>
          <w:color w:val="FF0000"/>
          <w:sz w:val="22"/>
          <w:szCs w:val="22"/>
        </w:rPr>
        <w:t xml:space="preserve">e </w:t>
      </w:r>
      <w:r w:rsidRPr="00F612FF">
        <w:rPr>
          <w:rFonts w:asciiTheme="minorHAnsi" w:hAnsiTheme="minorHAnsi"/>
          <w:color w:val="44546A" w:themeColor="text2"/>
          <w:sz w:val="22"/>
          <w:szCs w:val="22"/>
        </w:rPr>
        <w:t xml:space="preserve">, componentes </w:t>
      </w:r>
      <w:r w:rsidRPr="00F612FF">
        <w:rPr>
          <w:rFonts w:asciiTheme="minorHAnsi" w:hAnsiTheme="minorHAnsi"/>
          <w:strike/>
          <w:color w:val="44546A" w:themeColor="text2"/>
          <w:sz w:val="22"/>
          <w:szCs w:val="22"/>
        </w:rPr>
        <w:t>e sistemas</w:t>
      </w:r>
      <w:r w:rsidRPr="00F612FF">
        <w:rPr>
          <w:rFonts w:asciiTheme="minorHAnsi" w:hAnsiTheme="minorHAnsi"/>
          <w:color w:val="44546A" w:themeColor="text2"/>
          <w:sz w:val="22"/>
          <w:szCs w:val="22"/>
        </w:rPr>
        <w:t xml:space="preserve"> às respectivas normas de especificação será mediante: </w:t>
      </w:r>
    </w:p>
    <w:p w:rsidR="00FA310B" w:rsidRPr="00F612FF" w:rsidRDefault="00FA310B" w:rsidP="00215417">
      <w:pPr>
        <w:pStyle w:val="Default"/>
        <w:ind w:left="1080"/>
        <w:rPr>
          <w:rFonts w:asciiTheme="minorHAnsi" w:hAnsiTheme="minorHAnsi"/>
          <w:color w:val="44546A" w:themeColor="text2"/>
          <w:sz w:val="22"/>
          <w:szCs w:val="22"/>
        </w:rPr>
      </w:pPr>
      <w:r w:rsidRPr="00F612FF">
        <w:rPr>
          <w:rFonts w:asciiTheme="minorHAnsi" w:hAnsiTheme="minorHAnsi"/>
          <w:color w:val="44546A" w:themeColor="text2"/>
          <w:sz w:val="22"/>
          <w:szCs w:val="22"/>
        </w:rPr>
        <w:t xml:space="preserve">a) comprovação da participação do fornecedor no PSQ/PBQP-H de sua área </w:t>
      </w:r>
      <w:r w:rsidRPr="00F612FF">
        <w:rPr>
          <w:rFonts w:asciiTheme="minorHAnsi" w:hAnsiTheme="minorHAnsi"/>
          <w:color w:val="FF0000"/>
          <w:sz w:val="22"/>
          <w:szCs w:val="22"/>
        </w:rPr>
        <w:t>ou</w:t>
      </w:r>
      <w:r w:rsidRPr="00F612FF">
        <w:rPr>
          <w:rFonts w:asciiTheme="minorHAnsi" w:hAnsiTheme="minorHAnsi"/>
          <w:color w:val="44546A" w:themeColor="text2"/>
          <w:sz w:val="22"/>
          <w:szCs w:val="22"/>
        </w:rPr>
        <w:t xml:space="preserve">; </w:t>
      </w:r>
    </w:p>
    <w:p w:rsidR="004C4F56" w:rsidRPr="00F612FF" w:rsidRDefault="00FA310B" w:rsidP="004C4F56">
      <w:pPr>
        <w:pStyle w:val="Default"/>
        <w:ind w:left="1080"/>
        <w:rPr>
          <w:rFonts w:asciiTheme="minorHAnsi" w:hAnsiTheme="minorHAnsi"/>
          <w:color w:val="FF0000"/>
          <w:sz w:val="22"/>
          <w:szCs w:val="22"/>
        </w:rPr>
      </w:pPr>
      <w:r w:rsidRPr="00F612FF">
        <w:rPr>
          <w:rFonts w:asciiTheme="minorHAnsi" w:hAnsiTheme="minorHAnsi"/>
          <w:color w:val="44546A" w:themeColor="text2"/>
          <w:sz w:val="22"/>
          <w:szCs w:val="22"/>
        </w:rPr>
        <w:t>b) comprovação de certificação de produto realizada por organismo certificador acreditado no Inmetro</w:t>
      </w:r>
      <w:r w:rsidR="00CA06A8" w:rsidRPr="00F612FF">
        <w:rPr>
          <w:rFonts w:asciiTheme="minorHAnsi" w:hAnsiTheme="minorHAnsi"/>
          <w:color w:val="44546A" w:themeColor="text2"/>
          <w:sz w:val="22"/>
          <w:szCs w:val="22"/>
        </w:rPr>
        <w:t xml:space="preserve"> </w:t>
      </w:r>
      <w:r w:rsidR="00CA06A8" w:rsidRPr="00F612FF">
        <w:rPr>
          <w:rFonts w:asciiTheme="minorHAnsi" w:hAnsiTheme="minorHAnsi"/>
          <w:color w:val="FF0000"/>
          <w:sz w:val="22"/>
          <w:szCs w:val="22"/>
        </w:rPr>
        <w:t>ou</w:t>
      </w:r>
      <w:r w:rsidR="00CA06A8" w:rsidRPr="00F612FF">
        <w:rPr>
          <w:rFonts w:asciiTheme="minorHAnsi" w:hAnsiTheme="minorHAnsi"/>
          <w:color w:val="44546A" w:themeColor="text2"/>
          <w:sz w:val="22"/>
          <w:szCs w:val="22"/>
        </w:rPr>
        <w:t>;</w:t>
      </w:r>
    </w:p>
    <w:p w:rsidR="00FA310B" w:rsidRPr="00F612FF" w:rsidRDefault="00CA06A8" w:rsidP="00215417">
      <w:pPr>
        <w:pStyle w:val="Default"/>
        <w:ind w:left="1080"/>
        <w:rPr>
          <w:rFonts w:asciiTheme="minorHAnsi" w:hAnsiTheme="minorHAnsi"/>
          <w:color w:val="FF0000"/>
          <w:sz w:val="22"/>
          <w:szCs w:val="22"/>
        </w:rPr>
      </w:pPr>
      <w:r w:rsidRPr="00F612FF">
        <w:rPr>
          <w:rFonts w:asciiTheme="minorHAnsi" w:hAnsiTheme="minorHAnsi"/>
          <w:color w:val="FF0000"/>
          <w:sz w:val="22"/>
          <w:szCs w:val="22"/>
        </w:rPr>
        <w:t xml:space="preserve">c) </w:t>
      </w:r>
      <w:r w:rsidR="00FA310B" w:rsidRPr="00F612FF">
        <w:rPr>
          <w:rFonts w:asciiTheme="minorHAnsi" w:hAnsiTheme="minorHAnsi"/>
          <w:color w:val="FF0000"/>
          <w:sz w:val="22"/>
          <w:szCs w:val="22"/>
        </w:rPr>
        <w:t xml:space="preserve"> comprovação da conformida</w:t>
      </w:r>
      <w:r w:rsidR="00265614" w:rsidRPr="00F612FF">
        <w:rPr>
          <w:rFonts w:asciiTheme="minorHAnsi" w:hAnsiTheme="minorHAnsi"/>
          <w:color w:val="FF0000"/>
          <w:sz w:val="22"/>
          <w:szCs w:val="22"/>
        </w:rPr>
        <w:t xml:space="preserve">de dos sistemas, </w:t>
      </w:r>
      <w:r w:rsidR="00FA310B" w:rsidRPr="00F612FF">
        <w:rPr>
          <w:rFonts w:asciiTheme="minorHAnsi" w:hAnsiTheme="minorHAnsi"/>
          <w:color w:val="FF0000"/>
          <w:sz w:val="22"/>
          <w:szCs w:val="22"/>
        </w:rPr>
        <w:t xml:space="preserve">evidenciada mediante aos ensaios específicos que foram acrescidos em atendimento à NBR 15575. </w:t>
      </w:r>
    </w:p>
    <w:p w:rsidR="009829E9" w:rsidRPr="00F612FF" w:rsidRDefault="009829E9" w:rsidP="009829E9"/>
    <w:p w:rsidR="009829E9" w:rsidRPr="00F612FF" w:rsidRDefault="009829E9" w:rsidP="009829E9">
      <w:pPr>
        <w:rPr>
          <w:rFonts w:cs="Arial"/>
          <w:b/>
          <w:bCs/>
        </w:rPr>
      </w:pPr>
      <w:r w:rsidRPr="00F612FF">
        <w:t>2.6:</w:t>
      </w:r>
      <w:r w:rsidR="005C4852" w:rsidRPr="00F612FF">
        <w:t xml:space="preserve"> </w:t>
      </w:r>
      <w:r w:rsidR="001B40B3" w:rsidRPr="00F612FF">
        <w:rPr>
          <w:rFonts w:cs="Arial"/>
          <w:b/>
          <w:bCs/>
        </w:rPr>
        <w:t>Diretrizes gerai</w:t>
      </w:r>
      <w:r w:rsidR="005C4852" w:rsidRPr="00F612FF">
        <w:rPr>
          <w:rFonts w:cs="Arial"/>
          <w:b/>
          <w:bCs/>
        </w:rPr>
        <w:t>s de projeto</w:t>
      </w:r>
    </w:p>
    <w:p w:rsidR="009829E9" w:rsidRPr="00F612FF" w:rsidRDefault="009829E9" w:rsidP="009829E9">
      <w:pPr>
        <w:rPr>
          <w:rFonts w:cs="Arial"/>
          <w:b/>
          <w:bCs/>
        </w:rPr>
      </w:pPr>
      <w:r w:rsidRPr="00F612FF">
        <w:rPr>
          <w:rFonts w:cs="Arial"/>
          <w:b/>
          <w:bCs/>
        </w:rPr>
        <w:t>Segurança no uso e operação</w:t>
      </w:r>
    </w:p>
    <w:p w:rsidR="00BF54A0" w:rsidRPr="00F612FF" w:rsidRDefault="00BF54A0" w:rsidP="00BF54A0">
      <w:pPr>
        <w:pStyle w:val="Default"/>
        <w:numPr>
          <w:ilvl w:val="0"/>
          <w:numId w:val="16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F612FF">
        <w:rPr>
          <w:rFonts w:asciiTheme="minorHAnsi" w:hAnsiTheme="minorHAnsi"/>
          <w:color w:val="44546A" w:themeColor="text2"/>
          <w:sz w:val="22"/>
          <w:szCs w:val="22"/>
        </w:rPr>
        <w:t>Durante a elaboração dos projetos do empreendimento devem ser identificados os potenciais riscos aos usuários e adotadas medidas para minimizar estes riscos, de acordo com as premissas de projeto da NBR 15575 Parte 1 (</w:t>
      </w:r>
      <w:proofErr w:type="spellStart"/>
      <w:r w:rsidRPr="00F612FF">
        <w:rPr>
          <w:rFonts w:asciiTheme="minorHAnsi" w:hAnsiTheme="minorHAnsi"/>
          <w:color w:val="44546A" w:themeColor="text2"/>
          <w:sz w:val="22"/>
          <w:szCs w:val="22"/>
        </w:rPr>
        <w:t>ítem</w:t>
      </w:r>
      <w:proofErr w:type="spellEnd"/>
      <w:r w:rsidRPr="00F612FF">
        <w:rPr>
          <w:rFonts w:asciiTheme="minorHAnsi" w:hAnsiTheme="minorHAnsi"/>
          <w:color w:val="44546A" w:themeColor="text2"/>
          <w:sz w:val="22"/>
          <w:szCs w:val="22"/>
        </w:rPr>
        <w:t xml:space="preserve"> 9.2). Ex. Proteção contra queda em partes elevadas, etc. </w:t>
      </w:r>
    </w:p>
    <w:p w:rsidR="00BF54A0" w:rsidRPr="00F612FF" w:rsidRDefault="00BF54A0" w:rsidP="00042AAC">
      <w:pPr>
        <w:ind w:left="1068"/>
        <w:rPr>
          <w:rFonts w:cs="Arial"/>
          <w:color w:val="44546A" w:themeColor="text2"/>
          <w:highlight w:val="yellow"/>
        </w:rPr>
      </w:pPr>
      <w:r w:rsidRPr="00F612FF">
        <w:rPr>
          <w:rFonts w:cs="Arial"/>
          <w:strike/>
          <w:color w:val="44546A" w:themeColor="text2"/>
        </w:rPr>
        <w:t xml:space="preserve">O memorial descritivo do projeto de Arquitetura deve apresentar todos os riscos identificados e medidas adotadas para sua redução. </w:t>
      </w:r>
    </w:p>
    <w:p w:rsidR="009829E9" w:rsidRPr="00F612FF" w:rsidRDefault="007B7FD5" w:rsidP="00BF54A0">
      <w:pPr>
        <w:pStyle w:val="PargrafodaLista"/>
        <w:numPr>
          <w:ilvl w:val="0"/>
          <w:numId w:val="3"/>
        </w:numPr>
        <w:rPr>
          <w:rFonts w:asciiTheme="minorHAnsi" w:hAnsiTheme="minorHAnsi"/>
        </w:rPr>
      </w:pPr>
      <w:r w:rsidRPr="00F612FF">
        <w:rPr>
          <w:rFonts w:asciiTheme="minorHAnsi" w:hAnsiTheme="minorHAnsi"/>
        </w:rPr>
        <w:t>I</w:t>
      </w:r>
      <w:r w:rsidR="009829E9" w:rsidRPr="00F612FF">
        <w:rPr>
          <w:rFonts w:asciiTheme="minorHAnsi" w:hAnsiTheme="minorHAnsi"/>
        </w:rPr>
        <w:t>nviável o levantame</w:t>
      </w:r>
      <w:r w:rsidRPr="00F612FF">
        <w:rPr>
          <w:rFonts w:asciiTheme="minorHAnsi" w:hAnsiTheme="minorHAnsi"/>
        </w:rPr>
        <w:t>nto de</w:t>
      </w:r>
      <w:r w:rsidR="003E543B" w:rsidRPr="00F612FF">
        <w:rPr>
          <w:rFonts w:asciiTheme="minorHAnsi" w:hAnsiTheme="minorHAnsi"/>
        </w:rPr>
        <w:t xml:space="preserve"> todos os</w:t>
      </w:r>
      <w:r w:rsidRPr="00F612FF">
        <w:rPr>
          <w:rFonts w:asciiTheme="minorHAnsi" w:hAnsiTheme="minorHAnsi"/>
        </w:rPr>
        <w:t xml:space="preserve"> riscos do empreendimento</w:t>
      </w:r>
      <w:r w:rsidR="0034678D" w:rsidRPr="00F612FF">
        <w:rPr>
          <w:rFonts w:asciiTheme="minorHAnsi" w:hAnsiTheme="minorHAnsi"/>
        </w:rPr>
        <w:t xml:space="preserve">. </w:t>
      </w:r>
      <w:r w:rsidR="00415E1C" w:rsidRPr="00F612FF">
        <w:rPr>
          <w:rFonts w:asciiTheme="minorHAnsi" w:hAnsiTheme="minorHAnsi"/>
        </w:rPr>
        <w:t>Sugerimos a criação de</w:t>
      </w:r>
      <w:r w:rsidR="009829E9" w:rsidRPr="00F612FF">
        <w:rPr>
          <w:rFonts w:asciiTheme="minorHAnsi" w:hAnsiTheme="minorHAnsi"/>
        </w:rPr>
        <w:t xml:space="preserve"> uma lista padrão no Guia do Proponente para que a incorporadora/projetista apenas preencha como está atendendo os respectivos itens.  </w:t>
      </w:r>
    </w:p>
    <w:p w:rsidR="00042AAC" w:rsidRPr="00F612FF" w:rsidRDefault="00042AAC" w:rsidP="00042AAC"/>
    <w:p w:rsidR="00042AAC" w:rsidRPr="00F612FF" w:rsidRDefault="00042AAC" w:rsidP="00042AAC">
      <w:pPr>
        <w:pStyle w:val="PargrafodaLista"/>
        <w:numPr>
          <w:ilvl w:val="0"/>
          <w:numId w:val="16"/>
        </w:numPr>
        <w:rPr>
          <w:rFonts w:asciiTheme="minorHAnsi" w:hAnsiTheme="minorHAnsi" w:cs="Arial"/>
        </w:rPr>
      </w:pPr>
      <w:r w:rsidRPr="00F612FF">
        <w:rPr>
          <w:rFonts w:asciiTheme="minorHAnsi" w:hAnsiTheme="minorHAnsi" w:cs="Arial"/>
          <w:color w:val="44546A" w:themeColor="text2"/>
        </w:rPr>
        <w:t xml:space="preserve">Em relação à segurança das instalações elétricas e de gás, os seguintes cuidados adicionais deverão ser considerados nos projetos </w:t>
      </w:r>
      <w:r w:rsidRPr="00F612FF">
        <w:rPr>
          <w:rFonts w:asciiTheme="minorHAnsi" w:hAnsiTheme="minorHAnsi" w:cs="Arial"/>
          <w:color w:val="FF0000"/>
        </w:rPr>
        <w:t>ou manual de uso, operação e manutenção,</w:t>
      </w:r>
      <w:r w:rsidRPr="00F612FF">
        <w:rPr>
          <w:rFonts w:asciiTheme="minorHAnsi" w:hAnsiTheme="minorHAnsi" w:cs="Arial"/>
          <w:color w:val="44546A" w:themeColor="text2"/>
        </w:rPr>
        <w:t xml:space="preserve"> para promover a redução de riscos aos usuários:</w:t>
      </w:r>
    </w:p>
    <w:p w:rsidR="00042AAC" w:rsidRPr="00F612FF" w:rsidRDefault="00042AAC" w:rsidP="00042AAC">
      <w:pPr>
        <w:pStyle w:val="PargrafodaLista"/>
        <w:ind w:left="1080"/>
        <w:rPr>
          <w:rFonts w:asciiTheme="minorHAnsi" w:hAnsiTheme="minorHAnsi" w:cs="Arial"/>
        </w:rPr>
      </w:pPr>
    </w:p>
    <w:p w:rsidR="00042AAC" w:rsidRPr="00F612FF" w:rsidRDefault="00F237F3" w:rsidP="00042AAC">
      <w:pPr>
        <w:pStyle w:val="PargrafodaLista"/>
        <w:numPr>
          <w:ilvl w:val="0"/>
          <w:numId w:val="3"/>
        </w:numPr>
        <w:rPr>
          <w:rFonts w:asciiTheme="minorHAnsi" w:hAnsiTheme="minorHAnsi" w:cs="Arial"/>
        </w:rPr>
      </w:pPr>
      <w:r w:rsidRPr="00F612FF">
        <w:rPr>
          <w:rFonts w:asciiTheme="minorHAnsi" w:hAnsiTheme="minorHAnsi"/>
        </w:rPr>
        <w:t>Considerando que os projetos já devem atender às normas, sugerimos que as informações solicitadas relativas à</w:t>
      </w:r>
      <w:r w:rsidR="00845CF6" w:rsidRPr="00F612FF">
        <w:rPr>
          <w:rFonts w:asciiTheme="minorHAnsi" w:hAnsiTheme="minorHAnsi"/>
        </w:rPr>
        <w:t>s</w:t>
      </w:r>
      <w:r w:rsidRPr="00F612FF">
        <w:rPr>
          <w:rFonts w:asciiTheme="minorHAnsi" w:hAnsiTheme="minorHAnsi"/>
        </w:rPr>
        <w:t xml:space="preserve"> orientações de segurança das instalações de gás, hidráulicas e elétricas sejam explicitadas no manual de uso, operação e manutenção.</w:t>
      </w:r>
    </w:p>
    <w:p w:rsidR="00FE3119" w:rsidRDefault="00FE3119" w:rsidP="00FE3119">
      <w:pPr>
        <w:rPr>
          <w:rFonts w:cs="Arial"/>
          <w:highlight w:val="yellow"/>
        </w:rPr>
      </w:pPr>
    </w:p>
    <w:p w:rsidR="00297422" w:rsidRDefault="00297422" w:rsidP="00FE3119">
      <w:pPr>
        <w:rPr>
          <w:rFonts w:cs="Arial"/>
          <w:highlight w:val="yellow"/>
        </w:rPr>
      </w:pPr>
    </w:p>
    <w:p w:rsidR="00297422" w:rsidRDefault="00297422" w:rsidP="00FE3119">
      <w:pPr>
        <w:rPr>
          <w:rFonts w:cs="Arial"/>
          <w:highlight w:val="yellow"/>
        </w:rPr>
      </w:pPr>
    </w:p>
    <w:p w:rsidR="00297422" w:rsidRPr="00F612FF" w:rsidRDefault="00297422" w:rsidP="00FE3119">
      <w:pPr>
        <w:rPr>
          <w:rFonts w:cs="Arial"/>
          <w:highlight w:val="yellow"/>
        </w:rPr>
      </w:pPr>
    </w:p>
    <w:p w:rsidR="00E36F32" w:rsidRPr="00F612FF" w:rsidRDefault="009829E9" w:rsidP="00D13135">
      <w:pPr>
        <w:rPr>
          <w:b/>
          <w:bCs/>
        </w:rPr>
      </w:pPr>
      <w:r w:rsidRPr="00F612FF">
        <w:rPr>
          <w:b/>
          <w:bCs/>
        </w:rPr>
        <w:lastRenderedPageBreak/>
        <w:t>Estanqueidade</w:t>
      </w:r>
    </w:p>
    <w:p w:rsidR="00D13135" w:rsidRPr="00F612FF" w:rsidRDefault="00D13135" w:rsidP="00D13135">
      <w:pPr>
        <w:rPr>
          <w:b/>
          <w:bCs/>
        </w:rPr>
      </w:pPr>
    </w:p>
    <w:p w:rsidR="005E23B0" w:rsidRPr="00F612FF" w:rsidRDefault="002D0765" w:rsidP="002D0765">
      <w:pPr>
        <w:pStyle w:val="PargrafodaLista"/>
        <w:numPr>
          <w:ilvl w:val="0"/>
          <w:numId w:val="16"/>
        </w:numPr>
        <w:rPr>
          <w:rFonts w:asciiTheme="minorHAnsi" w:hAnsiTheme="minorHAnsi" w:cs="Arial"/>
          <w:color w:val="44546A" w:themeColor="text2"/>
        </w:rPr>
      </w:pPr>
      <w:r w:rsidRPr="00F612FF">
        <w:rPr>
          <w:rFonts w:asciiTheme="minorHAnsi" w:hAnsiTheme="minorHAnsi" w:cs="Arial"/>
          <w:color w:val="44546A" w:themeColor="text2"/>
        </w:rPr>
        <w:t xml:space="preserve">As fachadas, as fundações, os pisos de subsolos, pavimentos térreos e entrepisos (quando for o caso), e também as paredes internas de áreas molhadas e as coberturas devem ter projetos </w:t>
      </w:r>
      <w:r w:rsidRPr="00F612FF">
        <w:rPr>
          <w:rFonts w:asciiTheme="minorHAnsi" w:hAnsiTheme="minorHAnsi" w:cs="Arial"/>
          <w:color w:val="FF0000"/>
        </w:rPr>
        <w:t>ou procedimentos de execução</w:t>
      </w:r>
      <w:r w:rsidRPr="00F612FF">
        <w:rPr>
          <w:rFonts w:asciiTheme="minorHAnsi" w:hAnsiTheme="minorHAnsi" w:cs="Arial"/>
          <w:color w:val="44546A" w:themeColor="text2"/>
        </w:rPr>
        <w:t xml:space="preserve"> detalhados para evitar a passagem de água nas interfaces entre elementos construtivos, a percolação de água e umidade do solo para paredes e pisos.</w:t>
      </w:r>
    </w:p>
    <w:p w:rsidR="002D0765" w:rsidRPr="00F612FF" w:rsidRDefault="002D0765" w:rsidP="002D0765">
      <w:pPr>
        <w:pStyle w:val="PargrafodaLista"/>
        <w:ind w:left="1080"/>
        <w:rPr>
          <w:rFonts w:asciiTheme="minorHAnsi" w:hAnsiTheme="minorHAnsi" w:cs="Arial"/>
          <w:color w:val="44546A" w:themeColor="text2"/>
        </w:rPr>
      </w:pPr>
    </w:p>
    <w:p w:rsidR="00506BA9" w:rsidRPr="00F612FF" w:rsidRDefault="00506BA9" w:rsidP="009829E9">
      <w:pPr>
        <w:pStyle w:val="PargrafodaLista"/>
        <w:numPr>
          <w:ilvl w:val="0"/>
          <w:numId w:val="3"/>
        </w:numPr>
        <w:rPr>
          <w:rFonts w:asciiTheme="minorHAnsi" w:hAnsiTheme="minorHAnsi"/>
        </w:rPr>
      </w:pPr>
      <w:r w:rsidRPr="00F612FF">
        <w:rPr>
          <w:rFonts w:asciiTheme="minorHAnsi" w:hAnsiTheme="minorHAnsi"/>
        </w:rPr>
        <w:t xml:space="preserve">Procedimentos de execução: esclarecer no </w:t>
      </w:r>
      <w:r w:rsidR="008327CD" w:rsidRPr="00F612FF">
        <w:rPr>
          <w:rFonts w:asciiTheme="minorHAnsi" w:hAnsiTheme="minorHAnsi"/>
        </w:rPr>
        <w:t>documento básico,</w:t>
      </w:r>
      <w:r w:rsidRPr="00F612FF">
        <w:rPr>
          <w:rFonts w:asciiTheme="minorHAnsi" w:hAnsiTheme="minorHAnsi"/>
        </w:rPr>
        <w:t xml:space="preserve"> que os procedimentos de execução poderão ser aceitos, desde que </w:t>
      </w:r>
      <w:r w:rsidR="006B1285" w:rsidRPr="00F612FF">
        <w:rPr>
          <w:rFonts w:asciiTheme="minorHAnsi" w:hAnsiTheme="minorHAnsi"/>
        </w:rPr>
        <w:t>apresentem todas as tipologias, local de aplic</w:t>
      </w:r>
      <w:r w:rsidR="00F53A68" w:rsidRPr="00F612FF">
        <w:rPr>
          <w:rFonts w:asciiTheme="minorHAnsi" w:hAnsiTheme="minorHAnsi"/>
        </w:rPr>
        <w:t>ação e especificação do sistema utilizado.</w:t>
      </w:r>
    </w:p>
    <w:p w:rsidR="00731546" w:rsidRPr="00F612FF" w:rsidRDefault="00731546" w:rsidP="00731546">
      <w:pPr>
        <w:pStyle w:val="PargrafodaLista"/>
        <w:rPr>
          <w:rFonts w:asciiTheme="minorHAnsi" w:hAnsiTheme="minorHAnsi"/>
        </w:rPr>
      </w:pPr>
    </w:p>
    <w:p w:rsidR="009829E9" w:rsidRPr="00F612FF" w:rsidRDefault="000D3734" w:rsidP="009829E9">
      <w:r w:rsidRPr="00F612FF">
        <w:t xml:space="preserve"> </w:t>
      </w:r>
    </w:p>
    <w:p w:rsidR="009829E9" w:rsidRPr="00F612FF" w:rsidRDefault="009829E9" w:rsidP="009829E9">
      <w:pPr>
        <w:rPr>
          <w:rFonts w:cs="Arial"/>
          <w:b/>
          <w:bCs/>
        </w:rPr>
      </w:pPr>
      <w:r w:rsidRPr="00F612FF">
        <w:t>2.8:</w:t>
      </w:r>
      <w:r w:rsidR="00CA42E9" w:rsidRPr="00F612FF">
        <w:t xml:space="preserve"> </w:t>
      </w:r>
      <w:r w:rsidR="00CA42E9" w:rsidRPr="00F612FF">
        <w:rPr>
          <w:rFonts w:cs="Arial"/>
          <w:b/>
          <w:bCs/>
        </w:rPr>
        <w:t>Características dos sistemas e componentes construtivos</w:t>
      </w:r>
    </w:p>
    <w:p w:rsidR="004D3276" w:rsidRPr="00F612FF" w:rsidRDefault="004D3276" w:rsidP="009829E9">
      <w:pPr>
        <w:rPr>
          <w:b/>
          <w:bCs/>
        </w:rPr>
      </w:pPr>
      <w:r w:rsidRPr="00F612FF">
        <w:rPr>
          <w:b/>
          <w:bCs/>
        </w:rPr>
        <w:t>Estruturas- Segurança contra incêndio</w:t>
      </w:r>
    </w:p>
    <w:p w:rsidR="004D3276" w:rsidRPr="00F612FF" w:rsidRDefault="004D3276" w:rsidP="004D3276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F612FF">
        <w:rPr>
          <w:rFonts w:asciiTheme="minorHAnsi" w:hAnsiTheme="minorHAnsi"/>
        </w:rPr>
        <w:t>Na análise do último comentário enviado foi citado que será elaborado o documento: “Diretriz para a verificação de projetos de alvenaria estrutural em situação de incêndio”. Aguardamos o recebimento do mesmo.</w:t>
      </w:r>
    </w:p>
    <w:p w:rsidR="00877B0B" w:rsidRPr="00F612FF" w:rsidRDefault="00877B0B" w:rsidP="009829E9">
      <w:pPr>
        <w:rPr>
          <w:b/>
          <w:bCs/>
        </w:rPr>
      </w:pPr>
    </w:p>
    <w:p w:rsidR="009829E9" w:rsidRPr="00F612FF" w:rsidRDefault="009829E9" w:rsidP="009829E9">
      <w:pPr>
        <w:rPr>
          <w:b/>
          <w:bCs/>
        </w:rPr>
      </w:pPr>
      <w:r w:rsidRPr="00F612FF">
        <w:rPr>
          <w:b/>
          <w:bCs/>
        </w:rPr>
        <w:t>Pisos – estanqueidade</w:t>
      </w:r>
    </w:p>
    <w:p w:rsidR="00C505EF" w:rsidRPr="00F612FF" w:rsidRDefault="00C505EF" w:rsidP="009829E9">
      <w:pPr>
        <w:rPr>
          <w:b/>
          <w:bCs/>
        </w:rPr>
      </w:pPr>
    </w:p>
    <w:p w:rsidR="00C505EF" w:rsidRPr="00F612FF" w:rsidRDefault="00C505EF" w:rsidP="00C505EF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="Arial"/>
          <w:color w:val="44546A" w:themeColor="text2"/>
        </w:rPr>
      </w:pPr>
      <w:r w:rsidRPr="00F612FF">
        <w:rPr>
          <w:rFonts w:asciiTheme="minorHAnsi" w:hAnsiTheme="minorHAnsi" w:cs="Arial"/>
          <w:color w:val="44546A" w:themeColor="text2"/>
        </w:rPr>
        <w:t>Deverão ser estanques os pisos de áreas molhadas segundo a definição da NBR 15575 - Parte 3 (pisos de b</w:t>
      </w:r>
      <w:r w:rsidR="00297422">
        <w:rPr>
          <w:rFonts w:asciiTheme="minorHAnsi" w:hAnsiTheme="minorHAnsi" w:cs="Arial"/>
          <w:color w:val="44546A" w:themeColor="text2"/>
        </w:rPr>
        <w:t>anheiros que contenham chuveiro</w:t>
      </w:r>
      <w:bookmarkStart w:id="0" w:name="_GoBack"/>
      <w:bookmarkEnd w:id="0"/>
      <w:r w:rsidRPr="00F612FF">
        <w:rPr>
          <w:rFonts w:asciiTheme="minorHAnsi" w:hAnsiTheme="minorHAnsi" w:cs="Arial"/>
          <w:color w:val="44546A" w:themeColor="text2"/>
        </w:rPr>
        <w:t xml:space="preserve">, áreas externas descobertas, área de serviço) . </w:t>
      </w:r>
    </w:p>
    <w:p w:rsidR="00C505EF" w:rsidRPr="00F612FF" w:rsidRDefault="00C505EF" w:rsidP="00542A88">
      <w:pPr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44546A" w:themeColor="text2"/>
        </w:rPr>
      </w:pPr>
      <w:r w:rsidRPr="00F612FF">
        <w:rPr>
          <w:rFonts w:cs="Arial"/>
          <w:color w:val="44546A" w:themeColor="text2"/>
        </w:rPr>
        <w:t>Estas áreas devem ser perfeitamente id</w:t>
      </w:r>
      <w:r w:rsidR="00542A88" w:rsidRPr="00F612FF">
        <w:rPr>
          <w:rFonts w:cs="Arial"/>
          <w:color w:val="44546A" w:themeColor="text2"/>
        </w:rPr>
        <w:t>entificadas como tal no projeto</w:t>
      </w:r>
      <w:r w:rsidR="00542A88" w:rsidRPr="00F612FF">
        <w:rPr>
          <w:rFonts w:cs="Arial"/>
          <w:color w:val="FF0000"/>
        </w:rPr>
        <w:t xml:space="preserve">, </w:t>
      </w:r>
      <w:r w:rsidR="003F67D3" w:rsidRPr="00F612FF">
        <w:rPr>
          <w:rFonts w:cs="Arial"/>
          <w:color w:val="FF0000"/>
        </w:rPr>
        <w:t xml:space="preserve">ou manual de uso, </w:t>
      </w:r>
      <w:r w:rsidRPr="00F612FF">
        <w:rPr>
          <w:rFonts w:cs="Arial"/>
          <w:color w:val="FF0000"/>
        </w:rPr>
        <w:t>operação e manutenção</w:t>
      </w:r>
      <w:r w:rsidRPr="00F612FF">
        <w:rPr>
          <w:rFonts w:cs="Arial"/>
          <w:color w:val="44546A" w:themeColor="text2"/>
        </w:rPr>
        <w:t xml:space="preserve">, apresentando-se o sistema adotado para assegurar a estanqueidade. </w:t>
      </w:r>
    </w:p>
    <w:p w:rsidR="00C505EF" w:rsidRPr="00F612FF" w:rsidRDefault="00C505EF" w:rsidP="00542A88">
      <w:pPr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44546A" w:themeColor="text2"/>
        </w:rPr>
      </w:pPr>
      <w:r w:rsidRPr="00F612FF">
        <w:rPr>
          <w:rFonts w:cs="Arial"/>
          <w:color w:val="44546A" w:themeColor="text2"/>
        </w:rPr>
        <w:t xml:space="preserve">Estes devem ser sistemas que possuam normas brasileiras de especificação e, em caso de serem sistemas inovadores, devem apresentar </w:t>
      </w:r>
      <w:proofErr w:type="spellStart"/>
      <w:r w:rsidRPr="00F612FF">
        <w:rPr>
          <w:rFonts w:cs="Arial"/>
          <w:color w:val="44546A" w:themeColor="text2"/>
        </w:rPr>
        <w:t>DATec</w:t>
      </w:r>
      <w:proofErr w:type="spellEnd"/>
      <w:r w:rsidRPr="00F612FF">
        <w:rPr>
          <w:rFonts w:cs="Arial"/>
          <w:color w:val="44546A" w:themeColor="text2"/>
        </w:rPr>
        <w:t xml:space="preserve"> e avaliação de desempenho por Instituição Técnica Avaliadora habilitada pelo SINAT. </w:t>
      </w:r>
    </w:p>
    <w:p w:rsidR="00C505EF" w:rsidRPr="00F612FF" w:rsidRDefault="00C505EF" w:rsidP="00542A88">
      <w:pPr>
        <w:ind w:left="1068"/>
        <w:rPr>
          <w:rFonts w:cs="Arial"/>
          <w:color w:val="44546A" w:themeColor="text2"/>
        </w:rPr>
      </w:pPr>
      <w:r w:rsidRPr="00F612FF">
        <w:rPr>
          <w:rFonts w:cs="Arial"/>
          <w:color w:val="44546A" w:themeColor="text2"/>
        </w:rPr>
        <w:t>Os pisos de áreas molháveis (segundo a definição da NBR 15575 Parte 3) não são estanques e esta condição com a orientação adequada ao cliente para não utilizar água de lavagem ou outra natureza deve fazer parte da orientação aos usuários.</w:t>
      </w:r>
    </w:p>
    <w:p w:rsidR="00877B0B" w:rsidRPr="00F612FF" w:rsidRDefault="009A5A63" w:rsidP="006B2AD6">
      <w:pPr>
        <w:pStyle w:val="PargrafodaLista"/>
        <w:numPr>
          <w:ilvl w:val="0"/>
          <w:numId w:val="3"/>
        </w:numPr>
        <w:rPr>
          <w:rFonts w:asciiTheme="minorHAnsi" w:hAnsiTheme="minorHAnsi"/>
        </w:rPr>
      </w:pPr>
      <w:r w:rsidRPr="00F612FF">
        <w:rPr>
          <w:rFonts w:asciiTheme="minorHAnsi" w:hAnsiTheme="minorHAnsi"/>
        </w:rPr>
        <w:t>Ficou</w:t>
      </w:r>
      <w:r w:rsidR="00877B0B" w:rsidRPr="00F612FF">
        <w:rPr>
          <w:rFonts w:asciiTheme="minorHAnsi" w:hAnsiTheme="minorHAnsi"/>
        </w:rPr>
        <w:t xml:space="preserve"> acordado </w:t>
      </w:r>
      <w:r w:rsidRPr="00F612FF">
        <w:rPr>
          <w:rFonts w:asciiTheme="minorHAnsi" w:hAnsiTheme="minorHAnsi"/>
        </w:rPr>
        <w:t xml:space="preserve">em reunião </w:t>
      </w:r>
      <w:r w:rsidR="00877B0B" w:rsidRPr="00F612FF">
        <w:rPr>
          <w:rFonts w:asciiTheme="minorHAnsi" w:hAnsiTheme="minorHAnsi"/>
        </w:rPr>
        <w:t>que as empresas disponibilizarão suas especificações e detalhes construtivos para atendimento ao item sem a necessidade de projeto específico por empreendimento.</w:t>
      </w:r>
      <w:r w:rsidR="00A56710" w:rsidRPr="00F612FF">
        <w:rPr>
          <w:rFonts w:asciiTheme="minorHAnsi" w:hAnsiTheme="minorHAnsi"/>
        </w:rPr>
        <w:t xml:space="preserve"> </w:t>
      </w:r>
    </w:p>
    <w:p w:rsidR="009829E9" w:rsidRPr="00F612FF" w:rsidRDefault="009829E9" w:rsidP="009829E9">
      <w:r w:rsidRPr="00F612FF">
        <w:rPr>
          <w:b/>
          <w:bCs/>
        </w:rPr>
        <w:t> </w:t>
      </w:r>
    </w:p>
    <w:p w:rsidR="00FC32D6" w:rsidRPr="00F612FF" w:rsidRDefault="00FC32D6" w:rsidP="006E0842">
      <w:pPr>
        <w:rPr>
          <w:color w:val="1F497D"/>
        </w:rPr>
      </w:pPr>
    </w:p>
    <w:p w:rsidR="00FC32D6" w:rsidRPr="00F612FF" w:rsidRDefault="00FC32D6" w:rsidP="006E0842">
      <w:pPr>
        <w:rPr>
          <w:color w:val="1F497D"/>
        </w:rPr>
      </w:pPr>
    </w:p>
    <w:p w:rsidR="009829E9" w:rsidRPr="00F612FF" w:rsidRDefault="009829E9"/>
    <w:p w:rsidR="000C2F49" w:rsidRPr="00F612FF" w:rsidRDefault="000C2F49" w:rsidP="000C2F49">
      <w:pPr>
        <w:autoSpaceDE w:val="0"/>
        <w:autoSpaceDN w:val="0"/>
        <w:adjustRightInd w:val="0"/>
        <w:spacing w:after="0" w:line="240" w:lineRule="auto"/>
        <w:jc w:val="both"/>
        <w:rPr>
          <w:color w:val="00B050"/>
        </w:rPr>
      </w:pPr>
    </w:p>
    <w:p w:rsidR="000C2F49" w:rsidRPr="00F612FF" w:rsidRDefault="000C2F49" w:rsidP="000C2F49">
      <w:pPr>
        <w:rPr>
          <w:color w:val="00B050"/>
        </w:rPr>
      </w:pPr>
    </w:p>
    <w:p w:rsidR="000C2F49" w:rsidRPr="00F612FF" w:rsidRDefault="000C2F49" w:rsidP="000C2F49">
      <w:pPr>
        <w:rPr>
          <w:color w:val="00B050"/>
        </w:rPr>
      </w:pPr>
    </w:p>
    <w:p w:rsidR="000C2F49" w:rsidRPr="00F612FF" w:rsidRDefault="000C2F49" w:rsidP="000C2F49">
      <w:pPr>
        <w:autoSpaceDE w:val="0"/>
        <w:autoSpaceDN w:val="0"/>
        <w:adjustRightInd w:val="0"/>
        <w:spacing w:after="0" w:line="240" w:lineRule="auto"/>
        <w:jc w:val="both"/>
        <w:rPr>
          <w:color w:val="00B050"/>
        </w:rPr>
      </w:pPr>
    </w:p>
    <w:p w:rsidR="009829E9" w:rsidRPr="00F612FF" w:rsidRDefault="009829E9"/>
    <w:p w:rsidR="000C2F49" w:rsidRPr="00F612FF" w:rsidRDefault="000C2F49">
      <w:pPr>
        <w:rPr>
          <w:color w:val="00B050"/>
        </w:rPr>
      </w:pPr>
    </w:p>
    <w:p w:rsidR="000C2F49" w:rsidRPr="00F612FF" w:rsidRDefault="000C2F49"/>
    <w:p w:rsidR="000C2F49" w:rsidRPr="00F612FF" w:rsidRDefault="000C2F49"/>
    <w:p w:rsidR="000C2F49" w:rsidRPr="00F612FF" w:rsidRDefault="000C2F49"/>
    <w:p w:rsidR="000C2F49" w:rsidRDefault="000C2F49"/>
    <w:p w:rsidR="000C2F49" w:rsidRDefault="000C2F49"/>
    <w:p w:rsidR="000C2F49" w:rsidRDefault="000C2F49"/>
    <w:p w:rsidR="009F0C84" w:rsidRDefault="009F0C84"/>
    <w:p w:rsidR="0007130E" w:rsidRDefault="0007130E"/>
    <w:p w:rsidR="0007130E" w:rsidRDefault="0007130E" w:rsidP="0007130E">
      <w:pPr>
        <w:autoSpaceDE w:val="0"/>
        <w:autoSpaceDN w:val="0"/>
        <w:adjustRightInd w:val="0"/>
        <w:spacing w:after="0" w:line="240" w:lineRule="auto"/>
        <w:jc w:val="both"/>
        <w:rPr>
          <w:color w:val="00B050"/>
          <w:sz w:val="24"/>
          <w:szCs w:val="24"/>
        </w:rPr>
      </w:pPr>
    </w:p>
    <w:p w:rsidR="0007130E" w:rsidRDefault="0007130E"/>
    <w:sectPr w:rsidR="00071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67F1A"/>
    <w:multiLevelType w:val="hybridMultilevel"/>
    <w:tmpl w:val="A9EE8D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32DB1"/>
    <w:multiLevelType w:val="hybridMultilevel"/>
    <w:tmpl w:val="6A4E948C"/>
    <w:lvl w:ilvl="0" w:tplc="2EFCF9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41088"/>
    <w:multiLevelType w:val="hybridMultilevel"/>
    <w:tmpl w:val="BC44FF8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26B97"/>
    <w:multiLevelType w:val="hybridMultilevel"/>
    <w:tmpl w:val="E3C812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86BF9"/>
    <w:multiLevelType w:val="hybridMultilevel"/>
    <w:tmpl w:val="0CFEE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A7223"/>
    <w:multiLevelType w:val="hybridMultilevel"/>
    <w:tmpl w:val="FC607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C291C"/>
    <w:multiLevelType w:val="hybridMultilevel"/>
    <w:tmpl w:val="3F5E5FF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E1F6D"/>
    <w:multiLevelType w:val="hybridMultilevel"/>
    <w:tmpl w:val="86669E7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0D04F2"/>
    <w:multiLevelType w:val="hybridMultilevel"/>
    <w:tmpl w:val="6702275A"/>
    <w:lvl w:ilvl="0" w:tplc="049A09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A0D87"/>
    <w:multiLevelType w:val="hybridMultilevel"/>
    <w:tmpl w:val="46B4E3F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D0587D"/>
    <w:multiLevelType w:val="hybridMultilevel"/>
    <w:tmpl w:val="0FF46656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5AA51DB"/>
    <w:multiLevelType w:val="hybridMultilevel"/>
    <w:tmpl w:val="0EA40B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93749E"/>
    <w:multiLevelType w:val="hybridMultilevel"/>
    <w:tmpl w:val="56EE3B7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B86892"/>
    <w:multiLevelType w:val="hybridMultilevel"/>
    <w:tmpl w:val="116488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C08C3"/>
    <w:multiLevelType w:val="hybridMultilevel"/>
    <w:tmpl w:val="8D881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127520"/>
    <w:multiLevelType w:val="hybridMultilevel"/>
    <w:tmpl w:val="92EE33C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DA1076"/>
    <w:multiLevelType w:val="hybridMultilevel"/>
    <w:tmpl w:val="78E2DAC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314D21"/>
    <w:multiLevelType w:val="hybridMultilevel"/>
    <w:tmpl w:val="426A69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A21425"/>
    <w:multiLevelType w:val="hybridMultilevel"/>
    <w:tmpl w:val="0338F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B21AB2"/>
    <w:multiLevelType w:val="hybridMultilevel"/>
    <w:tmpl w:val="76E6FAC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BB45F9"/>
    <w:multiLevelType w:val="hybridMultilevel"/>
    <w:tmpl w:val="70B68C8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4650D16"/>
    <w:multiLevelType w:val="hybridMultilevel"/>
    <w:tmpl w:val="79F415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6441E6"/>
    <w:multiLevelType w:val="hybridMultilevel"/>
    <w:tmpl w:val="AE86FA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EC326E"/>
    <w:multiLevelType w:val="hybridMultilevel"/>
    <w:tmpl w:val="D9C4D47A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8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19"/>
  </w:num>
  <w:num w:numId="8">
    <w:abstractNumId w:val="14"/>
  </w:num>
  <w:num w:numId="9">
    <w:abstractNumId w:val="5"/>
  </w:num>
  <w:num w:numId="10">
    <w:abstractNumId w:val="12"/>
  </w:num>
  <w:num w:numId="11">
    <w:abstractNumId w:val="21"/>
  </w:num>
  <w:num w:numId="12">
    <w:abstractNumId w:val="18"/>
  </w:num>
  <w:num w:numId="13">
    <w:abstractNumId w:val="2"/>
  </w:num>
  <w:num w:numId="14">
    <w:abstractNumId w:val="4"/>
  </w:num>
  <w:num w:numId="15">
    <w:abstractNumId w:val="3"/>
  </w:num>
  <w:num w:numId="16">
    <w:abstractNumId w:val="20"/>
  </w:num>
  <w:num w:numId="17">
    <w:abstractNumId w:val="16"/>
  </w:num>
  <w:num w:numId="18">
    <w:abstractNumId w:val="13"/>
  </w:num>
  <w:num w:numId="19">
    <w:abstractNumId w:val="9"/>
  </w:num>
  <w:num w:numId="20">
    <w:abstractNumId w:val="10"/>
  </w:num>
  <w:num w:numId="21">
    <w:abstractNumId w:val="0"/>
  </w:num>
  <w:num w:numId="22">
    <w:abstractNumId w:val="17"/>
  </w:num>
  <w:num w:numId="23">
    <w:abstractNumId w:val="7"/>
  </w:num>
  <w:num w:numId="24">
    <w:abstractNumId w:val="15"/>
  </w:num>
  <w:num w:numId="25">
    <w:abstractNumId w:val="2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E9"/>
    <w:rsid w:val="00007BB4"/>
    <w:rsid w:val="00013D30"/>
    <w:rsid w:val="000156A1"/>
    <w:rsid w:val="000219FA"/>
    <w:rsid w:val="00022BD6"/>
    <w:rsid w:val="000243B3"/>
    <w:rsid w:val="00032648"/>
    <w:rsid w:val="00032C19"/>
    <w:rsid w:val="0003467F"/>
    <w:rsid w:val="00037CC7"/>
    <w:rsid w:val="00042AAC"/>
    <w:rsid w:val="000473B6"/>
    <w:rsid w:val="00052BBB"/>
    <w:rsid w:val="00062060"/>
    <w:rsid w:val="00064397"/>
    <w:rsid w:val="0007130E"/>
    <w:rsid w:val="00072C40"/>
    <w:rsid w:val="0007629C"/>
    <w:rsid w:val="00085973"/>
    <w:rsid w:val="000A1C4E"/>
    <w:rsid w:val="000B59A1"/>
    <w:rsid w:val="000B748E"/>
    <w:rsid w:val="000C2F49"/>
    <w:rsid w:val="000C3FB5"/>
    <w:rsid w:val="000D0142"/>
    <w:rsid w:val="000D3734"/>
    <w:rsid w:val="000F2649"/>
    <w:rsid w:val="000F46CE"/>
    <w:rsid w:val="00102113"/>
    <w:rsid w:val="0010540B"/>
    <w:rsid w:val="001272AC"/>
    <w:rsid w:val="001300A1"/>
    <w:rsid w:val="001372FE"/>
    <w:rsid w:val="00143E44"/>
    <w:rsid w:val="00163F09"/>
    <w:rsid w:val="00174625"/>
    <w:rsid w:val="00197045"/>
    <w:rsid w:val="001A6904"/>
    <w:rsid w:val="001B40B3"/>
    <w:rsid w:val="001B7263"/>
    <w:rsid w:val="001D0920"/>
    <w:rsid w:val="002074AD"/>
    <w:rsid w:val="00215417"/>
    <w:rsid w:val="00224674"/>
    <w:rsid w:val="0023422C"/>
    <w:rsid w:val="0023590C"/>
    <w:rsid w:val="002407F2"/>
    <w:rsid w:val="00251B99"/>
    <w:rsid w:val="00256311"/>
    <w:rsid w:val="00265614"/>
    <w:rsid w:val="00277174"/>
    <w:rsid w:val="00292BE5"/>
    <w:rsid w:val="00297422"/>
    <w:rsid w:val="002C073E"/>
    <w:rsid w:val="002C1DCA"/>
    <w:rsid w:val="002D0765"/>
    <w:rsid w:val="002D1186"/>
    <w:rsid w:val="002D5C70"/>
    <w:rsid w:val="002D7733"/>
    <w:rsid w:val="002E3636"/>
    <w:rsid w:val="002E7DDD"/>
    <w:rsid w:val="002F459F"/>
    <w:rsid w:val="003163DE"/>
    <w:rsid w:val="00317923"/>
    <w:rsid w:val="00331284"/>
    <w:rsid w:val="00332D54"/>
    <w:rsid w:val="00333CE5"/>
    <w:rsid w:val="00334C43"/>
    <w:rsid w:val="0034241B"/>
    <w:rsid w:val="0034678D"/>
    <w:rsid w:val="0038500D"/>
    <w:rsid w:val="003A2F28"/>
    <w:rsid w:val="003A5C8F"/>
    <w:rsid w:val="003A796B"/>
    <w:rsid w:val="003E543B"/>
    <w:rsid w:val="003E7F4A"/>
    <w:rsid w:val="003F67D3"/>
    <w:rsid w:val="00403F4D"/>
    <w:rsid w:val="00414AF1"/>
    <w:rsid w:val="00415DB6"/>
    <w:rsid w:val="00415E1C"/>
    <w:rsid w:val="0043566C"/>
    <w:rsid w:val="00450620"/>
    <w:rsid w:val="00452FC3"/>
    <w:rsid w:val="0047179C"/>
    <w:rsid w:val="004819AE"/>
    <w:rsid w:val="00490505"/>
    <w:rsid w:val="004B6580"/>
    <w:rsid w:val="004C07B6"/>
    <w:rsid w:val="004C1289"/>
    <w:rsid w:val="004C18B7"/>
    <w:rsid w:val="004C26AC"/>
    <w:rsid w:val="004C4F56"/>
    <w:rsid w:val="004D3276"/>
    <w:rsid w:val="004E72DD"/>
    <w:rsid w:val="004F2666"/>
    <w:rsid w:val="004F3CCF"/>
    <w:rsid w:val="00506BA9"/>
    <w:rsid w:val="00517329"/>
    <w:rsid w:val="00534AC2"/>
    <w:rsid w:val="005372CD"/>
    <w:rsid w:val="00542A88"/>
    <w:rsid w:val="0054305E"/>
    <w:rsid w:val="00547E53"/>
    <w:rsid w:val="00550AC4"/>
    <w:rsid w:val="00551F7B"/>
    <w:rsid w:val="00566009"/>
    <w:rsid w:val="00566AB1"/>
    <w:rsid w:val="005821DE"/>
    <w:rsid w:val="005847E6"/>
    <w:rsid w:val="00590473"/>
    <w:rsid w:val="005A6677"/>
    <w:rsid w:val="005B17D7"/>
    <w:rsid w:val="005B2B32"/>
    <w:rsid w:val="005C4852"/>
    <w:rsid w:val="005D2EC5"/>
    <w:rsid w:val="005E0DA8"/>
    <w:rsid w:val="005E23B0"/>
    <w:rsid w:val="005E3FF1"/>
    <w:rsid w:val="005E73D9"/>
    <w:rsid w:val="005F313E"/>
    <w:rsid w:val="005F711B"/>
    <w:rsid w:val="0060423A"/>
    <w:rsid w:val="0062549A"/>
    <w:rsid w:val="006261D8"/>
    <w:rsid w:val="006620F4"/>
    <w:rsid w:val="0066387B"/>
    <w:rsid w:val="00677685"/>
    <w:rsid w:val="00694BAE"/>
    <w:rsid w:val="006B1285"/>
    <w:rsid w:val="006B5DBA"/>
    <w:rsid w:val="006B70F1"/>
    <w:rsid w:val="006D0DDA"/>
    <w:rsid w:val="006D3208"/>
    <w:rsid w:val="006E0842"/>
    <w:rsid w:val="006E53AF"/>
    <w:rsid w:val="006E60B8"/>
    <w:rsid w:val="006F1D96"/>
    <w:rsid w:val="006F2C3F"/>
    <w:rsid w:val="007005A0"/>
    <w:rsid w:val="00711B99"/>
    <w:rsid w:val="00731546"/>
    <w:rsid w:val="00741099"/>
    <w:rsid w:val="007476F5"/>
    <w:rsid w:val="007669D1"/>
    <w:rsid w:val="00782F52"/>
    <w:rsid w:val="00793F1A"/>
    <w:rsid w:val="00794475"/>
    <w:rsid w:val="007B0CE2"/>
    <w:rsid w:val="007B2009"/>
    <w:rsid w:val="007B6EE6"/>
    <w:rsid w:val="007B7FD5"/>
    <w:rsid w:val="007C2011"/>
    <w:rsid w:val="007C4777"/>
    <w:rsid w:val="007D6A57"/>
    <w:rsid w:val="007E0E6B"/>
    <w:rsid w:val="007E5635"/>
    <w:rsid w:val="007E5CFF"/>
    <w:rsid w:val="007E5DF4"/>
    <w:rsid w:val="007F317E"/>
    <w:rsid w:val="00801F38"/>
    <w:rsid w:val="00802569"/>
    <w:rsid w:val="00807FD5"/>
    <w:rsid w:val="00813768"/>
    <w:rsid w:val="008206BF"/>
    <w:rsid w:val="00824757"/>
    <w:rsid w:val="00832472"/>
    <w:rsid w:val="008327CD"/>
    <w:rsid w:val="0084088A"/>
    <w:rsid w:val="00845CF6"/>
    <w:rsid w:val="008504FE"/>
    <w:rsid w:val="00851351"/>
    <w:rsid w:val="00856808"/>
    <w:rsid w:val="00861AAF"/>
    <w:rsid w:val="008662EA"/>
    <w:rsid w:val="0087603C"/>
    <w:rsid w:val="00877B0B"/>
    <w:rsid w:val="00892751"/>
    <w:rsid w:val="008B027E"/>
    <w:rsid w:val="008B3572"/>
    <w:rsid w:val="008C071D"/>
    <w:rsid w:val="008C38F1"/>
    <w:rsid w:val="008C4484"/>
    <w:rsid w:val="008F0B6A"/>
    <w:rsid w:val="0090499F"/>
    <w:rsid w:val="00906553"/>
    <w:rsid w:val="00906F45"/>
    <w:rsid w:val="009138F5"/>
    <w:rsid w:val="009241E1"/>
    <w:rsid w:val="009303F2"/>
    <w:rsid w:val="00935DB8"/>
    <w:rsid w:val="009369C6"/>
    <w:rsid w:val="00947261"/>
    <w:rsid w:val="00950C34"/>
    <w:rsid w:val="00957D35"/>
    <w:rsid w:val="00981E29"/>
    <w:rsid w:val="009829E9"/>
    <w:rsid w:val="00982AC2"/>
    <w:rsid w:val="009846CF"/>
    <w:rsid w:val="009A5A63"/>
    <w:rsid w:val="009A6F8F"/>
    <w:rsid w:val="009B2CC9"/>
    <w:rsid w:val="009C44A1"/>
    <w:rsid w:val="009C5D92"/>
    <w:rsid w:val="009D2061"/>
    <w:rsid w:val="009E71C4"/>
    <w:rsid w:val="009E776D"/>
    <w:rsid w:val="009F0C84"/>
    <w:rsid w:val="009F19E5"/>
    <w:rsid w:val="009F79D0"/>
    <w:rsid w:val="00A1136B"/>
    <w:rsid w:val="00A11A4D"/>
    <w:rsid w:val="00A15CD3"/>
    <w:rsid w:val="00A21B22"/>
    <w:rsid w:val="00A3015A"/>
    <w:rsid w:val="00A37B1C"/>
    <w:rsid w:val="00A56710"/>
    <w:rsid w:val="00A80231"/>
    <w:rsid w:val="00A84560"/>
    <w:rsid w:val="00A92618"/>
    <w:rsid w:val="00AC4A80"/>
    <w:rsid w:val="00AE15EB"/>
    <w:rsid w:val="00B37918"/>
    <w:rsid w:val="00B45B25"/>
    <w:rsid w:val="00B574FF"/>
    <w:rsid w:val="00B6157F"/>
    <w:rsid w:val="00B876B5"/>
    <w:rsid w:val="00BD4B63"/>
    <w:rsid w:val="00BD7DCF"/>
    <w:rsid w:val="00BE5344"/>
    <w:rsid w:val="00BF54A0"/>
    <w:rsid w:val="00BF70CC"/>
    <w:rsid w:val="00C15FDB"/>
    <w:rsid w:val="00C228D5"/>
    <w:rsid w:val="00C4315B"/>
    <w:rsid w:val="00C505EF"/>
    <w:rsid w:val="00C8068E"/>
    <w:rsid w:val="00C82FCC"/>
    <w:rsid w:val="00CA06A8"/>
    <w:rsid w:val="00CA31B9"/>
    <w:rsid w:val="00CA42E9"/>
    <w:rsid w:val="00CA69EB"/>
    <w:rsid w:val="00CB106B"/>
    <w:rsid w:val="00CB2173"/>
    <w:rsid w:val="00CD2E72"/>
    <w:rsid w:val="00CF4F2B"/>
    <w:rsid w:val="00D00EE7"/>
    <w:rsid w:val="00D10AA5"/>
    <w:rsid w:val="00D13135"/>
    <w:rsid w:val="00D152F6"/>
    <w:rsid w:val="00D21BAB"/>
    <w:rsid w:val="00D225E3"/>
    <w:rsid w:val="00D23184"/>
    <w:rsid w:val="00D63F10"/>
    <w:rsid w:val="00D649C3"/>
    <w:rsid w:val="00D64BB0"/>
    <w:rsid w:val="00D74AB0"/>
    <w:rsid w:val="00DA154F"/>
    <w:rsid w:val="00DA212B"/>
    <w:rsid w:val="00DA5907"/>
    <w:rsid w:val="00DF0661"/>
    <w:rsid w:val="00E2482B"/>
    <w:rsid w:val="00E36F32"/>
    <w:rsid w:val="00E548B9"/>
    <w:rsid w:val="00E660E8"/>
    <w:rsid w:val="00E72D96"/>
    <w:rsid w:val="00E837F7"/>
    <w:rsid w:val="00E86CA9"/>
    <w:rsid w:val="00EA5829"/>
    <w:rsid w:val="00EC4B8D"/>
    <w:rsid w:val="00EC6A78"/>
    <w:rsid w:val="00F15034"/>
    <w:rsid w:val="00F237F3"/>
    <w:rsid w:val="00F25C82"/>
    <w:rsid w:val="00F34CE9"/>
    <w:rsid w:val="00F53A68"/>
    <w:rsid w:val="00F6085F"/>
    <w:rsid w:val="00F612FF"/>
    <w:rsid w:val="00F87BE9"/>
    <w:rsid w:val="00F87D83"/>
    <w:rsid w:val="00F90A66"/>
    <w:rsid w:val="00F93286"/>
    <w:rsid w:val="00F971DD"/>
    <w:rsid w:val="00FA310B"/>
    <w:rsid w:val="00FA4A24"/>
    <w:rsid w:val="00FC3174"/>
    <w:rsid w:val="00FC32D6"/>
    <w:rsid w:val="00FC7B7D"/>
    <w:rsid w:val="00FD098F"/>
    <w:rsid w:val="00FE3119"/>
    <w:rsid w:val="00FE7F2E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04039-4E96-4BA7-B063-24584D06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29E9"/>
    <w:pPr>
      <w:spacing w:after="0" w:line="240" w:lineRule="auto"/>
      <w:ind w:left="720"/>
    </w:pPr>
    <w:rPr>
      <w:rFonts w:ascii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6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600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82F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4C26AC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4C26A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26A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26A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26A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C26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4</Pages>
  <Words>1014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Abrainc5</dc:creator>
  <cp:keywords/>
  <dc:description/>
  <cp:lastModifiedBy>Abrainc5</cp:lastModifiedBy>
  <cp:revision>210</cp:revision>
  <cp:lastPrinted>2014-07-21T16:55:00Z</cp:lastPrinted>
  <dcterms:created xsi:type="dcterms:W3CDTF">2014-07-16T14:49:00Z</dcterms:created>
  <dcterms:modified xsi:type="dcterms:W3CDTF">2014-07-31T20:13:00Z</dcterms:modified>
</cp:coreProperties>
</file>