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22" w:rsidRDefault="00AA6122" w:rsidP="00AA6122">
      <w:pPr>
        <w:jc w:val="right"/>
      </w:pPr>
      <w:bookmarkStart w:id="0" w:name="_GoBack"/>
      <w:bookmarkEnd w:id="0"/>
      <w:r>
        <w:t>São Paulo, ____ de Fevereiro de 2015</w:t>
      </w:r>
    </w:p>
    <w:p w:rsidR="00AA6122" w:rsidRDefault="00AA6122" w:rsidP="00AA6122"/>
    <w:p w:rsidR="00AA6122" w:rsidRPr="00106E57" w:rsidRDefault="00AA6122" w:rsidP="00AA6122">
      <w:pPr>
        <w:rPr>
          <w:b/>
        </w:rPr>
      </w:pPr>
      <w:r w:rsidRPr="00106E57">
        <w:rPr>
          <w:b/>
        </w:rPr>
        <w:t xml:space="preserve">Exmo. </w:t>
      </w:r>
      <w:r w:rsidR="00106E57">
        <w:rPr>
          <w:b/>
        </w:rPr>
        <w:t xml:space="preserve">Sr. </w:t>
      </w:r>
      <w:r w:rsidR="00324D73" w:rsidRPr="00106E57">
        <w:rPr>
          <w:b/>
        </w:rPr>
        <w:t xml:space="preserve">Prefeito </w:t>
      </w:r>
      <w:r w:rsidR="00106E57">
        <w:rPr>
          <w:b/>
        </w:rPr>
        <w:t>do Município</w:t>
      </w:r>
      <w:r w:rsidR="00324D73" w:rsidRPr="00106E57">
        <w:rPr>
          <w:b/>
        </w:rPr>
        <w:t xml:space="preserve"> de São Paulo</w:t>
      </w:r>
      <w:r w:rsidR="00106E57">
        <w:rPr>
          <w:b/>
        </w:rPr>
        <w:t>, Dr.</w:t>
      </w:r>
      <w:r w:rsidR="00324D73" w:rsidRPr="00106E57">
        <w:rPr>
          <w:b/>
        </w:rPr>
        <w:t xml:space="preserve"> Fernando Haddad</w:t>
      </w:r>
    </w:p>
    <w:p w:rsidR="00324D73" w:rsidRDefault="00324D73" w:rsidP="00AA6122"/>
    <w:p w:rsidR="00FE67C1" w:rsidRDefault="00125419" w:rsidP="00A90BEC">
      <w:pPr>
        <w:jc w:val="both"/>
      </w:pPr>
      <w:r>
        <w:t xml:space="preserve">Conforme é de seu conhecimento, o número de vagas e as contrapartidas calculadas para empreendimentos enquadrados como Polos Geradores de Tráfego, são elementos fundamentais da política de mobilidade urbana da cidade. Assim dirigimo-nos a V Ex. para propor </w:t>
      </w:r>
      <w:r w:rsidR="00A90BEC">
        <w:t>a revisão do cálculo de contrapartida financeira</w:t>
      </w:r>
      <w:r w:rsidR="00567B41">
        <w:t xml:space="preserve"> estabelecido na Lei Nº 15.150/</w:t>
      </w:r>
      <w:r w:rsidR="00DA4917">
        <w:t>2010</w:t>
      </w:r>
      <w:r w:rsidR="00567B41">
        <w:t>(LPGT)</w:t>
      </w:r>
      <w:r w:rsidR="00272890">
        <w:t xml:space="preserve">, </w:t>
      </w:r>
      <w:r w:rsidR="00272890" w:rsidRPr="00272890">
        <w:t>buscando estabelecer critérios claros e definitivos</w:t>
      </w:r>
      <w:r w:rsidR="00272890">
        <w:t xml:space="preserve">, estabelecendo </w:t>
      </w:r>
      <w:r w:rsidR="00272890" w:rsidRPr="00272890">
        <w:t>isonomia entre empreendimentos geradores de tráfego</w:t>
      </w:r>
      <w:r w:rsidR="00DA4917">
        <w:t>,</w:t>
      </w:r>
      <w:r w:rsidR="00272890">
        <w:t xml:space="preserve"> e adequando a nova legislação</w:t>
      </w:r>
      <w:r w:rsidR="00FE67C1">
        <w:t>.</w:t>
      </w:r>
    </w:p>
    <w:p w:rsidR="00FE67C1" w:rsidRDefault="00FE67C1" w:rsidP="00A90BEC">
      <w:pPr>
        <w:jc w:val="both"/>
      </w:pPr>
      <w:r>
        <w:t xml:space="preserve">A </w:t>
      </w:r>
      <w:r w:rsidR="00567B41">
        <w:t>LPGT define o cálculo</w:t>
      </w:r>
      <w:r w:rsidR="00DA4917">
        <w:t xml:space="preserve"> a partir de uma proporcionalidade de área construída (percentual do custo segundo NBR </w:t>
      </w:r>
      <w:r w:rsidR="00DA4917" w:rsidRPr="00DA4917">
        <w:t>12.721/2006</w:t>
      </w:r>
      <w:r w:rsidR="00DA4917">
        <w:t>),</w:t>
      </w:r>
      <w:r w:rsidR="00FA1A58">
        <w:t xml:space="preserve"> que em legislação anterior</w:t>
      </w:r>
      <w:r w:rsidR="00567B41">
        <w:t>(L13.885/2004)</w:t>
      </w:r>
      <w:r w:rsidR="00FA1A58">
        <w:t xml:space="preserve"> garantia relação com o número de vagas de garagem, e portanto com a geração de tráfego</w:t>
      </w:r>
      <w:r>
        <w:t>. Esta relação</w:t>
      </w:r>
      <w:r w:rsidR="00FA1A58">
        <w:t xml:space="preserve"> </w:t>
      </w:r>
      <w:r>
        <w:t>s</w:t>
      </w:r>
      <w:r w:rsidR="00FA1A58">
        <w:t>e</w:t>
      </w:r>
      <w:r>
        <w:t xml:space="preserve"> </w:t>
      </w:r>
      <w:r w:rsidR="0074051B">
        <w:t>perd</w:t>
      </w:r>
      <w:r>
        <w:t>eu</w:t>
      </w:r>
      <w:r w:rsidR="00FA1A58">
        <w:t xml:space="preserve"> a partir da aprovação da Lei Nº </w:t>
      </w:r>
      <w:r w:rsidR="00FA1A58" w:rsidRPr="00FA1A58">
        <w:t>16.050/</w:t>
      </w:r>
      <w:r w:rsidR="00FA1A58">
        <w:t xml:space="preserve"> </w:t>
      </w:r>
      <w:r w:rsidR="00FA1A58" w:rsidRPr="00FA1A58">
        <w:t>201</w:t>
      </w:r>
      <w:r w:rsidR="0074051B">
        <w:t>4</w:t>
      </w:r>
      <w:r w:rsidR="001D3E02">
        <w:t xml:space="preserve"> o novo Plano Diretor Estratégico de São Paulo</w:t>
      </w:r>
      <w:r w:rsidR="001F1978">
        <w:t xml:space="preserve"> – PDE/SP</w:t>
      </w:r>
      <w:r w:rsidR="00DA4917">
        <w:t>.</w:t>
      </w:r>
    </w:p>
    <w:p w:rsidR="00A90BEC" w:rsidRDefault="00DC6A83" w:rsidP="00A90BEC">
      <w:pPr>
        <w:jc w:val="both"/>
      </w:pPr>
      <w:r>
        <w:t xml:space="preserve">Assim, </w:t>
      </w:r>
      <w:r w:rsidR="003714E6">
        <w:t>propomos</w:t>
      </w:r>
      <w:r>
        <w:t xml:space="preserve"> o reestabelecimento do equilíbrio, via definição</w:t>
      </w:r>
      <w:r w:rsidR="00567B41">
        <w:t xml:space="preserve"> de um valor fixo a ser pago por vaga de garagem efetivamente projetada no momento da aprovação do projeto</w:t>
      </w:r>
      <w:r w:rsidR="00D7311A">
        <w:t xml:space="preserve"> ao Fundo Municipal de Compensação de Impactos – FMCI</w:t>
      </w:r>
      <w:r w:rsidR="00567B41">
        <w:t>.</w:t>
      </w:r>
    </w:p>
    <w:p w:rsidR="00567B41" w:rsidRDefault="00567B41" w:rsidP="00A90BEC">
      <w:pPr>
        <w:jc w:val="both"/>
      </w:pPr>
      <w:r>
        <w:t>Abaixo detalhamos a proposta:</w:t>
      </w:r>
    </w:p>
    <w:p w:rsidR="00567B41" w:rsidRDefault="00567B41" w:rsidP="00A90BEC">
      <w:pPr>
        <w:jc w:val="both"/>
      </w:pPr>
    </w:p>
    <w:p w:rsidR="00567B41" w:rsidRDefault="00567B41" w:rsidP="00A90BEC">
      <w:pPr>
        <w:jc w:val="both"/>
      </w:pPr>
      <w:r>
        <w:t>Atenciosamente,</w:t>
      </w:r>
    </w:p>
    <w:p w:rsidR="00567B41" w:rsidRDefault="00567B41" w:rsidP="00A90BEC">
      <w:pPr>
        <w:jc w:val="both"/>
      </w:pPr>
    </w:p>
    <w:p w:rsidR="00567B41" w:rsidRDefault="00567B41" w:rsidP="00A90BEC">
      <w:pPr>
        <w:jc w:val="both"/>
      </w:pPr>
      <w:r>
        <w:t>________________________________</w:t>
      </w:r>
    </w:p>
    <w:p w:rsidR="00567B41" w:rsidRDefault="00567B41" w:rsidP="00A90BEC">
      <w:pPr>
        <w:jc w:val="both"/>
      </w:pPr>
      <w:r>
        <w:t>ABRAINC</w:t>
      </w:r>
    </w:p>
    <w:p w:rsidR="00567B41" w:rsidRDefault="00567B41" w:rsidP="00A90BEC">
      <w:pPr>
        <w:jc w:val="both"/>
      </w:pPr>
    </w:p>
    <w:p w:rsidR="001D3E02" w:rsidRDefault="001D3E02" w:rsidP="00A90BEC">
      <w:pPr>
        <w:jc w:val="both"/>
      </w:pPr>
      <w:r>
        <w:t>Lei 15.150/ 2010</w:t>
      </w:r>
      <w:r w:rsidR="00DC6A83">
        <w:t xml:space="preserve"> - Definição para enquadramento em PGT</w:t>
      </w:r>
      <w:r w:rsidR="00BB66B5">
        <w:t>:</w:t>
      </w:r>
    </w:p>
    <w:p w:rsidR="00BB66B5" w:rsidRPr="00F12988" w:rsidRDefault="00BB66B5" w:rsidP="00F12988">
      <w:pPr>
        <w:pStyle w:val="Citao"/>
        <w:jc w:val="both"/>
      </w:pPr>
      <w:r w:rsidRPr="00F12988">
        <w:t>“I - Polos Geradores de Tráfego - PGT: edificações permanentes que apresentem as seguintes características:</w:t>
      </w:r>
    </w:p>
    <w:p w:rsidR="00BB66B5" w:rsidRPr="00F12988" w:rsidRDefault="00BB66B5" w:rsidP="00F12988">
      <w:pPr>
        <w:pStyle w:val="Citao"/>
        <w:jc w:val="both"/>
      </w:pPr>
      <w:r w:rsidRPr="00F12988">
        <w:t>a) edificações residenciais com 500 (quinhentas) vagas de estacionamento ou mais;</w:t>
      </w:r>
    </w:p>
    <w:p w:rsidR="00BB66B5" w:rsidRPr="00F12988" w:rsidRDefault="00BB66B5" w:rsidP="00F12988">
      <w:pPr>
        <w:pStyle w:val="Citao"/>
        <w:jc w:val="both"/>
      </w:pPr>
      <w:r w:rsidRPr="00F12988">
        <w:t>b) edificações não residenciais com 120 (cento e vinte) vagas de estacionamento ou mais, localizadas nas Áreas Especiais de Tráfego – AET;</w:t>
      </w:r>
    </w:p>
    <w:p w:rsidR="00BB66B5" w:rsidRPr="00F12988" w:rsidRDefault="00BB66B5" w:rsidP="00F12988">
      <w:pPr>
        <w:pStyle w:val="Citao"/>
        <w:jc w:val="both"/>
      </w:pPr>
      <w:r w:rsidRPr="00F12988">
        <w:t>c) edificações não residenciais com 280 (duzentas e oitenta) vagas de estacionamento ou mais, localizadas nas demais áreas do Município;</w:t>
      </w:r>
    </w:p>
    <w:p w:rsidR="00BB66B5" w:rsidRPr="00F12988" w:rsidRDefault="00BB66B5" w:rsidP="00F12988">
      <w:pPr>
        <w:pStyle w:val="Citao"/>
        <w:jc w:val="both"/>
      </w:pPr>
      <w:r w:rsidRPr="00F12988">
        <w:t>d) serviços socioculturais, de lazer e de educação com mais de 2.500,00m² (dois mil e quinhentos metros quadrados) de área construída computável;</w:t>
      </w:r>
    </w:p>
    <w:p w:rsidR="00BB66B5" w:rsidRPr="00F12988" w:rsidRDefault="00BB66B5" w:rsidP="00F12988">
      <w:pPr>
        <w:pStyle w:val="Citao"/>
        <w:jc w:val="both"/>
      </w:pPr>
      <w:r w:rsidRPr="00F12988">
        <w:lastRenderedPageBreak/>
        <w:t>e) locais destinados à prática de exercício físico ou esporte com mais de 2.500,00m² (dois mil e quinhentos metros quadrados) de área construída computável;</w:t>
      </w:r>
    </w:p>
    <w:p w:rsidR="00BB66B5" w:rsidRPr="00F12988" w:rsidRDefault="00BB66B5" w:rsidP="00F12988">
      <w:pPr>
        <w:pStyle w:val="Citao"/>
        <w:jc w:val="both"/>
      </w:pPr>
      <w:r w:rsidRPr="00F12988">
        <w:t>f) serviços de saúde com área igual ou superior a 7.500,00 m² (sete mil e quinhentos metros quadrados);</w:t>
      </w:r>
    </w:p>
    <w:p w:rsidR="00BB66B5" w:rsidRPr="00F12988" w:rsidRDefault="00BB66B5" w:rsidP="00F12988">
      <w:pPr>
        <w:pStyle w:val="Citao"/>
        <w:jc w:val="both"/>
      </w:pPr>
      <w:r w:rsidRPr="00F12988">
        <w:t>g) locais de reunião ou eventos com capacidade para 500 (quinhentas) pessoas ou mais; ou</w:t>
      </w:r>
    </w:p>
    <w:p w:rsidR="00BB66B5" w:rsidRPr="00F12988" w:rsidRDefault="00BB66B5" w:rsidP="00F12988">
      <w:pPr>
        <w:pStyle w:val="Citao"/>
        <w:jc w:val="both"/>
      </w:pPr>
      <w:r w:rsidRPr="00F12988">
        <w:t>h) atividades e serviços públicos de caráter especial com capacidade para 500 (quinhentas) pessoas ou mais;”</w:t>
      </w:r>
    </w:p>
    <w:p w:rsidR="00BB66B5" w:rsidRDefault="00DC6A83" w:rsidP="00A90BEC">
      <w:pPr>
        <w:jc w:val="both"/>
      </w:pPr>
      <w:r>
        <w:t>Com isso,</w:t>
      </w:r>
      <w:r w:rsidR="00BB66B5">
        <w:t xml:space="preserve"> </w:t>
      </w:r>
      <w:r w:rsidR="0092740F">
        <w:t xml:space="preserve">se </w:t>
      </w:r>
      <w:r w:rsidR="00BB66B5">
        <w:t>estabelece uma linha de corte</w:t>
      </w:r>
      <w:r>
        <w:t xml:space="preserve"> que </w:t>
      </w:r>
      <w:r w:rsidR="00BB66B5">
        <w:t xml:space="preserve">desconsidera o agrupamento de diversos empreendimentos não </w:t>
      </w:r>
      <w:r w:rsidR="003714E6">
        <w:t>enquadrados na categoria de PGT</w:t>
      </w:r>
      <w:r w:rsidR="00BB66B5">
        <w:t>.</w:t>
      </w:r>
      <w:r>
        <w:t xml:space="preserve"> Assim se desconsidera</w:t>
      </w:r>
      <w:r w:rsidR="00AA76E1">
        <w:t xml:space="preserve"> que todo empreendimento que possua vaga de garagens contribui para a geração de tráfego, e </w:t>
      </w:r>
      <w:r w:rsidR="00AE5B10">
        <w:t xml:space="preserve">deve </w:t>
      </w:r>
      <w:r w:rsidR="0067507A">
        <w:t>pagar uma</w:t>
      </w:r>
      <w:r w:rsidR="00AA76E1">
        <w:t xml:space="preserve"> contrapartida correspondente.</w:t>
      </w:r>
    </w:p>
    <w:p w:rsidR="00AA76E1" w:rsidRDefault="00AA76E1" w:rsidP="00A90BEC">
      <w:pPr>
        <w:jc w:val="both"/>
      </w:pPr>
      <w:r>
        <w:t xml:space="preserve">Como exemplo, </w:t>
      </w:r>
      <w:r w:rsidR="00AE5B10">
        <w:t>temos</w:t>
      </w:r>
      <w:r>
        <w:t xml:space="preserve"> o caso abaixo, a comparação de um trecho do bairro do Itaim</w:t>
      </w:r>
      <w:r w:rsidR="0067507A">
        <w:t xml:space="preserve"> Bibi</w:t>
      </w:r>
      <w:r>
        <w:t>, e</w:t>
      </w:r>
      <w:r w:rsidR="00AE5B10">
        <w:t xml:space="preserve"> </w:t>
      </w:r>
      <w:r>
        <w:t>o empreendimento Jardim das Perdizes. No</w:t>
      </w:r>
      <w:r w:rsidR="00AE5B10">
        <w:t xml:space="preserve"> caso </w:t>
      </w:r>
      <w:r>
        <w:t>do Itaim temos diversos empreendimentos residenciais e comerciais nenhum deles enquadrados como PGT</w:t>
      </w:r>
      <w:r w:rsidR="003714E6">
        <w:t>.</w:t>
      </w:r>
      <w:r>
        <w:t xml:space="preserve"> </w:t>
      </w:r>
      <w:r w:rsidR="00AE5B10">
        <w:t xml:space="preserve">Já </w:t>
      </w:r>
      <w:r>
        <w:t xml:space="preserve">o Jardim das Perdizes, </w:t>
      </w:r>
      <w:r w:rsidR="00AE5B10">
        <w:t>com</w:t>
      </w:r>
      <w:r>
        <w:t xml:space="preserve"> uma densidade construtiva inferior</w:t>
      </w:r>
      <w:r w:rsidR="003714E6">
        <w:t xml:space="preserve"> e </w:t>
      </w:r>
      <w:r w:rsidR="00AE5B10">
        <w:t>número menor de</w:t>
      </w:r>
      <w:r>
        <w:t xml:space="preserve"> vagas de garagem os edifícios do Itaim, </w:t>
      </w:r>
      <w:r w:rsidR="003714E6">
        <w:t>é</w:t>
      </w:r>
      <w:r>
        <w:t xml:space="preserve"> enquadrado como PGT.</w:t>
      </w:r>
    </w:p>
    <w:p w:rsidR="0067507A" w:rsidRDefault="0067507A" w:rsidP="00A90BEC">
      <w:pPr>
        <w:jc w:val="both"/>
      </w:pPr>
    </w:p>
    <w:p w:rsidR="00AA76E1" w:rsidRDefault="0067507A" w:rsidP="0067507A">
      <w:pPr>
        <w:jc w:val="center"/>
      </w:pPr>
      <w:r>
        <w:t>(Imagem Trecho do Itaim Bibi)</w:t>
      </w:r>
    </w:p>
    <w:p w:rsidR="0067507A" w:rsidRDefault="0067507A" w:rsidP="0067507A">
      <w:pPr>
        <w:jc w:val="center"/>
      </w:pPr>
    </w:p>
    <w:p w:rsidR="0067507A" w:rsidRDefault="0067507A" w:rsidP="0067507A">
      <w:pPr>
        <w:jc w:val="center"/>
      </w:pPr>
      <w:r>
        <w:t>(Imagem Jardim das Perdizes)</w:t>
      </w:r>
    </w:p>
    <w:p w:rsidR="0067507A" w:rsidRDefault="0067507A" w:rsidP="00A90BEC">
      <w:pPr>
        <w:jc w:val="both"/>
      </w:pPr>
    </w:p>
    <w:p w:rsidR="003714E6" w:rsidRDefault="003714E6" w:rsidP="00A90BEC">
      <w:pPr>
        <w:jc w:val="both"/>
      </w:pPr>
      <w:r>
        <w:t>Em se considerando o número de vagas como parâmetro, em ambos os casos temos geração de trafego</w:t>
      </w:r>
      <w:r w:rsidR="0067507A">
        <w:t xml:space="preserve">. No entanto apenas em um dos casos, a Lei permitiu que o município recebesse a contrapartida necessária para a adequação da infraestrutura. No caso do Itaim, a infraestrutura </w:t>
      </w:r>
      <w:r w:rsidR="00D5194E">
        <w:t>está</w:t>
      </w:r>
      <w:r w:rsidR="0067507A">
        <w:t xml:space="preserve"> subdimensionada, e nenhum dos empreendimentos </w:t>
      </w:r>
      <w:r w:rsidR="00AE5B10">
        <w:t>contribuiu</w:t>
      </w:r>
      <w:r w:rsidR="0067507A">
        <w:t xml:space="preserve"> para qualquer melhoria. </w:t>
      </w:r>
    </w:p>
    <w:p w:rsidR="00AA76E1" w:rsidRDefault="00423715" w:rsidP="00A90BEC">
      <w:pPr>
        <w:jc w:val="both"/>
      </w:pPr>
      <w:r>
        <w:t>P</w:t>
      </w:r>
      <w:r w:rsidR="000022D4">
        <w:t>elo novo PDE/SP</w:t>
      </w:r>
      <w:r>
        <w:t>, ocorre</w:t>
      </w:r>
      <w:r w:rsidR="000022D4">
        <w:t xml:space="preserve"> a desvinculação do número de vagas de um empreendimento a sua área construída computável (regra existente na LPUOS 13.885/2004, revogad</w:t>
      </w:r>
      <w:r w:rsidR="0092740F">
        <w:t>a</w:t>
      </w:r>
      <w:r w:rsidR="000022D4">
        <w:t xml:space="preserve">). </w:t>
      </w:r>
      <w:r>
        <w:t>M</w:t>
      </w:r>
      <w:r w:rsidR="000022D4">
        <w:t>antida a forma de cálculo atual de contrapartidas</w:t>
      </w:r>
      <w:r w:rsidR="00E264C9">
        <w:t>, a partir de um percentual sobre o custo de obra calculado a partir do CUB, gera</w:t>
      </w:r>
      <w:r w:rsidR="003714E6">
        <w:t>m</w:t>
      </w:r>
      <w:r w:rsidR="0092740F">
        <w:t>-se</w:t>
      </w:r>
      <w:r w:rsidR="00E264C9">
        <w:t xml:space="preserve"> distorções desfavoráveis para empreendimentos que disponibilizarem menos vagas. Veja</w:t>
      </w:r>
      <w:r w:rsidR="003714E6">
        <w:t>mos</w:t>
      </w:r>
      <w:r w:rsidR="00E264C9">
        <w:t xml:space="preserve"> exemplo abaixo:</w:t>
      </w:r>
    </w:p>
    <w:p w:rsidR="00E264C9" w:rsidRDefault="00EF427B" w:rsidP="00EF427B">
      <w:pPr>
        <w:jc w:val="center"/>
      </w:pPr>
      <w:r w:rsidRPr="00EF427B">
        <w:rPr>
          <w:noProof/>
          <w:lang w:eastAsia="pt-BR"/>
        </w:rPr>
        <w:drawing>
          <wp:inline distT="0" distB="0" distL="0" distR="0">
            <wp:extent cx="5400040" cy="13425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58" w:rsidRDefault="0092740F" w:rsidP="00A90BEC">
      <w:pPr>
        <w:jc w:val="both"/>
      </w:pPr>
      <w:r>
        <w:lastRenderedPageBreak/>
        <w:t>Na</w:t>
      </w:r>
      <w:r w:rsidR="00EF427B">
        <w:t xml:space="preserve"> </w:t>
      </w:r>
      <w:r>
        <w:t>tabela</w:t>
      </w:r>
      <w:r w:rsidR="00EF427B">
        <w:t xml:space="preserve"> acima temos um empreendimento que poderia colocar até 285 vagas de garagem, se enquadrando em PGT</w:t>
      </w:r>
      <w:r w:rsidR="00354221">
        <w:t xml:space="preserve"> a partir da 120</w:t>
      </w:r>
      <w:r w:rsidR="002D61F7">
        <w:rPr>
          <w:vertAlign w:val="superscript"/>
        </w:rPr>
        <w:t>a</w:t>
      </w:r>
      <w:r w:rsidR="002D61F7">
        <w:t xml:space="preserve"> vaga,</w:t>
      </w:r>
      <w:r w:rsidR="00EF427B">
        <w:t xml:space="preserve"> e sujeito a pagar </w:t>
      </w:r>
      <w:r w:rsidR="00354221">
        <w:t>a contrapartida</w:t>
      </w:r>
      <w:r w:rsidR="002D61F7">
        <w:t xml:space="preserve"> varia</w:t>
      </w:r>
      <w:r w:rsidR="00423715">
        <w:t>ndo</w:t>
      </w:r>
      <w:r w:rsidR="002D61F7">
        <w:t xml:space="preserve"> de 1% a 5% do custo da Obra</w:t>
      </w:r>
      <w:r w:rsidR="00332A14">
        <w:t xml:space="preserve"> conforme quadro</w:t>
      </w:r>
      <w:r w:rsidR="002D61F7">
        <w:t xml:space="preserve">. </w:t>
      </w:r>
      <w:r w:rsidR="00423715">
        <w:t>N</w:t>
      </w:r>
      <w:r w:rsidR="002D61F7">
        <w:t>o cenário do empreendedor colocar todas as 285 vagas permitidas, o cálculo se mantém coerente</w:t>
      </w:r>
      <w:r w:rsidR="00423715">
        <w:t xml:space="preserve">. Já </w:t>
      </w:r>
      <w:r w:rsidR="003714E6">
        <w:t xml:space="preserve">se </w:t>
      </w:r>
      <w:r w:rsidR="002D61F7">
        <w:t>o empreendedor colocar apenas metade das vagas que lhe são permitidas</w:t>
      </w:r>
      <w:r w:rsidR="00332A14">
        <w:t xml:space="preserve">, incentivando a utilização de outros meios de transportes, a estimativa de contrapartida permanece a mesma. </w:t>
      </w:r>
      <w:r w:rsidR="003714E6">
        <w:t>Assim o</w:t>
      </w:r>
      <w:r w:rsidR="00332A14">
        <w:t xml:space="preserve"> </w:t>
      </w:r>
      <w:r w:rsidR="003714E6">
        <w:t>e</w:t>
      </w:r>
      <w:r w:rsidR="00332A14">
        <w:t>mpreendedor não tem incentivos para reduzir o número de vagas</w:t>
      </w:r>
      <w:r w:rsidR="002D61F7">
        <w:t xml:space="preserve">. </w:t>
      </w:r>
    </w:p>
    <w:p w:rsidR="00B40B95" w:rsidRDefault="003714E6" w:rsidP="00A90BEC">
      <w:pPr>
        <w:jc w:val="both"/>
      </w:pPr>
      <w:r>
        <w:t>Desta forma,</w:t>
      </w:r>
      <w:r w:rsidR="00B40B95">
        <w:t xml:space="preserve"> considerando o projeto de lei em discussão na Secretária Municipal de Transportes que cria o Fundo Municipal de Compensação de Impactos – FMCI, e converte as contrapartidas devidas em valores a serem depositados neste fundo</w:t>
      </w:r>
      <w:r w:rsidR="0092740F">
        <w:t xml:space="preserve">, </w:t>
      </w:r>
      <w:r w:rsidR="008D3248">
        <w:t>prop</w:t>
      </w:r>
      <w:r w:rsidR="0092740F">
        <w:t xml:space="preserve">omos </w:t>
      </w:r>
      <w:r w:rsidR="008D3248">
        <w:t xml:space="preserve">a alteração das regras </w:t>
      </w:r>
      <w:r w:rsidR="0092740F">
        <w:t xml:space="preserve">de </w:t>
      </w:r>
      <w:r w:rsidR="008D3248">
        <w:t>cálculo de contrapartidas para empreendimentos enquadrados em PGT</w:t>
      </w:r>
      <w:r>
        <w:t xml:space="preserve"> da seguinte forma</w:t>
      </w:r>
      <w:r w:rsidR="00AA725F">
        <w:t>:</w:t>
      </w:r>
    </w:p>
    <w:p w:rsidR="00B40B95" w:rsidRDefault="003714E6" w:rsidP="00A90BEC">
      <w:pPr>
        <w:jc w:val="both"/>
      </w:pPr>
      <w:r>
        <w:t>P</w:t>
      </w:r>
      <w:r w:rsidR="00B40B95">
        <w:t>ropo</w:t>
      </w:r>
      <w:r>
        <w:t>mos</w:t>
      </w:r>
      <w:r w:rsidR="00B40B95">
        <w:t xml:space="preserve"> que todos os novos empreendimentos com vagas de garagem passem a ser considerados como geradores de tráfego, independentemente do porte, e portanto</w:t>
      </w:r>
      <w:r w:rsidR="00BC6DAD">
        <w:t xml:space="preserve"> todos</w:t>
      </w:r>
      <w:r w:rsidR="00B40B95">
        <w:t xml:space="preserve"> estariam obrigados ao pagamento da contrapartida</w:t>
      </w:r>
      <w:r w:rsidR="00BC6DAD">
        <w:t xml:space="preserve"> ao FMCI</w:t>
      </w:r>
      <w:r w:rsidR="00B40B95">
        <w:t>.</w:t>
      </w:r>
    </w:p>
    <w:p w:rsidR="008D3248" w:rsidRDefault="00BC6DAD" w:rsidP="00A90BEC">
      <w:pPr>
        <w:jc w:val="both"/>
      </w:pPr>
      <w:r>
        <w:t>A forma de cálculo da contrapartida deve passar a ser mais clara e objetiva</w:t>
      </w:r>
      <w:r w:rsidR="00AA725F">
        <w:t>, incentivar a redução do número de vagas nos empreendimentos</w:t>
      </w:r>
      <w:r>
        <w:t xml:space="preserve">, e ser atrelada ao </w:t>
      </w:r>
      <w:r w:rsidR="003714E6">
        <w:t>parâmetro definidor da geração de tráfego</w:t>
      </w:r>
      <w:r w:rsidR="00AA725F">
        <w:t>, e não a área construída. O estabelecimento de um valor fixo a ser pago por vaga de garagem efetivamente projetada torna o processo mais</w:t>
      </w:r>
      <w:r w:rsidR="003714E6">
        <w:t xml:space="preserve"> claro, </w:t>
      </w:r>
      <w:r w:rsidR="007B6B13">
        <w:t>justo, imune a questionamentos e alinhado as intenções do PDE</w:t>
      </w:r>
      <w:r w:rsidR="00AA725F">
        <w:t xml:space="preserve">. A partir do momento que cada vaga de garagem acarreta um custo no processo de aprovação, também serve como incentivo </w:t>
      </w:r>
      <w:r w:rsidR="003714E6">
        <w:t>à</w:t>
      </w:r>
      <w:r w:rsidR="00AA725F">
        <w:t xml:space="preserve"> redução, ou eventualmente </w:t>
      </w:r>
      <w:r w:rsidR="003714E6">
        <w:t>à</w:t>
      </w:r>
      <w:r w:rsidR="00AA725F">
        <w:t xml:space="preserve"> supressão completa do número de vagas dos empreendimentos.</w:t>
      </w:r>
    </w:p>
    <w:sectPr w:rsidR="008D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61381"/>
    <w:multiLevelType w:val="hybridMultilevel"/>
    <w:tmpl w:val="9020B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C3"/>
    <w:rsid w:val="000001C9"/>
    <w:rsid w:val="000022D4"/>
    <w:rsid w:val="00002908"/>
    <w:rsid w:val="00024160"/>
    <w:rsid w:val="000260E2"/>
    <w:rsid w:val="00040935"/>
    <w:rsid w:val="00076234"/>
    <w:rsid w:val="000942E7"/>
    <w:rsid w:val="000A3174"/>
    <w:rsid w:val="000B492F"/>
    <w:rsid w:val="000B748E"/>
    <w:rsid w:val="000F46CE"/>
    <w:rsid w:val="00106E57"/>
    <w:rsid w:val="00125419"/>
    <w:rsid w:val="00126E7B"/>
    <w:rsid w:val="00143E44"/>
    <w:rsid w:val="001A5801"/>
    <w:rsid w:val="001C2E52"/>
    <w:rsid w:val="001D3E02"/>
    <w:rsid w:val="001D7E51"/>
    <w:rsid w:val="001F1978"/>
    <w:rsid w:val="001F7345"/>
    <w:rsid w:val="0020096E"/>
    <w:rsid w:val="00215825"/>
    <w:rsid w:val="002159F3"/>
    <w:rsid w:val="002326D5"/>
    <w:rsid w:val="00237B29"/>
    <w:rsid w:val="00240E92"/>
    <w:rsid w:val="00250A27"/>
    <w:rsid w:val="00253052"/>
    <w:rsid w:val="00272890"/>
    <w:rsid w:val="00285CC9"/>
    <w:rsid w:val="0029106C"/>
    <w:rsid w:val="002D1186"/>
    <w:rsid w:val="002D1924"/>
    <w:rsid w:val="002D61F7"/>
    <w:rsid w:val="00322644"/>
    <w:rsid w:val="00324D73"/>
    <w:rsid w:val="00330348"/>
    <w:rsid w:val="00330A45"/>
    <w:rsid w:val="00332A14"/>
    <w:rsid w:val="0033338B"/>
    <w:rsid w:val="00333CE5"/>
    <w:rsid w:val="00354221"/>
    <w:rsid w:val="003714E6"/>
    <w:rsid w:val="00384500"/>
    <w:rsid w:val="003A0BB0"/>
    <w:rsid w:val="003A1072"/>
    <w:rsid w:val="003A5C8F"/>
    <w:rsid w:val="003B0E65"/>
    <w:rsid w:val="003B44FC"/>
    <w:rsid w:val="003C4099"/>
    <w:rsid w:val="003F646B"/>
    <w:rsid w:val="00400B9E"/>
    <w:rsid w:val="00404D7E"/>
    <w:rsid w:val="00423090"/>
    <w:rsid w:val="00423715"/>
    <w:rsid w:val="0043037C"/>
    <w:rsid w:val="0043566C"/>
    <w:rsid w:val="00435AD6"/>
    <w:rsid w:val="004378C6"/>
    <w:rsid w:val="004475E1"/>
    <w:rsid w:val="00452EC0"/>
    <w:rsid w:val="00460010"/>
    <w:rsid w:val="004819AE"/>
    <w:rsid w:val="004931DE"/>
    <w:rsid w:val="004A7D32"/>
    <w:rsid w:val="004C07B6"/>
    <w:rsid w:val="004C18B7"/>
    <w:rsid w:val="004C33C0"/>
    <w:rsid w:val="005178D2"/>
    <w:rsid w:val="00554647"/>
    <w:rsid w:val="00567B41"/>
    <w:rsid w:val="0057148B"/>
    <w:rsid w:val="005761C9"/>
    <w:rsid w:val="005821DE"/>
    <w:rsid w:val="005945DD"/>
    <w:rsid w:val="005B2B32"/>
    <w:rsid w:val="005F313E"/>
    <w:rsid w:val="00632BD2"/>
    <w:rsid w:val="00637F5E"/>
    <w:rsid w:val="006560D4"/>
    <w:rsid w:val="00663702"/>
    <w:rsid w:val="0067507A"/>
    <w:rsid w:val="00685035"/>
    <w:rsid w:val="00686322"/>
    <w:rsid w:val="00692F63"/>
    <w:rsid w:val="0069615D"/>
    <w:rsid w:val="006B2384"/>
    <w:rsid w:val="006B49A0"/>
    <w:rsid w:val="006C3EB1"/>
    <w:rsid w:val="006D0DDA"/>
    <w:rsid w:val="006E53AF"/>
    <w:rsid w:val="006E60B8"/>
    <w:rsid w:val="006F7675"/>
    <w:rsid w:val="00721D3C"/>
    <w:rsid w:val="00730BED"/>
    <w:rsid w:val="00732B24"/>
    <w:rsid w:val="0074051B"/>
    <w:rsid w:val="0074736D"/>
    <w:rsid w:val="00755C8D"/>
    <w:rsid w:val="007569DD"/>
    <w:rsid w:val="00775D14"/>
    <w:rsid w:val="007966D9"/>
    <w:rsid w:val="007A3B25"/>
    <w:rsid w:val="007A6878"/>
    <w:rsid w:val="007B6B13"/>
    <w:rsid w:val="007C5120"/>
    <w:rsid w:val="007E29F9"/>
    <w:rsid w:val="00807FD5"/>
    <w:rsid w:val="008B3572"/>
    <w:rsid w:val="008B7C3E"/>
    <w:rsid w:val="008C4484"/>
    <w:rsid w:val="008C76A6"/>
    <w:rsid w:val="008D2F6C"/>
    <w:rsid w:val="008D3248"/>
    <w:rsid w:val="008D603A"/>
    <w:rsid w:val="008E15BF"/>
    <w:rsid w:val="008F54DF"/>
    <w:rsid w:val="009238AE"/>
    <w:rsid w:val="0092740F"/>
    <w:rsid w:val="00927FBB"/>
    <w:rsid w:val="00932471"/>
    <w:rsid w:val="00935DB8"/>
    <w:rsid w:val="00947261"/>
    <w:rsid w:val="0096111E"/>
    <w:rsid w:val="009742E9"/>
    <w:rsid w:val="009846CF"/>
    <w:rsid w:val="009920AB"/>
    <w:rsid w:val="009A6F8F"/>
    <w:rsid w:val="009C1CFE"/>
    <w:rsid w:val="009C5D92"/>
    <w:rsid w:val="009D2061"/>
    <w:rsid w:val="009E776D"/>
    <w:rsid w:val="009F150D"/>
    <w:rsid w:val="00A011A4"/>
    <w:rsid w:val="00A062A6"/>
    <w:rsid w:val="00A079B5"/>
    <w:rsid w:val="00A10D46"/>
    <w:rsid w:val="00A10DE8"/>
    <w:rsid w:val="00A1136B"/>
    <w:rsid w:val="00A24BEF"/>
    <w:rsid w:val="00A75F17"/>
    <w:rsid w:val="00A76D2B"/>
    <w:rsid w:val="00A90BEC"/>
    <w:rsid w:val="00A90EDB"/>
    <w:rsid w:val="00A9736E"/>
    <w:rsid w:val="00AA6122"/>
    <w:rsid w:val="00AA725F"/>
    <w:rsid w:val="00AA74D1"/>
    <w:rsid w:val="00AA76E1"/>
    <w:rsid w:val="00AC0EB5"/>
    <w:rsid w:val="00AE5B10"/>
    <w:rsid w:val="00B22394"/>
    <w:rsid w:val="00B40B95"/>
    <w:rsid w:val="00B50006"/>
    <w:rsid w:val="00B52EA5"/>
    <w:rsid w:val="00BB66B5"/>
    <w:rsid w:val="00BC2033"/>
    <w:rsid w:val="00BC6DAD"/>
    <w:rsid w:val="00BD7DCF"/>
    <w:rsid w:val="00BE73A4"/>
    <w:rsid w:val="00BF3133"/>
    <w:rsid w:val="00BF4488"/>
    <w:rsid w:val="00C10765"/>
    <w:rsid w:val="00C1236F"/>
    <w:rsid w:val="00C12EDE"/>
    <w:rsid w:val="00C57ECC"/>
    <w:rsid w:val="00C600A8"/>
    <w:rsid w:val="00C643F1"/>
    <w:rsid w:val="00C832FB"/>
    <w:rsid w:val="00CA69EB"/>
    <w:rsid w:val="00CD4C4F"/>
    <w:rsid w:val="00CE2264"/>
    <w:rsid w:val="00CF031E"/>
    <w:rsid w:val="00D00EE7"/>
    <w:rsid w:val="00D05475"/>
    <w:rsid w:val="00D07200"/>
    <w:rsid w:val="00D15368"/>
    <w:rsid w:val="00D17C29"/>
    <w:rsid w:val="00D36C2D"/>
    <w:rsid w:val="00D5194E"/>
    <w:rsid w:val="00D7311A"/>
    <w:rsid w:val="00DA4917"/>
    <w:rsid w:val="00DA5907"/>
    <w:rsid w:val="00DB6E6B"/>
    <w:rsid w:val="00DC6A83"/>
    <w:rsid w:val="00DD2030"/>
    <w:rsid w:val="00DD470D"/>
    <w:rsid w:val="00DF0C21"/>
    <w:rsid w:val="00DF2E0E"/>
    <w:rsid w:val="00E0519C"/>
    <w:rsid w:val="00E22CA6"/>
    <w:rsid w:val="00E264C9"/>
    <w:rsid w:val="00E34D82"/>
    <w:rsid w:val="00E72D96"/>
    <w:rsid w:val="00E833A8"/>
    <w:rsid w:val="00E866D5"/>
    <w:rsid w:val="00EA3BE7"/>
    <w:rsid w:val="00EB3DE1"/>
    <w:rsid w:val="00EC08C9"/>
    <w:rsid w:val="00EC0F93"/>
    <w:rsid w:val="00ED179A"/>
    <w:rsid w:val="00ED1C4A"/>
    <w:rsid w:val="00EF0F0F"/>
    <w:rsid w:val="00EF427B"/>
    <w:rsid w:val="00F11A30"/>
    <w:rsid w:val="00F12988"/>
    <w:rsid w:val="00F274DF"/>
    <w:rsid w:val="00F6070E"/>
    <w:rsid w:val="00F6085F"/>
    <w:rsid w:val="00F62845"/>
    <w:rsid w:val="00F702C3"/>
    <w:rsid w:val="00F82F0E"/>
    <w:rsid w:val="00F86D15"/>
    <w:rsid w:val="00F90A66"/>
    <w:rsid w:val="00FA1A58"/>
    <w:rsid w:val="00FA7473"/>
    <w:rsid w:val="00FA7E9B"/>
    <w:rsid w:val="00FC39DB"/>
    <w:rsid w:val="00FD2E56"/>
    <w:rsid w:val="00FE67C1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AA61-516D-4397-9C38-4C260A55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2C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1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79A"/>
    <w:rPr>
      <w:rFonts w:ascii="Segoe UI" w:hAnsi="Segoe UI" w:cs="Segoe UI"/>
      <w:sz w:val="18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BB66B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66B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Abrainc5</dc:creator>
  <cp:keywords/>
  <dc:description/>
  <cp:lastModifiedBy>Abrainc5</cp:lastModifiedBy>
  <cp:revision>2</cp:revision>
  <cp:lastPrinted>2015-02-10T19:19:00Z</cp:lastPrinted>
  <dcterms:created xsi:type="dcterms:W3CDTF">2015-02-27T22:00:00Z</dcterms:created>
  <dcterms:modified xsi:type="dcterms:W3CDTF">2015-02-27T22:00:00Z</dcterms:modified>
</cp:coreProperties>
</file>