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Prezados,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No Comitê de Incorporação de 11/6 na Abrainc contamos com as participações de Jaime Flechtman (Cyrela), Marco Adnet (AGDI), Luiz Armando (Plano e Plano), Paulo Assis (Direcional), Arturo Rondini (Trisul), Joseph Nigri (Tecnisa), Lucas Tarabori e Katia Varalla (Gafisa), Nick Dagan (Esser), Bruno Laskowsky (Viver), Paulo Aridan (Odebrecht), Renato Ventura, Fabio Barbagallo e Vladimir Iszlaji (Abrainc). Como convidado, Eduardo Della Manna (Secovi-SP).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Abaixo os assuntos discutidos: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Corretagem/ Modelo de Vendas – pg. 12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O papel da ABRAINC: promover discussões e esclarecimentos, sem recomendações nem definições. Buscaremos no enatanto avançar na questão de esclarecimentos sobre melhores práticas para o mercado.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Inclinação das empresas pela corretagem incluída no preço – reunião para acompanhamento de encaminhamentos pelas empresas 3ª-feira, 16/6 às 11h</w:t>
      </w:r>
      <w:r>
        <w:rPr>
          <w:rFonts w:ascii="Arial" w:hAnsi="Arial" w:cs="Times New Roman"/>
          <w:color w:val="222222"/>
          <w:szCs w:val="26"/>
          <w:lang w:val="pt-BR"/>
        </w:rPr>
        <w:t>;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Lei corretores associados –aperfeiçoamentos das questões trabalhistas via regulamentação da lei (JK)</w:t>
      </w:r>
      <w:r>
        <w:rPr>
          <w:rFonts w:ascii="Arial" w:hAnsi="Arial" w:cs="Times New Roman"/>
          <w:color w:val="222222"/>
          <w:szCs w:val="26"/>
          <w:lang w:val="pt-BR"/>
        </w:rPr>
        <w:t>;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Evento com ANAMAGES – produção de enunciados distribuídos p/ 14 mil juízes. Forma: sistema de debate c/ julgadores que produzirão entendimentos que serão distribuídos. Até 4 encontros – 1º sobre Corretagem.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Tese: Licitude da corretagem apartada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Há o risco de algum entendimento não se alinhar plenamente com nossas expectativas.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Risco da inação é maior, já que as decisões continuam a ser definidas sem nossa participação.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Muito importante avançarmos com uma preparação  prévia, buscando definir abordagem e interlocutores para as discussões.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Possíveis próximos temas: Segurança Jurídica, Distratos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Distratos – pg. 15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PL 1220/15 – Celso Russomano – retenção de 10%, devolução em 30 dias com juros de 1% e correção de todas as parcelas, direito de distrato unilateral pelo comprador.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Reunião com Celso Russomano 18/5 – Discussão no INADEC e retirada do PL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Propostas na apresentação em anexo na pg. 16. Comentários e novas sugestões são bem vindos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PL 178 (agora PLC 16) – atraso de obra - Tolerância de 180 dias, multa compensatória de 1% sobre valor pago, multa moratória de 0,5% ao mês sobre o valor pago.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Requerimento para tramitação conjunta com PLS 279 - Sem período de tolerância, multa moratória de 10% sobre o valor de contrato, 1% ao mês sobre o valor de contrato, distrato com devolução de 100% dos valores pagos, corrigidos pelo INPC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Proposta: Nota Técnica demonstrando o desequilíbrio do PLS Nº279 de 2014, defendendo PLC Nº16 de 2015 - Comentários a serem enviados por Conselho Jurídico (Rossi)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Repasse antecipado - Piloto Cyrela c/ Itaú – Após estabilização da questão de funding deve ser retomado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Insegurança jurídica e as cidades -  pg. 19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Proposta Arq.Futuro – Discussão urbanística de alto nível usando como âncoras casos como o do Parque Augusta e outros.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Tema: A Transformação Urbana: Tensões, Desafios e Oportunidades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Utilizar o debate em torno de projetos de grande impacto urbano como o Parque Augusta para responder questões relacionadas a temática, envolvendo Poder Público, Iniciativa Privada, Arquitetos, Urbanistas, Juristas, Economistas, Jornalistas, Pesquisadores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Vamos avançar com Arq.Futuro no desenvolvimento desta ideia.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Burocracia/ Licenciamento – pg. 21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Estratégia de abordagem candidatos 2016 – SP/RJ – pela transparência, agilidade e contra a corrupção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Ganhos para o cidadão, e atração de investimentos e receitas para as cidades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Temas gerais: Melhores práticas para análise e aprovação de projetos, revisão de leis, processos declaratórios, balcão único, informatização de processos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Preparação de material e apresentação p/ pré-candidatos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São Paulo – pg. 24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PL 272/2015 – Lei de Zoneamento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- Minuta enviada a câmara – Relatoria do Vereador Paulo Frange (PTB)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Eduardo Della Manna relatou que apesar dos esforços ensejados as solicitações de pontos importantes não foram aceitas. Seguem os 3 pontos mais críticos abaixo: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Limite de áreas não computáveis – minuta do PL limita o valor máximo da área total não computável ao da área total computável do empreendimento. Na legislação anterior este limite existia apenas para áreas não computáveis de garagens, não se aplicava a terraços, áreas de lazer cobertas, etc. Isto reduz a área total construída com impacto direto em área de venda.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Lote máximo de 15.000m² - terreno com área superior: desdobro (doação de 20% do terreno) ou parcelamento (doação de 40% do terreno)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Limite de gabarito no remanso - pelo PDE, limite de 8 pavimentos, livre se &gt; 50% da área empreendida com edifícios mais altos. PL: limitação deste gabarito ao edifício mais alta da quadra.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Posicionamento do setor: Manifestação Pública com foco nos impactos reais desta lei e do PDE na cidade e para os clientes – Redação de Nota em parceria com Secovi-SP para divulgação.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Portaria Nº56/ SEHAB.H/ 2015 – Definiu apenas convênio com recursos do FAR – p/ HIS2 necessário definição de convênio com recursos do FGTS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Decreto HIS – sendo produzido em SEL – audiência para acesso ao documento e propor que o setor comente.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SMT / PGT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– pg. 26 – Carta c/ argumentação sendo discutida em parceria com Secovi-SP na VPALUM e Comitê de Incorporação Abrainc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Todo empreendimento com vaga=PGT (exceto R2h)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Conceito de vaga pagadora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Cálculo da média dos empreendimentos enviados = R$4.648/vaga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Fórmula proposta (pg. 27) – VC/Vaga = 1,75 x CUB -&gt; R$2.799,51/ Vaga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defender fórmula com valor mais baixo do que a média pois todo empreendimento passara a pagar contrapartidas.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Assunto levado ao Secovi para obtenção de consenso – esperamos definição.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OUC Água Branca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– Revisão da lei – pg. 28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 Reunião com a Gerência de Operações Urbanas –elaboração de um novo decreto e PL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Estratégia: trabalhar na elaboração de novo decreto e PL juntamente com a SP Urbanismo. No entanto, aguardar novo leilão de CEPACS com baixa participação, além das eleições para iniciar o trabalho. Incluir este tema na estratégia de abordagem aos candidatos SP 2016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Eletropaulo –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relatório DGCGT – pg. 31 – Relatório completo em anexo para comentários até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2ª-feira, 22/6.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Conduta Eletropaulo possui respaldo normativo. Estratégia Jurídica proposta na pg. 31 da apresentação em anexo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Próximos passos: cada empresa interessada apresentará solicitação individual por via administrativa pleiteando o entendimento de que cada unidade autônoma seja considerada uma unidade consumidora  com MUSD menor que 2500kW. A partir das recusas formais da Eletropaulo a Abrainc terá subsídios para entrar via administrativa, ou judicial em favor de seus associados. Estas recusas formais também embasarão futura audiência com Gov. Alckmin sobre o ambiente desfavorável de negócios no Estado de SP.</w:t>
      </w:r>
      <w:r w:rsidRPr="00610A66">
        <w:rPr>
          <w:rFonts w:ascii="Arial" w:hAnsi="Arial" w:cs="Times New Roman"/>
          <w:color w:val="1F497D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Para acompanhamento do andamento desta questão, solicitamos que as empresas nos informem do andamento destes processos até o próximo comitê na 5ª-feira, 2/7.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Reuniões trimestrais p/ acompanhamento  de fluxo e operações – Em contato com Sinduscon para agendamento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36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CETESB</w:t>
      </w:r>
      <w:r w:rsidRPr="00610A66">
        <w:rPr>
          <w:rFonts w:ascii="Arial" w:hAnsi="Arial" w:cs="Times New Roman"/>
          <w:b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– pg. 29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Akatu – Diálogos de Transição – Mudança da percepção sobre o risco de contaminação pelos compradores e moradores de imóveis construídos em terrenos contaminados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Questão importante devido a questionamentos do MP e Distratos.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Trabalhar na mudança desta percepção do cliente também impactaria positivamente no mercado como um todo.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Questão delicada que exige cuidado no tratamento devido à falta de entendimento dos clientes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80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§</w:t>
      </w:r>
      <w:r w:rsidRPr="00610A66">
        <w:rPr>
          <w:rFonts w:ascii="Arial" w:hAnsi="Arial" w:cs="Times New Roman"/>
          <w:color w:val="222222"/>
          <w:szCs w:val="14"/>
          <w:lang w:val="pt-BR"/>
        </w:rPr>
        <w:t>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Marcar nova reunião com Akatu para traçar possíveis caminhos de forma tratar da questão com o devido cuidado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Sistema informatizado de gerenciamento de áreas contaminadas – Aguardando envio de orçamento pela Schlumberger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Elaboração de nova Decisão de Diretoria –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Reunião para acompanhamento agendada para 6ª-feira, 26/6 às 9h30 na CETESB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ind w:left="1080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o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Alterações no Decreto 59.263 – “Declaração de uso compatível” p/ Habite-se –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b/>
          <w:color w:val="222222"/>
          <w:szCs w:val="26"/>
          <w:lang w:val="pt-BR"/>
        </w:rPr>
        <w:t>Agendamento com Patrícia Iglecias para 4ª-feira, 8/7</w:t>
      </w:r>
      <w:r w:rsidRPr="00610A66">
        <w:rPr>
          <w:rFonts w:ascii="Arial" w:hAnsi="Arial" w:cs="Times New Roman"/>
          <w:color w:val="222222"/>
          <w:szCs w:val="26"/>
          <w:lang w:val="pt-BR"/>
        </w:rPr>
        <w:t>. Agradecemos ao Cláudio Carvalho (Cyrela) pela ajuda no agendamento desta reunião.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222222"/>
          <w:szCs w:val="26"/>
          <w:lang w:val="pt-BR"/>
        </w:rPr>
        <w:t>Atualizações – pg. 5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Acessibilidade – PL 7699/ 2006 – aprovado no Senado Federal. Segue para sanção presidencial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Prazos de Garantia CEF – itens da tabela em acordo. Questões pendentes (Início da vigência e comprovação de execução da manutenção para acionamento das garantias) sendo trabalhadas pelo comitê técnico, com ajuda de Carlos Del Mar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Funding – atualizações pg. 7</w:t>
      </w:r>
    </w:p>
    <w:p w:rsidR="00610A66" w:rsidRPr="00610A66" w:rsidRDefault="00610A66" w:rsidP="00610A66">
      <w:pPr>
        <w:shd w:val="clear" w:color="auto" w:fill="FFFFFF"/>
        <w:spacing w:beforeLines="1" w:afterLines="1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·</w:t>
      </w:r>
      <w:r w:rsidRPr="00610A66">
        <w:rPr>
          <w:rFonts w:ascii="Arial" w:hAnsi="Arial" w:cs="Times New Roman"/>
          <w:color w:val="222222"/>
          <w:szCs w:val="14"/>
          <w:lang w:val="pt-BR"/>
        </w:rPr>
        <w:t>        </w:t>
      </w:r>
      <w:r w:rsidRPr="00610A66">
        <w:rPr>
          <w:rFonts w:ascii="Arial" w:hAnsi="Arial" w:cs="Times New Roman"/>
          <w:color w:val="222222"/>
          <w:lang w:val="pt-BR"/>
        </w:rPr>
        <w:t> </w:t>
      </w:r>
      <w:r w:rsidRPr="00610A66">
        <w:rPr>
          <w:rFonts w:ascii="Arial" w:hAnsi="Arial" w:cs="Times New Roman"/>
          <w:color w:val="222222"/>
          <w:szCs w:val="26"/>
          <w:lang w:val="pt-BR"/>
        </w:rPr>
        <w:t>Cause – atualizações pg. 10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Atenciosamente,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1F4E79"/>
          <w:szCs w:val="20"/>
          <w:lang w:val="pt-BR"/>
        </w:rPr>
        <w:t>Vladimir Iszaji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fldChar w:fldCharType="begin"/>
      </w:r>
      <w:r w:rsidRPr="00610A66">
        <w:rPr>
          <w:rFonts w:ascii="Arial" w:hAnsi="Arial" w:cs="Times New Roman"/>
          <w:color w:val="222222"/>
          <w:szCs w:val="26"/>
          <w:lang w:val="pt-BR"/>
        </w:rPr>
        <w:instrText xml:space="preserve"> HYPERLINK "mailto:vladimir@abrainc.org.br" \t "_blank" </w:instrText>
      </w:r>
      <w:r w:rsidRPr="00610A66">
        <w:rPr>
          <w:rFonts w:ascii="Arial" w:hAnsi="Arial" w:cs="Times New Roman"/>
          <w:color w:val="222222"/>
          <w:szCs w:val="26"/>
          <w:lang w:val="pt-BR"/>
        </w:rPr>
      </w:r>
      <w:r w:rsidRPr="00610A66">
        <w:rPr>
          <w:rFonts w:ascii="Arial" w:hAnsi="Arial" w:cs="Times New Roman"/>
          <w:color w:val="222222"/>
          <w:szCs w:val="26"/>
          <w:lang w:val="pt-BR"/>
        </w:rPr>
        <w:fldChar w:fldCharType="separate"/>
      </w:r>
      <w:r w:rsidRPr="00610A66">
        <w:rPr>
          <w:rFonts w:ascii="Arial" w:hAnsi="Arial" w:cs="Times New Roman"/>
          <w:b/>
          <w:color w:val="0000FF"/>
          <w:szCs w:val="20"/>
          <w:u w:val="single"/>
          <w:lang w:val="pt-BR"/>
        </w:rPr>
        <w:t>vladimir@abrainc.org.br</w:t>
      </w:r>
      <w:r w:rsidRPr="00610A66">
        <w:rPr>
          <w:rFonts w:ascii="Arial" w:hAnsi="Arial" w:cs="Times New Roman"/>
          <w:color w:val="222222"/>
          <w:szCs w:val="26"/>
          <w:lang w:val="pt-BR"/>
        </w:rPr>
        <w:fldChar w:fldCharType="end"/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1F4E79"/>
          <w:szCs w:val="20"/>
          <w:lang w:val="pt-BR"/>
        </w:rPr>
        <w:t>Tel: 55 11 2737-1400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color w:val="222222"/>
          <w:szCs w:val="26"/>
          <w:lang w:val="pt-BR"/>
        </w:rPr>
        <w:fldChar w:fldCharType="begin"/>
      </w:r>
      <w:r w:rsidRPr="00610A66">
        <w:rPr>
          <w:rFonts w:ascii="Arial" w:hAnsi="Arial" w:cs="Times New Roman"/>
          <w:color w:val="222222"/>
          <w:szCs w:val="26"/>
          <w:lang w:val="pt-BR"/>
        </w:rPr>
        <w:instrText xml:space="preserve"> HYPERLINK "http://www.abrainc.org.br/" \t "_blank" </w:instrText>
      </w:r>
      <w:r w:rsidRPr="00610A66">
        <w:rPr>
          <w:rFonts w:ascii="Arial" w:hAnsi="Arial" w:cs="Times New Roman"/>
          <w:color w:val="222222"/>
          <w:szCs w:val="26"/>
          <w:lang w:val="pt-BR"/>
        </w:rPr>
      </w:r>
      <w:r w:rsidRPr="00610A66">
        <w:rPr>
          <w:rFonts w:ascii="Arial" w:hAnsi="Arial" w:cs="Times New Roman"/>
          <w:color w:val="222222"/>
          <w:szCs w:val="26"/>
          <w:lang w:val="pt-BR"/>
        </w:rPr>
        <w:fldChar w:fldCharType="separate"/>
      </w:r>
      <w:r w:rsidRPr="00610A66">
        <w:rPr>
          <w:rFonts w:ascii="Arial" w:hAnsi="Arial" w:cs="Times New Roman"/>
          <w:b/>
          <w:color w:val="0000FF"/>
          <w:szCs w:val="20"/>
          <w:u w:val="single"/>
          <w:lang w:val="pt-BR"/>
        </w:rPr>
        <w:t>www.abrainc.org.br</w:t>
      </w:r>
      <w:r w:rsidRPr="00610A66">
        <w:rPr>
          <w:rFonts w:ascii="Arial" w:hAnsi="Arial" w:cs="Times New Roman"/>
          <w:color w:val="222222"/>
          <w:szCs w:val="26"/>
          <w:lang w:val="pt-BR"/>
        </w:rPr>
        <w:fldChar w:fldCharType="end"/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  <w:r w:rsidRPr="00610A66">
        <w:rPr>
          <w:rFonts w:ascii="Arial" w:hAnsi="Arial" w:cs="Times New Roman"/>
          <w:b/>
          <w:color w:val="1F4E79"/>
          <w:szCs w:val="20"/>
          <w:lang w:val="pt-BR"/>
        </w:rPr>
        <w:t> </w:t>
      </w:r>
    </w:p>
    <w:p w:rsidR="00610A66" w:rsidRPr="00610A66" w:rsidRDefault="00610A66" w:rsidP="00610A66">
      <w:pPr>
        <w:shd w:val="clear" w:color="auto" w:fill="FFFFFF"/>
        <w:spacing w:after="0" w:line="360" w:lineRule="auto"/>
        <w:jc w:val="both"/>
        <w:rPr>
          <w:rFonts w:ascii="Arial" w:hAnsi="Arial" w:cs="Times New Roman"/>
          <w:color w:val="222222"/>
          <w:szCs w:val="26"/>
          <w:lang w:val="pt-BR"/>
        </w:rPr>
      </w:pPr>
    </w:p>
    <w:p w:rsidR="00600CC2" w:rsidRPr="00610A66" w:rsidRDefault="00610A66" w:rsidP="00610A66">
      <w:pPr>
        <w:spacing w:line="360" w:lineRule="auto"/>
        <w:jc w:val="both"/>
        <w:rPr>
          <w:rFonts w:ascii="Arial" w:hAnsi="Arial"/>
        </w:rPr>
      </w:pPr>
    </w:p>
    <w:sectPr w:rsidR="00600CC2" w:rsidRPr="00610A66" w:rsidSect="00161690">
      <w:footerReference w:type="even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10A66" w:rsidRDefault="00610A66" w:rsidP="00474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0A66" w:rsidRDefault="00610A66" w:rsidP="00610A66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10A66" w:rsidRDefault="00610A66" w:rsidP="00474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10A66" w:rsidRDefault="00610A66" w:rsidP="00610A66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10A66"/>
    <w:rsid w:val="00610A6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10A66"/>
    <w:pPr>
      <w:spacing w:beforeLines="1" w:afterLines="1"/>
    </w:pPr>
    <w:rPr>
      <w:rFonts w:ascii="Times" w:hAnsi="Times" w:cs="Times New Roman"/>
      <w:sz w:val="20"/>
      <w:szCs w:val="20"/>
      <w:lang w:val="pt-BR"/>
    </w:rPr>
  </w:style>
  <w:style w:type="character" w:customStyle="1" w:styleId="apple-converted-space">
    <w:name w:val="apple-converted-space"/>
    <w:basedOn w:val="DefaultParagraphFont"/>
    <w:rsid w:val="00610A66"/>
  </w:style>
  <w:style w:type="character" w:styleId="Hyperlink">
    <w:name w:val="Hyperlink"/>
    <w:basedOn w:val="DefaultParagraphFont"/>
    <w:uiPriority w:val="99"/>
    <w:rsid w:val="00610A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10A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10A6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A66"/>
  </w:style>
  <w:style w:type="paragraph" w:styleId="Footer">
    <w:name w:val="footer"/>
    <w:basedOn w:val="Normal"/>
    <w:link w:val="FooterChar"/>
    <w:uiPriority w:val="99"/>
    <w:semiHidden/>
    <w:unhideWhenUsed/>
    <w:rsid w:val="00610A6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A66"/>
  </w:style>
  <w:style w:type="character" w:styleId="PageNumber">
    <w:name w:val="page number"/>
    <w:basedOn w:val="DefaultParagraphFont"/>
    <w:uiPriority w:val="99"/>
    <w:semiHidden/>
    <w:unhideWhenUsed/>
    <w:rsid w:val="0061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1271</Words>
  <Characters>7248</Characters>
  <Application>Microsoft Word 12.0.0</Application>
  <DocSecurity>0</DocSecurity>
  <Lines>60</Lines>
  <Paragraphs>14</Paragraphs>
  <ScaleCrop>false</ScaleCrop>
  <Company>.....</Company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.....</dc:creator>
  <cp:keywords/>
  <cp:lastModifiedBy>.....</cp:lastModifiedBy>
  <cp:revision>1</cp:revision>
  <dcterms:created xsi:type="dcterms:W3CDTF">2015-08-04T17:52:00Z</dcterms:created>
  <dcterms:modified xsi:type="dcterms:W3CDTF">2015-08-04T17:59:00Z</dcterms:modified>
</cp:coreProperties>
</file>