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794" w:rsidRDefault="005D71DE" w:rsidP="00D11794">
      <w:pPr>
        <w:spacing w:line="360" w:lineRule="exact"/>
        <w:rPr>
          <w:rFonts w:eastAsia="Calibri"/>
        </w:rPr>
      </w:pPr>
      <w:r>
        <w:rPr>
          <w:rFonts w:eastAsia="Calibri"/>
        </w:rPr>
        <w:t xml:space="preserve">São Paulo, 1º </w:t>
      </w:r>
      <w:r w:rsidR="00D11794">
        <w:rPr>
          <w:rFonts w:eastAsia="Calibri"/>
        </w:rPr>
        <w:t xml:space="preserve">de </w:t>
      </w:r>
      <w:r>
        <w:rPr>
          <w:rFonts w:eastAsia="Calibri"/>
        </w:rPr>
        <w:t>junho</w:t>
      </w:r>
      <w:r w:rsidR="00D11794">
        <w:rPr>
          <w:rFonts w:eastAsia="Calibri"/>
        </w:rPr>
        <w:t xml:space="preserve"> de 2015. </w:t>
      </w:r>
    </w:p>
    <w:p w:rsidR="00D11794" w:rsidRDefault="00D11794" w:rsidP="00D11794">
      <w:pPr>
        <w:spacing w:line="360" w:lineRule="exact"/>
        <w:rPr>
          <w:rFonts w:eastAsia="Calibri"/>
        </w:rPr>
      </w:pPr>
    </w:p>
    <w:p w:rsidR="00D11794" w:rsidRDefault="00D11794" w:rsidP="00D11794">
      <w:pPr>
        <w:spacing w:line="360" w:lineRule="exact"/>
        <w:rPr>
          <w:rFonts w:eastAsia="Calibri"/>
        </w:rPr>
      </w:pPr>
      <w:r>
        <w:rPr>
          <w:rFonts w:eastAsia="Calibri"/>
        </w:rPr>
        <w:t>À</w:t>
      </w:r>
    </w:p>
    <w:p w:rsidR="00D11794" w:rsidRPr="009F3480" w:rsidRDefault="00D11794" w:rsidP="00D11794">
      <w:pPr>
        <w:spacing w:line="360" w:lineRule="exact"/>
        <w:rPr>
          <w:rFonts w:eastAsia="Calibri"/>
          <w:b/>
        </w:rPr>
      </w:pPr>
      <w:r w:rsidRPr="009F3480">
        <w:rPr>
          <w:rFonts w:eastAsia="Calibri"/>
          <w:b/>
        </w:rPr>
        <w:t xml:space="preserve">ABRAINC </w:t>
      </w:r>
      <w:r>
        <w:rPr>
          <w:rFonts w:eastAsia="Calibri"/>
          <w:b/>
        </w:rPr>
        <w:t xml:space="preserve">– </w:t>
      </w:r>
      <w:r w:rsidRPr="009F3480">
        <w:rPr>
          <w:rFonts w:eastAsia="Calibri"/>
          <w:b/>
        </w:rPr>
        <w:t>Associação Brasileira de Incorporadoras Imobiliárias</w:t>
      </w:r>
    </w:p>
    <w:p w:rsidR="00D11794" w:rsidRPr="00A81FE2" w:rsidRDefault="00D11794" w:rsidP="00D11794">
      <w:pPr>
        <w:spacing w:line="360" w:lineRule="exact"/>
        <w:rPr>
          <w:rFonts w:eastAsia="Calibri"/>
          <w:u w:val="single"/>
        </w:rPr>
      </w:pPr>
      <w:r>
        <w:rPr>
          <w:rFonts w:eastAsia="Calibri"/>
          <w:u w:val="single"/>
        </w:rPr>
        <w:t>São Paulo – SP</w:t>
      </w:r>
    </w:p>
    <w:p w:rsidR="00D11794" w:rsidRDefault="00D11794" w:rsidP="00D11794">
      <w:pPr>
        <w:spacing w:line="360" w:lineRule="exact"/>
        <w:rPr>
          <w:rFonts w:eastAsia="Calibri"/>
        </w:rPr>
      </w:pPr>
    </w:p>
    <w:p w:rsidR="00D11794" w:rsidRPr="0022386B" w:rsidRDefault="00D11794" w:rsidP="00D11794">
      <w:pPr>
        <w:rPr>
          <w:rFonts w:eastAsia="Calibri"/>
          <w:szCs w:val="24"/>
        </w:rPr>
      </w:pPr>
      <w:r>
        <w:rPr>
          <w:rFonts w:eastAsia="Calibri"/>
          <w:szCs w:val="24"/>
        </w:rPr>
        <w:t>A/</w:t>
      </w:r>
      <w:proofErr w:type="gramStart"/>
      <w:r>
        <w:rPr>
          <w:rFonts w:eastAsia="Calibri"/>
          <w:szCs w:val="24"/>
        </w:rPr>
        <w:t>C:</w:t>
      </w:r>
      <w:r>
        <w:rPr>
          <w:rFonts w:eastAsia="Calibri"/>
          <w:szCs w:val="24"/>
        </w:rPr>
        <w:tab/>
      </w:r>
      <w:proofErr w:type="gramEnd"/>
      <w:r w:rsidRPr="0022386B">
        <w:rPr>
          <w:rFonts w:eastAsia="Calibri"/>
          <w:szCs w:val="24"/>
        </w:rPr>
        <w:t xml:space="preserve">Renato Ventura </w:t>
      </w:r>
    </w:p>
    <w:p w:rsidR="00D11794" w:rsidRPr="00B62DE6" w:rsidRDefault="00D11794" w:rsidP="00D11794">
      <w:pPr>
        <w:rPr>
          <w:rFonts w:eastAsia="Calibri"/>
          <w:szCs w:val="24"/>
          <w:lang w:val="en-US"/>
        </w:rPr>
      </w:pPr>
      <w:r>
        <w:rPr>
          <w:szCs w:val="24"/>
        </w:rPr>
        <w:tab/>
      </w:r>
      <w:hyperlink r:id="rId11" w:history="1">
        <w:r w:rsidRPr="00B62DE6">
          <w:rPr>
            <w:rStyle w:val="Hyperlink"/>
            <w:rFonts w:eastAsia="Calibri"/>
            <w:szCs w:val="24"/>
            <w:lang w:val="en-US"/>
          </w:rPr>
          <w:t>rventura@abrainc.org.br</w:t>
        </w:r>
      </w:hyperlink>
    </w:p>
    <w:p w:rsidR="00D11794" w:rsidRPr="00B62DE6" w:rsidRDefault="00D11794" w:rsidP="00D11794">
      <w:pPr>
        <w:rPr>
          <w:rFonts w:eastAsia="Calibri"/>
          <w:szCs w:val="24"/>
          <w:lang w:val="en-US"/>
        </w:rPr>
      </w:pPr>
    </w:p>
    <w:p w:rsidR="00D11794" w:rsidRPr="00B62DE6" w:rsidRDefault="00D11794" w:rsidP="00D11794">
      <w:pPr>
        <w:rPr>
          <w:rFonts w:eastAsia="Calibri"/>
          <w:szCs w:val="24"/>
          <w:lang w:val="en-US"/>
        </w:rPr>
      </w:pPr>
      <w:r w:rsidRPr="00B62DE6">
        <w:rPr>
          <w:rFonts w:eastAsia="Calibri"/>
          <w:szCs w:val="24"/>
          <w:lang w:val="en-US"/>
        </w:rPr>
        <w:tab/>
      </w:r>
      <w:r w:rsidRPr="00B62DE6">
        <w:rPr>
          <w:bCs/>
          <w:szCs w:val="24"/>
          <w:lang w:val="en-US"/>
        </w:rPr>
        <w:t>Vladimir Iszaji</w:t>
      </w:r>
    </w:p>
    <w:p w:rsidR="00D11794" w:rsidRPr="00B62DE6" w:rsidRDefault="00D11794" w:rsidP="00D11794">
      <w:pPr>
        <w:rPr>
          <w:rFonts w:eastAsia="Calibri"/>
          <w:szCs w:val="24"/>
          <w:lang w:val="en-US"/>
        </w:rPr>
      </w:pPr>
      <w:r w:rsidRPr="00B62DE6">
        <w:rPr>
          <w:rFonts w:eastAsia="Calibri"/>
          <w:szCs w:val="24"/>
          <w:lang w:val="en-US"/>
        </w:rPr>
        <w:tab/>
      </w:r>
      <w:hyperlink r:id="rId12" w:history="1">
        <w:r w:rsidRPr="00B62DE6">
          <w:rPr>
            <w:rStyle w:val="Hyperlink"/>
            <w:bCs/>
            <w:szCs w:val="24"/>
            <w:lang w:val="en-US"/>
          </w:rPr>
          <w:t>vladimir@abrainc.org.br</w:t>
        </w:r>
      </w:hyperlink>
    </w:p>
    <w:p w:rsidR="00D11794" w:rsidRPr="00B62DE6" w:rsidRDefault="00D11794" w:rsidP="00D11794">
      <w:pPr>
        <w:spacing w:line="360" w:lineRule="exact"/>
        <w:rPr>
          <w:rFonts w:eastAsia="Calibri"/>
          <w:lang w:val="en-US"/>
        </w:rPr>
      </w:pPr>
    </w:p>
    <w:p w:rsidR="00D11794" w:rsidRDefault="00D11794" w:rsidP="00D11794">
      <w:pPr>
        <w:jc w:val="right"/>
        <w:rPr>
          <w:rFonts w:eastAsia="Calibri"/>
        </w:rPr>
      </w:pPr>
      <w:r w:rsidRPr="00B62DE6">
        <w:rPr>
          <w:rFonts w:eastAsia="Calibri"/>
          <w:lang w:val="en-US"/>
        </w:rPr>
        <w:t xml:space="preserve">Ref. </w:t>
      </w:r>
      <w:r w:rsidRPr="00B62DE6">
        <w:rPr>
          <w:rFonts w:eastAsia="Calibri"/>
          <w:lang w:val="en-US"/>
        </w:rPr>
        <w:tab/>
      </w:r>
      <w:r>
        <w:rPr>
          <w:rFonts w:eastAsia="Calibri"/>
        </w:rPr>
        <w:t>Exigências da ELETROPAULO</w:t>
      </w:r>
    </w:p>
    <w:p w:rsidR="00D11794" w:rsidRDefault="00D11794" w:rsidP="00D11794">
      <w:pPr>
        <w:jc w:val="right"/>
        <w:rPr>
          <w:rFonts w:eastAsia="Calibri"/>
        </w:rPr>
      </w:pPr>
      <w:proofErr w:type="gramStart"/>
      <w:r>
        <w:rPr>
          <w:rFonts w:eastAsia="Calibri"/>
        </w:rPr>
        <w:t>para</w:t>
      </w:r>
      <w:proofErr w:type="gramEnd"/>
      <w:r>
        <w:rPr>
          <w:rFonts w:eastAsia="Calibri"/>
        </w:rPr>
        <w:t xml:space="preserve"> novos empreendimentos</w:t>
      </w:r>
    </w:p>
    <w:p w:rsidR="00D11794" w:rsidRDefault="00D11794" w:rsidP="00D11794">
      <w:pPr>
        <w:spacing w:line="360" w:lineRule="exact"/>
        <w:rPr>
          <w:rFonts w:eastAsia="Calibri"/>
        </w:rPr>
      </w:pPr>
    </w:p>
    <w:p w:rsidR="00D11794" w:rsidRPr="002E713B" w:rsidRDefault="00D11794" w:rsidP="00D11794">
      <w:pPr>
        <w:spacing w:line="360" w:lineRule="exact"/>
        <w:rPr>
          <w:rFonts w:eastAsia="Calibri" w:cs="Arial"/>
          <w:szCs w:val="24"/>
        </w:rPr>
      </w:pPr>
    </w:p>
    <w:p w:rsidR="00D11794" w:rsidRPr="002E713B" w:rsidRDefault="00D11794" w:rsidP="00D11794">
      <w:pPr>
        <w:spacing w:line="360" w:lineRule="exact"/>
        <w:rPr>
          <w:rFonts w:eastAsia="Calibri" w:cs="Arial"/>
          <w:szCs w:val="24"/>
        </w:rPr>
      </w:pPr>
      <w:r w:rsidRPr="002E713B">
        <w:rPr>
          <w:rFonts w:eastAsia="Calibri" w:cs="Arial"/>
          <w:szCs w:val="24"/>
        </w:rPr>
        <w:t>Prezado</w:t>
      </w:r>
      <w:r>
        <w:rPr>
          <w:rFonts w:eastAsia="Calibri" w:cs="Arial"/>
          <w:szCs w:val="24"/>
        </w:rPr>
        <w:t>s</w:t>
      </w:r>
      <w:r w:rsidRPr="002E713B">
        <w:rPr>
          <w:rFonts w:eastAsia="Calibri" w:cs="Arial"/>
          <w:szCs w:val="24"/>
        </w:rPr>
        <w:t xml:space="preserve"> </w:t>
      </w:r>
      <w:r>
        <w:rPr>
          <w:rFonts w:eastAsia="Calibri" w:cs="Arial"/>
          <w:szCs w:val="24"/>
        </w:rPr>
        <w:t>Senhores</w:t>
      </w:r>
      <w:r w:rsidRPr="002E713B">
        <w:rPr>
          <w:rFonts w:eastAsia="Calibri" w:cs="Arial"/>
          <w:szCs w:val="24"/>
        </w:rPr>
        <w:t>,</w:t>
      </w:r>
    </w:p>
    <w:p w:rsidR="00D11794" w:rsidRPr="002E713B" w:rsidRDefault="00D11794" w:rsidP="00D11794">
      <w:pPr>
        <w:spacing w:line="360" w:lineRule="exact"/>
        <w:rPr>
          <w:rFonts w:eastAsia="Calibri" w:cs="Arial"/>
          <w:szCs w:val="24"/>
        </w:rPr>
      </w:pPr>
    </w:p>
    <w:p w:rsidR="00D11794" w:rsidRDefault="00D11794" w:rsidP="00D11794">
      <w:pPr>
        <w:spacing w:line="360" w:lineRule="exact"/>
        <w:rPr>
          <w:rFonts w:eastAsia="Calibri" w:cs="Arial"/>
          <w:szCs w:val="24"/>
        </w:rPr>
      </w:pPr>
      <w:r>
        <w:rPr>
          <w:rFonts w:eastAsia="Calibri" w:cs="Arial"/>
          <w:szCs w:val="24"/>
        </w:rPr>
        <w:t xml:space="preserve">Consulta-nos a </w:t>
      </w:r>
      <w:r>
        <w:rPr>
          <w:rFonts w:eastAsia="Calibri" w:cs="Arial"/>
          <w:smallCaps/>
          <w:szCs w:val="24"/>
        </w:rPr>
        <w:t>Associação Brasileira de Incorporadoras Imobiliárias (ABRAINC)</w:t>
      </w:r>
      <w:r w:rsidRPr="002E713B">
        <w:rPr>
          <w:rFonts w:eastAsia="Calibri" w:cs="Arial"/>
          <w:szCs w:val="24"/>
        </w:rPr>
        <w:t xml:space="preserve"> </w:t>
      </w:r>
      <w:r>
        <w:rPr>
          <w:rFonts w:eastAsia="Calibri" w:cs="Arial"/>
          <w:szCs w:val="24"/>
        </w:rPr>
        <w:t xml:space="preserve">sobre as </w:t>
      </w:r>
      <w:r w:rsidRPr="002E713B">
        <w:rPr>
          <w:rFonts w:eastAsia="Calibri" w:cs="Arial"/>
          <w:szCs w:val="24"/>
        </w:rPr>
        <w:t xml:space="preserve">novas </w:t>
      </w:r>
      <w:r>
        <w:rPr>
          <w:rFonts w:eastAsia="Calibri" w:cs="Arial"/>
          <w:szCs w:val="24"/>
        </w:rPr>
        <w:t xml:space="preserve">condições de acesso e </w:t>
      </w:r>
      <w:r w:rsidRPr="00D47A69">
        <w:rPr>
          <w:rFonts w:cs="Arial"/>
          <w:szCs w:val="24"/>
        </w:rPr>
        <w:t>conexão ao sistema de distribuição</w:t>
      </w:r>
      <w:r>
        <w:rPr>
          <w:rFonts w:cs="Arial"/>
          <w:szCs w:val="24"/>
        </w:rPr>
        <w:t xml:space="preserve"> de energia, impostas pela </w:t>
      </w:r>
      <w:r>
        <w:rPr>
          <w:rFonts w:cs="Arial"/>
          <w:smallCaps/>
          <w:szCs w:val="24"/>
        </w:rPr>
        <w:t>Eletropaulo</w:t>
      </w:r>
      <w:r>
        <w:rPr>
          <w:rFonts w:cs="Arial"/>
          <w:szCs w:val="24"/>
        </w:rPr>
        <w:t xml:space="preserve"> aos </w:t>
      </w:r>
      <w:r w:rsidRPr="002E713B">
        <w:rPr>
          <w:rFonts w:eastAsia="Calibri" w:cs="Arial"/>
          <w:szCs w:val="24"/>
        </w:rPr>
        <w:t>empreendimentos imobiliários</w:t>
      </w:r>
      <w:r>
        <w:rPr>
          <w:rFonts w:eastAsia="Calibri" w:cs="Arial"/>
          <w:szCs w:val="24"/>
        </w:rPr>
        <w:t xml:space="preserve"> </w:t>
      </w:r>
      <w:r w:rsidRPr="00E63A84">
        <w:rPr>
          <w:rFonts w:eastAsia="Calibri" w:cs="Arial"/>
          <w:szCs w:val="24"/>
          <w:u w:val="single"/>
        </w:rPr>
        <w:t>comerciais</w:t>
      </w:r>
      <w:r>
        <w:rPr>
          <w:rFonts w:eastAsia="Calibri" w:cs="Arial"/>
          <w:szCs w:val="24"/>
        </w:rPr>
        <w:t xml:space="preserve"> a serem executados </w:t>
      </w:r>
      <w:r w:rsidR="00B32A3A">
        <w:rPr>
          <w:rFonts w:eastAsia="Calibri" w:cs="Arial"/>
          <w:szCs w:val="24"/>
        </w:rPr>
        <w:t>na região metropolitana de São Paulo-SP.</w:t>
      </w:r>
    </w:p>
    <w:p w:rsidR="00D11794" w:rsidRDefault="00D11794" w:rsidP="00D11794">
      <w:pPr>
        <w:spacing w:line="360" w:lineRule="exact"/>
        <w:rPr>
          <w:rFonts w:eastAsia="Calibri" w:cs="Arial"/>
          <w:szCs w:val="24"/>
        </w:rPr>
      </w:pPr>
    </w:p>
    <w:p w:rsidR="00D11794" w:rsidRDefault="00D11794" w:rsidP="00D11794">
      <w:pPr>
        <w:spacing w:line="360" w:lineRule="exact"/>
        <w:rPr>
          <w:rFonts w:cs="Arial"/>
          <w:szCs w:val="24"/>
        </w:rPr>
      </w:pPr>
      <w:r>
        <w:rPr>
          <w:rFonts w:eastAsia="Calibri" w:cs="Arial"/>
          <w:szCs w:val="24"/>
        </w:rPr>
        <w:t xml:space="preserve">Segundo relatam-nos </w:t>
      </w:r>
      <w:proofErr w:type="gramStart"/>
      <w:r>
        <w:rPr>
          <w:rFonts w:eastAsia="Calibri" w:cs="Arial"/>
          <w:szCs w:val="24"/>
        </w:rPr>
        <w:t>V.Sas.</w:t>
      </w:r>
      <w:r>
        <w:rPr>
          <w:rFonts w:cs="Arial"/>
          <w:szCs w:val="24"/>
        </w:rPr>
        <w:t>,</w:t>
      </w:r>
      <w:proofErr w:type="gramEnd"/>
      <w:r>
        <w:rPr>
          <w:rFonts w:cs="Arial"/>
          <w:szCs w:val="24"/>
        </w:rPr>
        <w:t xml:space="preserve"> recentemente, a </w:t>
      </w:r>
      <w:r>
        <w:rPr>
          <w:rFonts w:cs="Arial"/>
          <w:smallCaps/>
          <w:szCs w:val="24"/>
        </w:rPr>
        <w:t xml:space="preserve">Eletropaulo </w:t>
      </w:r>
      <w:r>
        <w:rPr>
          <w:rFonts w:cs="Arial"/>
          <w:szCs w:val="24"/>
        </w:rPr>
        <w:t xml:space="preserve">decidiu que seriam sempre atendidos com tensão de fornecimento de 88 kV (alta tensão), </w:t>
      </w:r>
      <w:r>
        <w:rPr>
          <w:rFonts w:cs="Arial"/>
          <w:szCs w:val="24"/>
        </w:rPr>
        <w:lastRenderedPageBreak/>
        <w:t>todos os novos empreendimentos comerciais que pretendam contratar e se valer de um MUSD</w:t>
      </w:r>
      <w:r>
        <w:rPr>
          <w:rStyle w:val="Refdenotaderodap"/>
          <w:rFonts w:cs="Arial"/>
          <w:szCs w:val="24"/>
        </w:rPr>
        <w:footnoteReference w:id="1"/>
      </w:r>
      <w:r>
        <w:rPr>
          <w:rFonts w:cs="Arial"/>
          <w:szCs w:val="24"/>
        </w:rPr>
        <w:t xml:space="preserve"> superior a 2500 kW.</w:t>
      </w:r>
    </w:p>
    <w:p w:rsidR="00D11794" w:rsidRDefault="00D11794" w:rsidP="00D11794">
      <w:pPr>
        <w:spacing w:line="360" w:lineRule="exact"/>
        <w:rPr>
          <w:rFonts w:cs="Arial"/>
          <w:szCs w:val="24"/>
        </w:rPr>
      </w:pPr>
    </w:p>
    <w:p w:rsidR="00D11794" w:rsidRDefault="00D11794" w:rsidP="00D11794">
      <w:pPr>
        <w:spacing w:line="360" w:lineRule="exact"/>
        <w:rPr>
          <w:rFonts w:cs="Arial"/>
          <w:szCs w:val="24"/>
        </w:rPr>
      </w:pPr>
      <w:r>
        <w:rPr>
          <w:rFonts w:cs="Arial"/>
          <w:szCs w:val="24"/>
        </w:rPr>
        <w:t xml:space="preserve">Como consequência, o fornecimento de energia em alta tensão obriga o particular a implantar a infraestrutura </w:t>
      </w:r>
      <w:r w:rsidR="00FC414C">
        <w:rPr>
          <w:rFonts w:cs="Arial"/>
          <w:szCs w:val="24"/>
        </w:rPr>
        <w:t>para o respectivo</w:t>
      </w:r>
      <w:r>
        <w:rPr>
          <w:rFonts w:cs="Arial"/>
          <w:szCs w:val="24"/>
        </w:rPr>
        <w:t xml:space="preserve"> rebaixamento, notadamente, a instalação de subestação </w:t>
      </w:r>
      <w:r w:rsidR="00B53084">
        <w:rPr>
          <w:rFonts w:cs="Arial"/>
          <w:szCs w:val="24"/>
        </w:rPr>
        <w:t>independente</w:t>
      </w:r>
      <w:r>
        <w:rPr>
          <w:rFonts w:cs="Arial"/>
          <w:szCs w:val="24"/>
        </w:rPr>
        <w:t xml:space="preserve"> no</w:t>
      </w:r>
      <w:r w:rsidR="00B53084">
        <w:rPr>
          <w:rFonts w:cs="Arial"/>
          <w:szCs w:val="24"/>
        </w:rPr>
        <w:t xml:space="preserve"> </w:t>
      </w:r>
      <w:r w:rsidR="00B53084" w:rsidRPr="00B53084">
        <w:rPr>
          <w:rFonts w:cs="Arial"/>
          <w:szCs w:val="24"/>
          <w:u w:val="single"/>
        </w:rPr>
        <w:t>próprio</w:t>
      </w:r>
      <w:r w:rsidRPr="00B53084">
        <w:rPr>
          <w:rFonts w:cs="Arial"/>
          <w:szCs w:val="24"/>
          <w:u w:val="single"/>
        </w:rPr>
        <w:t xml:space="preserve"> terreno</w:t>
      </w:r>
      <w:r>
        <w:rPr>
          <w:rFonts w:cs="Arial"/>
          <w:szCs w:val="24"/>
        </w:rPr>
        <w:t xml:space="preserve"> do empreendimento</w:t>
      </w:r>
      <w:r w:rsidR="00B53084">
        <w:rPr>
          <w:rFonts w:cs="Arial"/>
          <w:szCs w:val="24"/>
        </w:rPr>
        <w:t>,</w:t>
      </w:r>
      <w:r>
        <w:rPr>
          <w:rFonts w:cs="Arial"/>
          <w:szCs w:val="24"/>
        </w:rPr>
        <w:t xml:space="preserve"> </w:t>
      </w:r>
      <w:r w:rsidRPr="002E713B">
        <w:rPr>
          <w:rFonts w:eastAsia="Calibri" w:cs="Arial"/>
          <w:szCs w:val="24"/>
        </w:rPr>
        <w:t xml:space="preserve">o que </w:t>
      </w:r>
      <w:r>
        <w:rPr>
          <w:rFonts w:eastAsia="Calibri" w:cs="Arial"/>
          <w:szCs w:val="24"/>
        </w:rPr>
        <w:t>implica</w:t>
      </w:r>
      <w:r w:rsidR="00FC414C">
        <w:rPr>
          <w:rFonts w:eastAsia="Calibri" w:cs="Arial"/>
          <w:szCs w:val="24"/>
        </w:rPr>
        <w:t xml:space="preserve"> evidente</w:t>
      </w:r>
      <w:r>
        <w:rPr>
          <w:rFonts w:eastAsia="Calibri" w:cs="Arial"/>
          <w:szCs w:val="24"/>
        </w:rPr>
        <w:t xml:space="preserve"> </w:t>
      </w:r>
      <w:r w:rsidRPr="002E713B">
        <w:rPr>
          <w:rFonts w:eastAsia="Calibri" w:cs="Arial"/>
          <w:szCs w:val="24"/>
        </w:rPr>
        <w:t>sobreoneração no custo das unidades a serem construídas</w:t>
      </w:r>
      <w:r>
        <w:rPr>
          <w:rFonts w:cs="Arial"/>
          <w:szCs w:val="24"/>
        </w:rPr>
        <w:t>.</w:t>
      </w:r>
    </w:p>
    <w:p w:rsidR="00D11794" w:rsidRDefault="00D11794" w:rsidP="00D11794">
      <w:pPr>
        <w:spacing w:line="360" w:lineRule="exact"/>
        <w:rPr>
          <w:rFonts w:cs="Arial"/>
          <w:szCs w:val="24"/>
        </w:rPr>
      </w:pPr>
    </w:p>
    <w:p w:rsidR="00D11794" w:rsidRDefault="00D11794" w:rsidP="00D11794">
      <w:pPr>
        <w:spacing w:line="360" w:lineRule="exact"/>
        <w:rPr>
          <w:rFonts w:cs="Arial"/>
          <w:szCs w:val="24"/>
        </w:rPr>
      </w:pPr>
      <w:r>
        <w:rPr>
          <w:rFonts w:cs="Arial"/>
          <w:szCs w:val="24"/>
        </w:rPr>
        <w:t xml:space="preserve">A </w:t>
      </w:r>
      <w:r w:rsidR="00B53084">
        <w:rPr>
          <w:rFonts w:cs="Arial"/>
          <w:szCs w:val="24"/>
        </w:rPr>
        <w:t>nova conduta</w:t>
      </w:r>
      <w:r>
        <w:rPr>
          <w:rFonts w:cs="Arial"/>
          <w:szCs w:val="24"/>
        </w:rPr>
        <w:t xml:space="preserve"> </w:t>
      </w:r>
      <w:r w:rsidRPr="0032640D">
        <w:rPr>
          <w:rFonts w:cs="Arial"/>
          <w:szCs w:val="24"/>
        </w:rPr>
        <w:t>da</w:t>
      </w:r>
      <w:r>
        <w:rPr>
          <w:rFonts w:cs="Arial"/>
          <w:szCs w:val="24"/>
        </w:rPr>
        <w:t xml:space="preserve"> </w:t>
      </w:r>
      <w:r>
        <w:rPr>
          <w:rFonts w:cs="Arial"/>
          <w:smallCaps/>
          <w:szCs w:val="24"/>
        </w:rPr>
        <w:t xml:space="preserve">Eletropaulo </w:t>
      </w:r>
      <w:r>
        <w:rPr>
          <w:rFonts w:cs="Arial"/>
          <w:szCs w:val="24"/>
        </w:rPr>
        <w:t xml:space="preserve">estaria respaldada nas circunstâncias técnicas atualmente vigentes na cidade de São Paulo – sobrecarga da rede da Concessionária –, que justificariam a modificação de seu posicionamento anterior, </w:t>
      </w:r>
      <w:r w:rsidR="008D0A49">
        <w:rPr>
          <w:rFonts w:cs="Arial"/>
          <w:szCs w:val="24"/>
        </w:rPr>
        <w:t>pelo fornecimento de</w:t>
      </w:r>
      <w:r>
        <w:rPr>
          <w:rFonts w:cs="Arial"/>
          <w:szCs w:val="24"/>
        </w:rPr>
        <w:t xml:space="preserve"> energia em baixa ou média tensão aos empreendimentos comerciais.</w:t>
      </w:r>
    </w:p>
    <w:p w:rsidR="00801521" w:rsidRDefault="00801521" w:rsidP="00D11794">
      <w:pPr>
        <w:spacing w:line="360" w:lineRule="exact"/>
        <w:rPr>
          <w:rFonts w:cs="Arial"/>
          <w:szCs w:val="24"/>
        </w:rPr>
      </w:pPr>
    </w:p>
    <w:p w:rsidR="00801521" w:rsidRPr="0032640D" w:rsidRDefault="00FE63F0" w:rsidP="00D11794">
      <w:pPr>
        <w:spacing w:line="360" w:lineRule="exact"/>
        <w:rPr>
          <w:rFonts w:cs="Arial"/>
          <w:szCs w:val="24"/>
        </w:rPr>
      </w:pPr>
      <w:r>
        <w:rPr>
          <w:rFonts w:cs="Arial"/>
          <w:szCs w:val="24"/>
        </w:rPr>
        <w:t>C</w:t>
      </w:r>
      <w:bookmarkStart w:id="0" w:name="_GoBack"/>
      <w:bookmarkEnd w:id="0"/>
      <w:r>
        <w:rPr>
          <w:rFonts w:cs="Arial"/>
          <w:szCs w:val="24"/>
        </w:rPr>
        <w:t>onforme informações obtidas,</w:t>
      </w:r>
      <w:r w:rsidR="00801521">
        <w:rPr>
          <w:rFonts w:cs="Arial"/>
          <w:szCs w:val="24"/>
        </w:rPr>
        <w:t xml:space="preserve"> </w:t>
      </w:r>
      <w:r>
        <w:rPr>
          <w:rFonts w:cs="Arial"/>
          <w:szCs w:val="24"/>
        </w:rPr>
        <w:t xml:space="preserve">aos </w:t>
      </w:r>
      <w:r w:rsidRPr="000615AF">
        <w:rPr>
          <w:rFonts w:cs="Arial"/>
          <w:szCs w:val="24"/>
          <w:u w:val="single"/>
        </w:rPr>
        <w:t>empreendimentos residenciais</w:t>
      </w:r>
      <w:r>
        <w:rPr>
          <w:rFonts w:cs="Arial"/>
          <w:szCs w:val="24"/>
        </w:rPr>
        <w:t xml:space="preserve">, </w:t>
      </w:r>
      <w:r w:rsidR="000A4174">
        <w:rPr>
          <w:rFonts w:cs="Arial"/>
          <w:szCs w:val="24"/>
        </w:rPr>
        <w:t xml:space="preserve">a </w:t>
      </w:r>
      <w:r w:rsidR="000A4174">
        <w:rPr>
          <w:rFonts w:cs="Arial"/>
          <w:smallCaps/>
          <w:szCs w:val="24"/>
        </w:rPr>
        <w:t>Eletropaulo</w:t>
      </w:r>
      <w:r w:rsidR="000A4174">
        <w:rPr>
          <w:rFonts w:cs="Arial"/>
          <w:szCs w:val="24"/>
        </w:rPr>
        <w:t xml:space="preserve"> continua a </w:t>
      </w:r>
      <w:r w:rsidR="00F60345">
        <w:rPr>
          <w:rFonts w:cs="Arial"/>
          <w:szCs w:val="24"/>
        </w:rPr>
        <w:t>entregar</w:t>
      </w:r>
      <w:r w:rsidR="000A4174">
        <w:rPr>
          <w:rFonts w:cs="Arial"/>
          <w:szCs w:val="24"/>
        </w:rPr>
        <w:t xml:space="preserve"> </w:t>
      </w:r>
      <w:r>
        <w:rPr>
          <w:rFonts w:cs="Arial"/>
          <w:szCs w:val="24"/>
        </w:rPr>
        <w:t xml:space="preserve">energia </w:t>
      </w:r>
      <w:r w:rsidR="00F60345">
        <w:rPr>
          <w:rFonts w:cs="Arial"/>
          <w:szCs w:val="24"/>
        </w:rPr>
        <w:t>elétrica em média ou baixa tensão.</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Diante de todo esse novo panorama, consulta-nos a ABRAINC sobre:</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 xml:space="preserve">(i) – a legalidade da nova orientação técnica da </w:t>
      </w:r>
      <w:r>
        <w:rPr>
          <w:smallCaps/>
          <w:color w:val="auto"/>
        </w:rPr>
        <w:t>Eletropaulo</w:t>
      </w:r>
      <w:r>
        <w:rPr>
          <w:color w:val="auto"/>
        </w:rPr>
        <w:t>; e</w:t>
      </w:r>
    </w:p>
    <w:p w:rsidR="00D11794" w:rsidRDefault="00D11794" w:rsidP="00D11794">
      <w:pPr>
        <w:pStyle w:val="Default"/>
        <w:spacing w:line="360" w:lineRule="exact"/>
        <w:jc w:val="both"/>
        <w:rPr>
          <w:color w:val="auto"/>
        </w:rPr>
      </w:pPr>
    </w:p>
    <w:p w:rsidR="00D11794" w:rsidRPr="0094436B" w:rsidRDefault="00D11794" w:rsidP="00D11794">
      <w:pPr>
        <w:pStyle w:val="Default"/>
        <w:spacing w:line="360" w:lineRule="exact"/>
        <w:jc w:val="both"/>
        <w:rPr>
          <w:color w:val="auto"/>
        </w:rPr>
      </w:pPr>
      <w:r>
        <w:rPr>
          <w:color w:val="auto"/>
        </w:rPr>
        <w:t xml:space="preserve">(ii) – a melhor estratégia jurídica (administrativa e/ou judicial) para questionar a </w:t>
      </w:r>
      <w:proofErr w:type="gramStart"/>
      <w:r>
        <w:rPr>
          <w:color w:val="auto"/>
        </w:rPr>
        <w:t>nova</w:t>
      </w:r>
      <w:proofErr w:type="gramEnd"/>
      <w:r>
        <w:rPr>
          <w:color w:val="auto"/>
        </w:rPr>
        <w:t xml:space="preserve"> orientação técnica, o</w:t>
      </w:r>
      <w:r w:rsidRPr="0094436B">
        <w:rPr>
          <w:color w:val="auto"/>
        </w:rPr>
        <w:t xml:space="preserve">u para que as suas associadas não se submetam às exigências da </w:t>
      </w:r>
      <w:r w:rsidRPr="0094436B">
        <w:rPr>
          <w:smallCaps/>
          <w:color w:val="auto"/>
        </w:rPr>
        <w:t>Eletropaulo</w:t>
      </w:r>
      <w:r w:rsidRPr="0094436B">
        <w:rPr>
          <w:color w:val="auto"/>
        </w:rPr>
        <w:t>.</w:t>
      </w:r>
    </w:p>
    <w:p w:rsidR="00D11794" w:rsidRPr="0094436B"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É o que se passa a examinar.</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p>
    <w:p w:rsidR="00D11794" w:rsidRPr="0094436B" w:rsidRDefault="00D11794" w:rsidP="00D11794">
      <w:pPr>
        <w:pStyle w:val="Default"/>
        <w:spacing w:line="360" w:lineRule="exact"/>
        <w:jc w:val="both"/>
        <w:rPr>
          <w:rFonts w:ascii="Arial Negrito" w:hAnsi="Arial Negrito"/>
          <w:b/>
          <w:smallCaps/>
          <w:color w:val="auto"/>
          <w:u w:val="single"/>
        </w:rPr>
      </w:pPr>
      <w:r w:rsidRPr="0094436B">
        <w:rPr>
          <w:rFonts w:ascii="Arial Negrito" w:hAnsi="Arial Negrito"/>
          <w:b/>
          <w:smallCaps/>
          <w:color w:val="auto"/>
        </w:rPr>
        <w:t xml:space="preserve">I – </w:t>
      </w:r>
      <w:r>
        <w:rPr>
          <w:rFonts w:ascii="Arial Negrito" w:hAnsi="Arial Negrito"/>
          <w:b/>
          <w:smallCaps/>
          <w:color w:val="auto"/>
          <w:u w:val="single"/>
        </w:rPr>
        <w:t>Panorama Regulatório</w:t>
      </w:r>
    </w:p>
    <w:p w:rsidR="00D11794" w:rsidRDefault="00D11794" w:rsidP="00D11794">
      <w:pPr>
        <w:pStyle w:val="Default"/>
        <w:spacing w:line="360" w:lineRule="exact"/>
        <w:jc w:val="both"/>
        <w:rPr>
          <w:color w:val="auto"/>
        </w:rPr>
      </w:pPr>
    </w:p>
    <w:p w:rsidR="00D11794" w:rsidRPr="00D56B56" w:rsidRDefault="00D11794" w:rsidP="00D11794">
      <w:pPr>
        <w:pStyle w:val="Default"/>
        <w:spacing w:line="360" w:lineRule="exact"/>
        <w:jc w:val="both"/>
        <w:rPr>
          <w:color w:val="auto"/>
        </w:rPr>
      </w:pPr>
      <w:r>
        <w:rPr>
          <w:color w:val="auto"/>
        </w:rPr>
        <w:t xml:space="preserve">Em primeiro lugar, é importante traçar o contexto regulatório em que a matéria está inserida, especialmente no âmbito da </w:t>
      </w:r>
      <w:r>
        <w:rPr>
          <w:smallCaps/>
          <w:color w:val="auto"/>
        </w:rPr>
        <w:t>Agência Nacional de Energia Elétrica – ANEEL</w:t>
      </w:r>
      <w:r>
        <w:rPr>
          <w:color w:val="auto"/>
        </w:rPr>
        <w:t>.</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lastRenderedPageBreak/>
        <w:t>De maneira geral, a questão está tratada no PRODIST</w:t>
      </w:r>
      <w:r>
        <w:rPr>
          <w:rStyle w:val="Refdenotaderodap"/>
          <w:color w:val="auto"/>
        </w:rPr>
        <w:footnoteReference w:id="2"/>
      </w:r>
      <w:r>
        <w:rPr>
          <w:color w:val="auto"/>
        </w:rPr>
        <w:t xml:space="preserve"> e nas “Condições Gerais de Fornecimento de Energia Elétrica” (estabelecidas pela Resolução Normativa ANEEL nº 414/2010), instrumentos que detalham a situação aqui enfrentada.</w:t>
      </w:r>
    </w:p>
    <w:p w:rsidR="00D11794" w:rsidRDefault="00D11794" w:rsidP="00D11794">
      <w:pPr>
        <w:pStyle w:val="Default"/>
        <w:spacing w:line="360" w:lineRule="exact"/>
        <w:jc w:val="both"/>
        <w:rPr>
          <w:color w:val="auto"/>
        </w:rPr>
      </w:pPr>
    </w:p>
    <w:p w:rsidR="008D02BF" w:rsidRDefault="008D02BF" w:rsidP="00D11794">
      <w:pPr>
        <w:pStyle w:val="Default"/>
        <w:spacing w:line="360" w:lineRule="exact"/>
        <w:jc w:val="both"/>
        <w:rPr>
          <w:color w:val="auto"/>
        </w:rPr>
      </w:pPr>
    </w:p>
    <w:p w:rsidR="00D11794" w:rsidRPr="00D274C3" w:rsidRDefault="00D11794" w:rsidP="00D11794">
      <w:pPr>
        <w:pStyle w:val="Default"/>
        <w:spacing w:line="360" w:lineRule="exact"/>
        <w:jc w:val="both"/>
        <w:rPr>
          <w:b/>
          <w:color w:val="auto"/>
        </w:rPr>
      </w:pPr>
      <w:r>
        <w:rPr>
          <w:b/>
          <w:color w:val="auto"/>
        </w:rPr>
        <w:t>I.1. Obrigação de fornecer energia em alta tensão às unidades consumidoras que demandem uso do sistema superior a 2.500 kW</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De início, as normas aplicáveis definem expressamente que as unidades consumidoras contratantes de demanda superior a 2.500 kW deverão</w:t>
      </w:r>
      <w:r w:rsidR="00E617C7">
        <w:rPr>
          <w:color w:val="auto"/>
        </w:rPr>
        <w:t xml:space="preserve"> ser atendidas e conectadas em alta t</w:t>
      </w:r>
      <w:r>
        <w:rPr>
          <w:color w:val="auto"/>
        </w:rPr>
        <w:t>ensão</w:t>
      </w:r>
      <w:r>
        <w:rPr>
          <w:rStyle w:val="Refdenotaderodap"/>
          <w:color w:val="auto"/>
        </w:rPr>
        <w:footnoteReference w:id="3"/>
      </w:r>
      <w:r>
        <w:rPr>
          <w:color w:val="auto"/>
        </w:rPr>
        <w:t>.</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É exatamente o que prevê o Módulo 3 do PRODIST, ao estabelecer as condições de acesso, conexão e uso do sistema de distribuição de energia (“Acesso ao Sistema de Distribuição”):</w:t>
      </w:r>
    </w:p>
    <w:p w:rsidR="00D11794" w:rsidRDefault="00D11794" w:rsidP="00D11794">
      <w:pPr>
        <w:pStyle w:val="Default"/>
        <w:spacing w:line="360" w:lineRule="exact"/>
        <w:jc w:val="both"/>
        <w:rPr>
          <w:color w:val="auto"/>
        </w:rPr>
      </w:pPr>
    </w:p>
    <w:p w:rsidR="00D11794" w:rsidRPr="009C47EE" w:rsidRDefault="00D11794" w:rsidP="00D11794">
      <w:pPr>
        <w:pStyle w:val="Default"/>
        <w:ind w:left="1134" w:right="1134"/>
        <w:jc w:val="both"/>
        <w:rPr>
          <w:i/>
          <w:color w:val="auto"/>
          <w:sz w:val="22"/>
          <w:szCs w:val="22"/>
        </w:rPr>
      </w:pPr>
      <w:r w:rsidRPr="009C47EE">
        <w:rPr>
          <w:i/>
          <w:color w:val="auto"/>
          <w:sz w:val="22"/>
          <w:szCs w:val="22"/>
        </w:rPr>
        <w:t>“CRITÉRIOS GERAIS</w:t>
      </w:r>
    </w:p>
    <w:p w:rsidR="00D11794" w:rsidRPr="009C47EE" w:rsidRDefault="00D11794" w:rsidP="00D11794">
      <w:pPr>
        <w:pStyle w:val="Default"/>
        <w:ind w:left="1134" w:right="1134"/>
        <w:jc w:val="both"/>
        <w:rPr>
          <w:i/>
          <w:sz w:val="22"/>
          <w:szCs w:val="22"/>
        </w:rPr>
      </w:pPr>
      <w:r w:rsidRPr="009C47EE">
        <w:rPr>
          <w:i/>
          <w:sz w:val="22"/>
          <w:szCs w:val="22"/>
        </w:rPr>
        <w:t>2.1 Tensão de Conexão.</w:t>
      </w:r>
    </w:p>
    <w:p w:rsidR="00D11794" w:rsidRPr="009C47EE" w:rsidRDefault="00D11794" w:rsidP="00D11794">
      <w:pPr>
        <w:pStyle w:val="Default"/>
        <w:ind w:left="1134" w:right="1134"/>
        <w:jc w:val="both"/>
        <w:rPr>
          <w:i/>
          <w:sz w:val="22"/>
          <w:szCs w:val="22"/>
        </w:rPr>
      </w:pPr>
      <w:r w:rsidRPr="009C47EE">
        <w:rPr>
          <w:i/>
          <w:sz w:val="22"/>
          <w:szCs w:val="22"/>
        </w:rPr>
        <w:t xml:space="preserve">2.1.1 </w:t>
      </w:r>
      <w:r w:rsidRPr="009C47EE">
        <w:rPr>
          <w:b/>
          <w:i/>
          <w:sz w:val="22"/>
          <w:szCs w:val="22"/>
        </w:rPr>
        <w:t xml:space="preserve">A definição da tensão de conexão para unidades consumidoras </w:t>
      </w:r>
      <w:r w:rsidRPr="009C47EE">
        <w:rPr>
          <w:b/>
          <w:i/>
          <w:sz w:val="22"/>
          <w:szCs w:val="22"/>
          <w:u w:val="single"/>
        </w:rPr>
        <w:t>deve observar</w:t>
      </w:r>
      <w:r w:rsidRPr="009C47EE">
        <w:rPr>
          <w:i/>
          <w:sz w:val="22"/>
          <w:szCs w:val="22"/>
        </w:rPr>
        <w:t>:</w:t>
      </w:r>
    </w:p>
    <w:p w:rsidR="00D11794" w:rsidRPr="009C47EE" w:rsidRDefault="00D11794" w:rsidP="00D11794">
      <w:pPr>
        <w:pStyle w:val="Default"/>
        <w:ind w:left="1134" w:right="1134"/>
        <w:jc w:val="both"/>
        <w:rPr>
          <w:i/>
          <w:sz w:val="22"/>
          <w:szCs w:val="22"/>
        </w:rPr>
      </w:pPr>
      <w:r w:rsidRPr="009C47EE">
        <w:rPr>
          <w:i/>
          <w:sz w:val="22"/>
          <w:szCs w:val="22"/>
        </w:rPr>
        <w:t xml:space="preserve">a) Baixa Tensão </w:t>
      </w:r>
      <w:r>
        <w:rPr>
          <w:i/>
          <w:sz w:val="22"/>
          <w:szCs w:val="22"/>
        </w:rPr>
        <w:t>–</w:t>
      </w:r>
      <w:r w:rsidRPr="009C47EE">
        <w:rPr>
          <w:i/>
          <w:sz w:val="22"/>
          <w:szCs w:val="22"/>
        </w:rPr>
        <w:t xml:space="preserve"> BT: carga instalada igual ou inferior a 75 kW;</w:t>
      </w:r>
    </w:p>
    <w:p w:rsidR="00D11794" w:rsidRPr="009C47EE" w:rsidRDefault="00D11794" w:rsidP="00D11794">
      <w:pPr>
        <w:pStyle w:val="Default"/>
        <w:ind w:left="1134" w:right="1134"/>
        <w:jc w:val="both"/>
        <w:rPr>
          <w:i/>
          <w:sz w:val="22"/>
          <w:szCs w:val="22"/>
        </w:rPr>
      </w:pPr>
      <w:r w:rsidRPr="009C47EE">
        <w:rPr>
          <w:i/>
          <w:sz w:val="22"/>
          <w:szCs w:val="22"/>
        </w:rPr>
        <w:t xml:space="preserve">b) Média Tensão </w:t>
      </w:r>
      <w:r>
        <w:rPr>
          <w:i/>
          <w:sz w:val="22"/>
          <w:szCs w:val="22"/>
        </w:rPr>
        <w:t>–</w:t>
      </w:r>
      <w:r w:rsidRPr="009C47EE">
        <w:rPr>
          <w:i/>
          <w:sz w:val="22"/>
          <w:szCs w:val="22"/>
        </w:rPr>
        <w:t xml:space="preserve"> MT: carga instalada superior a 75 kW e MUSD contratado inferior a 2500 kW, inclusive;</w:t>
      </w:r>
    </w:p>
    <w:p w:rsidR="00D11794" w:rsidRDefault="00D11794" w:rsidP="00D11794">
      <w:pPr>
        <w:pStyle w:val="Default"/>
        <w:tabs>
          <w:tab w:val="left" w:pos="5960"/>
        </w:tabs>
        <w:ind w:left="1134" w:right="1134"/>
        <w:jc w:val="both"/>
        <w:rPr>
          <w:sz w:val="22"/>
          <w:szCs w:val="22"/>
        </w:rPr>
      </w:pPr>
      <w:r w:rsidRPr="009C47EE">
        <w:rPr>
          <w:b/>
          <w:i/>
          <w:sz w:val="22"/>
          <w:szCs w:val="22"/>
        </w:rPr>
        <w:t xml:space="preserve">c) </w:t>
      </w:r>
      <w:r w:rsidRPr="009C47EE">
        <w:rPr>
          <w:b/>
          <w:i/>
          <w:sz w:val="22"/>
          <w:szCs w:val="22"/>
          <w:u w:val="single"/>
        </w:rPr>
        <w:t>Alta Tensão – AT: MUSD contratado superior a 2500 kW</w:t>
      </w:r>
      <w:r w:rsidRPr="009C47EE">
        <w:rPr>
          <w:i/>
          <w:sz w:val="22"/>
          <w:szCs w:val="22"/>
        </w:rPr>
        <w:t>”</w:t>
      </w:r>
      <w:r w:rsidRPr="009C47EE">
        <w:rPr>
          <w:sz w:val="22"/>
          <w:szCs w:val="22"/>
        </w:rPr>
        <w:t xml:space="preserve"> (seção 3.2.</w:t>
      </w:r>
      <w:r>
        <w:rPr>
          <w:sz w:val="22"/>
          <w:szCs w:val="22"/>
        </w:rPr>
        <w:t xml:space="preserve"> – </w:t>
      </w:r>
      <w:proofErr w:type="gramStart"/>
      <w:r>
        <w:rPr>
          <w:sz w:val="22"/>
          <w:szCs w:val="22"/>
        </w:rPr>
        <w:t>grifou-se</w:t>
      </w:r>
      <w:proofErr w:type="gramEnd"/>
      <w:r w:rsidRPr="009C47EE">
        <w:rPr>
          <w:sz w:val="22"/>
          <w:szCs w:val="22"/>
        </w:rPr>
        <w:t>)</w:t>
      </w:r>
      <w:r>
        <w:rPr>
          <w:sz w:val="22"/>
          <w:szCs w:val="22"/>
        </w:rPr>
        <w:t>.</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Da mesma forma, as “Condições Gerais de Fornecimento” assim preveem:</w:t>
      </w:r>
    </w:p>
    <w:p w:rsidR="00D11794" w:rsidRDefault="00D11794" w:rsidP="00D11794">
      <w:pPr>
        <w:pStyle w:val="Default"/>
        <w:spacing w:line="360" w:lineRule="exact"/>
        <w:jc w:val="both"/>
        <w:rPr>
          <w:color w:val="auto"/>
        </w:rPr>
      </w:pPr>
    </w:p>
    <w:p w:rsidR="00D11794" w:rsidRPr="006C3DF9" w:rsidRDefault="00D11794" w:rsidP="00D11794">
      <w:pPr>
        <w:pStyle w:val="Default"/>
        <w:tabs>
          <w:tab w:val="left" w:pos="5960"/>
        </w:tabs>
        <w:ind w:left="1134" w:right="1134"/>
        <w:jc w:val="both"/>
        <w:rPr>
          <w:rFonts w:eastAsia="Calibri"/>
          <w:sz w:val="22"/>
          <w:szCs w:val="22"/>
        </w:rPr>
      </w:pPr>
      <w:r>
        <w:rPr>
          <w:i/>
          <w:sz w:val="22"/>
          <w:szCs w:val="22"/>
        </w:rPr>
        <w:t>“</w:t>
      </w:r>
      <w:r w:rsidRPr="006C3DF9">
        <w:rPr>
          <w:i/>
          <w:sz w:val="22"/>
          <w:szCs w:val="22"/>
        </w:rPr>
        <w:t xml:space="preserve">Art. 12. Compete à distribuidora informar ao interessado </w:t>
      </w:r>
      <w:r w:rsidRPr="00D6296F">
        <w:rPr>
          <w:b/>
          <w:i/>
          <w:sz w:val="22"/>
          <w:szCs w:val="22"/>
        </w:rPr>
        <w:t>a tensão de fornecimento para a unidade consumidora, com observância dos seguintes critérios</w:t>
      </w:r>
      <w:r w:rsidRPr="006C3DF9">
        <w:rPr>
          <w:i/>
          <w:sz w:val="22"/>
          <w:szCs w:val="22"/>
        </w:rPr>
        <w:t>:</w:t>
      </w:r>
      <w:r w:rsidRPr="006C3DF9">
        <w:rPr>
          <w:sz w:val="22"/>
          <w:szCs w:val="22"/>
        </w:rPr>
        <w:t xml:space="preserve"> </w:t>
      </w:r>
      <w:r w:rsidRPr="006C3DF9">
        <w:rPr>
          <w:rFonts w:eastAsia="Calibri"/>
          <w:sz w:val="22"/>
          <w:szCs w:val="22"/>
        </w:rPr>
        <w:t>(...)</w:t>
      </w:r>
    </w:p>
    <w:p w:rsidR="00D11794" w:rsidRPr="006C3DF9" w:rsidRDefault="00D11794" w:rsidP="00D11794">
      <w:pPr>
        <w:pStyle w:val="Default"/>
        <w:tabs>
          <w:tab w:val="left" w:pos="5960"/>
        </w:tabs>
        <w:ind w:left="1134" w:right="1134"/>
        <w:jc w:val="both"/>
        <w:rPr>
          <w:color w:val="auto"/>
          <w:sz w:val="22"/>
          <w:szCs w:val="22"/>
        </w:rPr>
      </w:pPr>
      <w:r w:rsidRPr="006C3DF9">
        <w:rPr>
          <w:i/>
          <w:sz w:val="22"/>
          <w:szCs w:val="22"/>
        </w:rPr>
        <w:t xml:space="preserve">IV – </w:t>
      </w:r>
      <w:proofErr w:type="gramStart"/>
      <w:r w:rsidRPr="006C3DF9">
        <w:rPr>
          <w:i/>
          <w:sz w:val="22"/>
          <w:szCs w:val="22"/>
        </w:rPr>
        <w:t>tensão</w:t>
      </w:r>
      <w:proofErr w:type="gramEnd"/>
      <w:r w:rsidRPr="006C3DF9">
        <w:rPr>
          <w:i/>
          <w:sz w:val="22"/>
          <w:szCs w:val="22"/>
        </w:rPr>
        <w:t xml:space="preserve"> primária de distribuição igual ou </w:t>
      </w:r>
      <w:r w:rsidRPr="00D6296F">
        <w:rPr>
          <w:b/>
          <w:i/>
          <w:sz w:val="22"/>
          <w:szCs w:val="22"/>
          <w:u w:val="single"/>
        </w:rPr>
        <w:t>superior a 69 kV: quando a demanda a ser contratada pelo interessado, para o fornecimento, for superior a 2.500 kW</w:t>
      </w:r>
      <w:r>
        <w:rPr>
          <w:i/>
          <w:sz w:val="22"/>
          <w:szCs w:val="22"/>
        </w:rPr>
        <w:t>”</w:t>
      </w:r>
      <w:r>
        <w:rPr>
          <w:sz w:val="22"/>
          <w:szCs w:val="22"/>
        </w:rPr>
        <w:t xml:space="preserve"> (grifou-se).</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 xml:space="preserve">Ou seja, de saída, verifica-se que a </w:t>
      </w:r>
      <w:r>
        <w:rPr>
          <w:smallCaps/>
          <w:color w:val="auto"/>
        </w:rPr>
        <w:t xml:space="preserve">Eletropaulo </w:t>
      </w:r>
      <w:r>
        <w:rPr>
          <w:color w:val="auto"/>
        </w:rPr>
        <w:t xml:space="preserve">está obedecendo à regulação aplicável – ao menos sua regra geral – quando informa os associados da </w:t>
      </w:r>
      <w:r>
        <w:rPr>
          <w:color w:val="auto"/>
        </w:rPr>
        <w:lastRenderedPageBreak/>
        <w:t xml:space="preserve">ABRAINC de que fornecerá energia em </w:t>
      </w:r>
      <w:r w:rsidRPr="009F034B">
        <w:rPr>
          <w:color w:val="auto"/>
          <w:u w:val="single"/>
        </w:rPr>
        <w:t>alta tensão</w:t>
      </w:r>
      <w:r>
        <w:rPr>
          <w:color w:val="auto"/>
        </w:rPr>
        <w:t xml:space="preserve"> (acima de 69 kV) aos empreendimentos imobiliários comerciais que pretendam utilizar demanda superior a 2.500 kW.</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 xml:space="preserve">Nesse contexto é que, em princípio, o acesso e fornecimento de energia a esses empreendimentos está sujeito aos critérios técnicos das “Orientações Gerais para Fornecimento de Energia Elétrica Subgrupo A2”, norma interna da </w:t>
      </w:r>
      <w:r>
        <w:rPr>
          <w:smallCaps/>
          <w:color w:val="auto"/>
        </w:rPr>
        <w:t xml:space="preserve">Eletropaulo </w:t>
      </w:r>
      <w:r>
        <w:rPr>
          <w:color w:val="auto"/>
        </w:rPr>
        <w:t xml:space="preserve">que fornece subsídios </w:t>
      </w:r>
      <w:r>
        <w:rPr>
          <w:i/>
          <w:color w:val="auto"/>
        </w:rPr>
        <w:t>“aos clientes atendidos em alta tensão, quando das solicitações de novas ligações, ampliação de suas estações particulares ou outras”</w:t>
      </w:r>
      <w:r w:rsidRPr="0097083D">
        <w:rPr>
          <w:rStyle w:val="Refdenotaderodap"/>
          <w:color w:val="auto"/>
        </w:rPr>
        <w:footnoteReference w:id="4"/>
      </w:r>
      <w:r>
        <w:rPr>
          <w:color w:val="auto"/>
        </w:rPr>
        <w:t>.</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p>
    <w:p w:rsidR="00D11794" w:rsidRPr="00D274C3" w:rsidRDefault="00D11794" w:rsidP="00D11794">
      <w:pPr>
        <w:pStyle w:val="Default"/>
        <w:spacing w:line="360" w:lineRule="exact"/>
        <w:jc w:val="both"/>
        <w:rPr>
          <w:b/>
          <w:color w:val="auto"/>
        </w:rPr>
      </w:pPr>
      <w:r>
        <w:rPr>
          <w:b/>
          <w:color w:val="auto"/>
        </w:rPr>
        <w:t>I.2. Possibilidade de que as unidades consumidoras que demandem uso do sistema superior a 2.500 kW sejam atendidas em outra tensão de conexão</w:t>
      </w:r>
    </w:p>
    <w:p w:rsidR="00D11794" w:rsidRDefault="00D11794" w:rsidP="00D11794">
      <w:pPr>
        <w:pStyle w:val="Default"/>
        <w:spacing w:line="360" w:lineRule="exact"/>
        <w:jc w:val="both"/>
        <w:rPr>
          <w:color w:val="auto"/>
        </w:rPr>
      </w:pPr>
    </w:p>
    <w:p w:rsidR="00D11794" w:rsidRPr="00F96A8A" w:rsidRDefault="00D11794" w:rsidP="00D11794">
      <w:pPr>
        <w:pStyle w:val="Default"/>
        <w:spacing w:line="360" w:lineRule="exact"/>
        <w:jc w:val="both"/>
        <w:rPr>
          <w:color w:val="auto"/>
        </w:rPr>
      </w:pPr>
      <w:r>
        <w:rPr>
          <w:color w:val="auto"/>
        </w:rPr>
        <w:t>De outro lado, as normas regulatórias preveem algumas exceções à regra geral de que a distribuidora deverá atender as unidades consumidoras sempre em alta tensão, desde que obedecidas certas condições:</w:t>
      </w:r>
    </w:p>
    <w:p w:rsidR="00D11794" w:rsidRDefault="00D11794" w:rsidP="00D11794">
      <w:pPr>
        <w:pStyle w:val="Default"/>
        <w:spacing w:line="360" w:lineRule="exact"/>
        <w:jc w:val="both"/>
        <w:rPr>
          <w:color w:val="auto"/>
        </w:rPr>
      </w:pPr>
    </w:p>
    <w:p w:rsidR="00D11794" w:rsidRPr="00AF7500" w:rsidRDefault="00D11794" w:rsidP="00D11794">
      <w:pPr>
        <w:pStyle w:val="Default"/>
        <w:ind w:left="1134" w:right="1134"/>
        <w:jc w:val="both"/>
        <w:rPr>
          <w:color w:val="auto"/>
          <w:sz w:val="22"/>
          <w:szCs w:val="22"/>
        </w:rPr>
      </w:pPr>
      <w:r>
        <w:rPr>
          <w:i/>
          <w:sz w:val="22"/>
          <w:szCs w:val="22"/>
        </w:rPr>
        <w:t>“</w:t>
      </w:r>
      <w:r w:rsidRPr="00AF7500">
        <w:rPr>
          <w:i/>
          <w:sz w:val="22"/>
          <w:szCs w:val="22"/>
        </w:rPr>
        <w:t xml:space="preserve">2.1.3 </w:t>
      </w:r>
      <w:r w:rsidRPr="00563BB4">
        <w:rPr>
          <w:b/>
          <w:i/>
          <w:sz w:val="22"/>
          <w:szCs w:val="22"/>
        </w:rPr>
        <w:t>O acessante pode optar por uma tensão de conexão diferente da estabelecida</w:t>
      </w:r>
      <w:r w:rsidRPr="00AF7500">
        <w:rPr>
          <w:i/>
          <w:sz w:val="22"/>
          <w:szCs w:val="22"/>
        </w:rPr>
        <w:t xml:space="preserve"> desde que, </w:t>
      </w:r>
      <w:r w:rsidRPr="00563BB4">
        <w:rPr>
          <w:b/>
          <w:i/>
          <w:sz w:val="22"/>
          <w:szCs w:val="22"/>
        </w:rPr>
        <w:t>havendo viabilidade técnica</w:t>
      </w:r>
      <w:r w:rsidRPr="00AF7500">
        <w:rPr>
          <w:i/>
          <w:sz w:val="22"/>
          <w:szCs w:val="22"/>
        </w:rPr>
        <w:t xml:space="preserve">, </w:t>
      </w:r>
      <w:r w:rsidRPr="00563BB4">
        <w:rPr>
          <w:b/>
          <w:i/>
          <w:sz w:val="22"/>
          <w:szCs w:val="22"/>
        </w:rPr>
        <w:t>assuma os investimentos adicionais necessários à conexão no nível de tensão pretendido</w:t>
      </w:r>
      <w:r>
        <w:rPr>
          <w:i/>
          <w:sz w:val="22"/>
          <w:szCs w:val="22"/>
        </w:rPr>
        <w:t>, observados os contratos”</w:t>
      </w:r>
      <w:r>
        <w:rPr>
          <w:sz w:val="22"/>
          <w:szCs w:val="22"/>
        </w:rPr>
        <w:t xml:space="preserve"> (</w:t>
      </w:r>
      <w:r w:rsidRPr="009C47EE">
        <w:rPr>
          <w:sz w:val="22"/>
          <w:szCs w:val="22"/>
        </w:rPr>
        <w:t>seção 3.2.</w:t>
      </w:r>
      <w:r>
        <w:rPr>
          <w:sz w:val="22"/>
          <w:szCs w:val="22"/>
        </w:rPr>
        <w:t xml:space="preserve"> </w:t>
      </w:r>
      <w:proofErr w:type="gramStart"/>
      <w:r>
        <w:rPr>
          <w:sz w:val="22"/>
          <w:szCs w:val="22"/>
        </w:rPr>
        <w:t>do</w:t>
      </w:r>
      <w:proofErr w:type="gramEnd"/>
      <w:r>
        <w:rPr>
          <w:sz w:val="22"/>
          <w:szCs w:val="22"/>
        </w:rPr>
        <w:t xml:space="preserve"> Módulo 3 do PRODIST – grifou-se).</w:t>
      </w:r>
    </w:p>
    <w:p w:rsidR="00D11794" w:rsidRPr="00AF7500" w:rsidRDefault="00D11794" w:rsidP="00D11794">
      <w:pPr>
        <w:pStyle w:val="Default"/>
        <w:ind w:left="1134" w:right="1134"/>
        <w:jc w:val="both"/>
        <w:rPr>
          <w:color w:val="auto"/>
          <w:sz w:val="22"/>
          <w:szCs w:val="22"/>
        </w:rPr>
      </w:pPr>
    </w:p>
    <w:p w:rsidR="00D11794" w:rsidRPr="00AF7500" w:rsidRDefault="00D11794" w:rsidP="00D11794">
      <w:pPr>
        <w:pStyle w:val="Default"/>
        <w:ind w:left="1134" w:right="1134"/>
        <w:jc w:val="both"/>
        <w:rPr>
          <w:color w:val="auto"/>
          <w:sz w:val="22"/>
          <w:szCs w:val="22"/>
        </w:rPr>
      </w:pPr>
    </w:p>
    <w:p w:rsidR="00D11794" w:rsidRPr="00AF7500" w:rsidRDefault="00D11794" w:rsidP="00D11794">
      <w:pPr>
        <w:ind w:left="1134" w:right="1134"/>
        <w:rPr>
          <w:i/>
          <w:sz w:val="22"/>
          <w:szCs w:val="22"/>
        </w:rPr>
      </w:pPr>
      <w:r>
        <w:rPr>
          <w:i/>
          <w:sz w:val="22"/>
          <w:szCs w:val="22"/>
        </w:rPr>
        <w:t>“</w:t>
      </w:r>
      <w:r w:rsidRPr="00AF7500">
        <w:rPr>
          <w:i/>
          <w:sz w:val="22"/>
          <w:szCs w:val="22"/>
        </w:rPr>
        <w:t xml:space="preserve">Art. 13. </w:t>
      </w:r>
      <w:r w:rsidRPr="00AF7500">
        <w:rPr>
          <w:b/>
          <w:i/>
          <w:sz w:val="22"/>
          <w:szCs w:val="22"/>
        </w:rPr>
        <w:t>A distribuidora pode estabelecer tensão de fornecimento sem observar os critérios referidos no art. 12, quando</w:t>
      </w:r>
      <w:r w:rsidRPr="00AF7500">
        <w:rPr>
          <w:i/>
          <w:sz w:val="22"/>
          <w:szCs w:val="22"/>
        </w:rPr>
        <w:t>:</w:t>
      </w:r>
    </w:p>
    <w:p w:rsidR="00D11794" w:rsidRPr="00AF7500" w:rsidRDefault="00D11794" w:rsidP="00D11794">
      <w:pPr>
        <w:ind w:left="1134" w:right="1134"/>
        <w:rPr>
          <w:i/>
          <w:sz w:val="22"/>
          <w:szCs w:val="22"/>
        </w:rPr>
      </w:pPr>
      <w:r w:rsidRPr="00AF7500">
        <w:rPr>
          <w:i/>
          <w:sz w:val="22"/>
          <w:szCs w:val="22"/>
        </w:rPr>
        <w:t xml:space="preserve">I – </w:t>
      </w:r>
      <w:proofErr w:type="gramStart"/>
      <w:r w:rsidRPr="00AF7500">
        <w:rPr>
          <w:i/>
          <w:sz w:val="22"/>
          <w:szCs w:val="22"/>
        </w:rPr>
        <w:t>a</w:t>
      </w:r>
      <w:proofErr w:type="gramEnd"/>
      <w:r w:rsidRPr="00AF7500">
        <w:rPr>
          <w:i/>
          <w:sz w:val="22"/>
          <w:szCs w:val="22"/>
        </w:rPr>
        <w:t xml:space="preserve"> unidade consumidora tiver equipamento que, pelas características de funcionamento ou potência, possa prejudicar a qualidade do fornecimento a outros consumidores;</w:t>
      </w:r>
    </w:p>
    <w:p w:rsidR="00D11794" w:rsidRPr="00AF7500" w:rsidRDefault="00D11794" w:rsidP="00D11794">
      <w:pPr>
        <w:ind w:left="1134" w:right="1134"/>
        <w:rPr>
          <w:i/>
          <w:sz w:val="22"/>
          <w:szCs w:val="22"/>
        </w:rPr>
      </w:pPr>
      <w:r w:rsidRPr="00AF7500">
        <w:rPr>
          <w:i/>
          <w:sz w:val="22"/>
          <w:szCs w:val="22"/>
        </w:rPr>
        <w:t xml:space="preserve">II – </w:t>
      </w:r>
      <w:proofErr w:type="gramStart"/>
      <w:r w:rsidRPr="00AF7500">
        <w:rPr>
          <w:b/>
          <w:i/>
          <w:sz w:val="22"/>
          <w:szCs w:val="22"/>
        </w:rPr>
        <w:t>houver</w:t>
      </w:r>
      <w:proofErr w:type="gramEnd"/>
      <w:r w:rsidRPr="00AF7500">
        <w:rPr>
          <w:b/>
          <w:i/>
          <w:sz w:val="22"/>
          <w:szCs w:val="22"/>
        </w:rPr>
        <w:t xml:space="preserve"> conveniência técnica e econômica </w:t>
      </w:r>
      <w:r w:rsidRPr="006F442B">
        <w:rPr>
          <w:b/>
          <w:i/>
          <w:sz w:val="22"/>
          <w:szCs w:val="22"/>
          <w:u w:val="single"/>
        </w:rPr>
        <w:t>para o subsistema elétrico da distribuidora</w:t>
      </w:r>
      <w:r w:rsidRPr="00AF7500">
        <w:rPr>
          <w:i/>
          <w:sz w:val="22"/>
          <w:szCs w:val="22"/>
        </w:rPr>
        <w:t>, desde que haja anuência do interessado; ou</w:t>
      </w:r>
    </w:p>
    <w:p w:rsidR="00D11794" w:rsidRPr="00AF7500" w:rsidRDefault="00D11794" w:rsidP="00D11794">
      <w:pPr>
        <w:ind w:left="1134" w:right="1134"/>
        <w:rPr>
          <w:i/>
          <w:sz w:val="22"/>
          <w:szCs w:val="22"/>
        </w:rPr>
      </w:pPr>
      <w:r w:rsidRPr="006F442B">
        <w:rPr>
          <w:i/>
          <w:sz w:val="22"/>
          <w:szCs w:val="22"/>
        </w:rPr>
        <w:t>III – a unidade consumidora for atendível, em princípio, em tensão primária de distribuição, mas situar-se em edificação de múltiplas unidades consumidoras predominantemente passíveis de inclusão no critério de fornecimento em tensão secundária de distribuição, desde que haja solicitação ou anuência do interessado</w:t>
      </w:r>
      <w:r w:rsidRPr="00AF7500">
        <w:rPr>
          <w:i/>
          <w:sz w:val="22"/>
          <w:szCs w:val="22"/>
        </w:rPr>
        <w:t>.</w:t>
      </w:r>
    </w:p>
    <w:p w:rsidR="00D11794" w:rsidRPr="00A51B73" w:rsidRDefault="00D11794" w:rsidP="00D11794">
      <w:pPr>
        <w:ind w:left="1134" w:right="1134"/>
        <w:rPr>
          <w:sz w:val="22"/>
          <w:szCs w:val="22"/>
        </w:rPr>
      </w:pPr>
      <w:r>
        <w:rPr>
          <w:i/>
          <w:sz w:val="22"/>
          <w:szCs w:val="22"/>
        </w:rPr>
        <w:lastRenderedPageBreak/>
        <w:t>§ 1º</w:t>
      </w:r>
      <w:r w:rsidRPr="00AF7500">
        <w:rPr>
          <w:i/>
          <w:sz w:val="22"/>
          <w:szCs w:val="22"/>
        </w:rPr>
        <w:t xml:space="preserve"> </w:t>
      </w:r>
      <w:r w:rsidRPr="00A51B73">
        <w:rPr>
          <w:b/>
          <w:i/>
          <w:sz w:val="22"/>
          <w:szCs w:val="22"/>
        </w:rPr>
        <w:t>O interessado pode optar por tensão diferente das estabelecidas no art. 12, desde que haja viabilidade técnica do subsistema elétrico</w:t>
      </w:r>
      <w:r w:rsidRPr="00AF7500">
        <w:rPr>
          <w:i/>
          <w:sz w:val="22"/>
          <w:szCs w:val="22"/>
        </w:rPr>
        <w:t>, sendo de sua responsabilidade os investimentos adicio</w:t>
      </w:r>
      <w:r>
        <w:rPr>
          <w:i/>
          <w:sz w:val="22"/>
          <w:szCs w:val="22"/>
        </w:rPr>
        <w:t>nais necessários ao atendimento”</w:t>
      </w:r>
      <w:r>
        <w:rPr>
          <w:sz w:val="22"/>
          <w:szCs w:val="22"/>
        </w:rPr>
        <w:t xml:space="preserve"> (“Condições Gerais de Fornecimento” – grifou-se).</w:t>
      </w:r>
    </w:p>
    <w:p w:rsidR="00D11794" w:rsidRDefault="00D11794" w:rsidP="00D11794">
      <w:pPr>
        <w:pStyle w:val="Default"/>
        <w:spacing w:line="360" w:lineRule="exact"/>
        <w:jc w:val="both"/>
        <w:rPr>
          <w:color w:val="auto"/>
        </w:rPr>
      </w:pPr>
    </w:p>
    <w:p w:rsidR="00D11794" w:rsidRPr="00BC7339" w:rsidRDefault="00D11794" w:rsidP="00D11794">
      <w:pPr>
        <w:pStyle w:val="Default"/>
        <w:spacing w:line="360" w:lineRule="exact"/>
        <w:jc w:val="both"/>
        <w:rPr>
          <w:color w:val="auto"/>
        </w:rPr>
      </w:pPr>
      <w:r>
        <w:rPr>
          <w:color w:val="auto"/>
        </w:rPr>
        <w:t xml:space="preserve">Nas normas internas da </w:t>
      </w:r>
      <w:r>
        <w:rPr>
          <w:smallCaps/>
          <w:color w:val="auto"/>
        </w:rPr>
        <w:t>Eletropaulo</w:t>
      </w:r>
      <w:r>
        <w:rPr>
          <w:color w:val="auto"/>
        </w:rPr>
        <w:t>, a questão está tratada nas “Instruções Gerais para Fornecimento de Energia Elétrica em Tensão Primária de Distribuição”:</w:t>
      </w:r>
    </w:p>
    <w:p w:rsidR="00D11794" w:rsidRDefault="00D11794" w:rsidP="00D11794">
      <w:pPr>
        <w:ind w:left="1134" w:right="1134"/>
        <w:rPr>
          <w:rFonts w:eastAsia="Calibri" w:cs="Arial"/>
          <w:i/>
          <w:sz w:val="22"/>
          <w:szCs w:val="22"/>
          <w:highlight w:val="yellow"/>
        </w:rPr>
      </w:pPr>
    </w:p>
    <w:p w:rsidR="005D71DE" w:rsidRPr="00AF7500" w:rsidRDefault="005D71DE" w:rsidP="00D11794">
      <w:pPr>
        <w:ind w:left="1134" w:right="1134"/>
        <w:rPr>
          <w:rFonts w:eastAsia="Calibri" w:cs="Arial"/>
          <w:i/>
          <w:sz w:val="22"/>
          <w:szCs w:val="22"/>
          <w:highlight w:val="yellow"/>
        </w:rPr>
      </w:pPr>
    </w:p>
    <w:p w:rsidR="00D11794" w:rsidRPr="00AF7500" w:rsidRDefault="00D11794" w:rsidP="00D11794">
      <w:pPr>
        <w:ind w:left="1134" w:right="1134"/>
        <w:rPr>
          <w:rFonts w:eastAsia="Calibri" w:cs="Arial"/>
          <w:i/>
          <w:sz w:val="22"/>
          <w:szCs w:val="22"/>
        </w:rPr>
      </w:pPr>
      <w:r w:rsidRPr="00AF7500">
        <w:rPr>
          <w:rFonts w:eastAsia="Calibri" w:cs="Arial"/>
          <w:i/>
          <w:sz w:val="22"/>
          <w:szCs w:val="22"/>
        </w:rPr>
        <w:t xml:space="preserve">“Unidade consumidora </w:t>
      </w:r>
      <w:r w:rsidRPr="004246A5">
        <w:rPr>
          <w:rFonts w:eastAsia="Calibri" w:cs="Arial"/>
          <w:b/>
          <w:i/>
          <w:sz w:val="22"/>
          <w:szCs w:val="22"/>
          <w:u w:val="single"/>
        </w:rPr>
        <w:t>com demanda acima de 2.500 kW</w:t>
      </w:r>
      <w:r w:rsidRPr="004246A5">
        <w:rPr>
          <w:rFonts w:eastAsia="Calibri" w:cs="Arial"/>
          <w:b/>
          <w:i/>
          <w:sz w:val="22"/>
          <w:szCs w:val="22"/>
        </w:rPr>
        <w:t xml:space="preserve"> terá seu atendimento avaliado em tensão de distribuição </w:t>
      </w:r>
      <w:r w:rsidRPr="004246A5">
        <w:rPr>
          <w:rFonts w:eastAsia="Calibri" w:cs="Arial"/>
          <w:b/>
          <w:i/>
          <w:sz w:val="22"/>
          <w:szCs w:val="22"/>
          <w:u w:val="single"/>
        </w:rPr>
        <w:t>inferior a 69 kV</w:t>
      </w:r>
      <w:r w:rsidRPr="004246A5">
        <w:rPr>
          <w:rFonts w:eastAsia="Calibri" w:cs="Arial"/>
          <w:b/>
          <w:i/>
          <w:sz w:val="22"/>
          <w:szCs w:val="22"/>
        </w:rPr>
        <w:t xml:space="preserve"> e pode ser atendida</w:t>
      </w:r>
      <w:r w:rsidRPr="00AF7500">
        <w:rPr>
          <w:rFonts w:eastAsia="Calibri" w:cs="Arial"/>
          <w:i/>
          <w:sz w:val="22"/>
          <w:szCs w:val="22"/>
        </w:rPr>
        <w:t xml:space="preserve"> desde que:</w:t>
      </w:r>
    </w:p>
    <w:p w:rsidR="00D11794" w:rsidRPr="00AF7500" w:rsidRDefault="00D11794" w:rsidP="00D11794">
      <w:pPr>
        <w:ind w:left="1134" w:right="1134"/>
        <w:rPr>
          <w:rFonts w:eastAsia="Calibri" w:cs="Arial"/>
          <w:i/>
          <w:sz w:val="22"/>
          <w:szCs w:val="22"/>
        </w:rPr>
      </w:pPr>
      <w:r w:rsidRPr="004246A5">
        <w:rPr>
          <w:rFonts w:eastAsia="Calibri" w:cs="Arial"/>
          <w:b/>
          <w:i/>
          <w:sz w:val="22"/>
          <w:szCs w:val="22"/>
        </w:rPr>
        <w:t>Haja conveniência técnica e econômica para o sistema elétrico da distribuidora</w:t>
      </w:r>
      <w:r w:rsidRPr="00AF7500">
        <w:rPr>
          <w:rFonts w:eastAsia="Calibri" w:cs="Arial"/>
          <w:i/>
          <w:sz w:val="22"/>
          <w:szCs w:val="22"/>
        </w:rPr>
        <w:t>;</w:t>
      </w:r>
    </w:p>
    <w:p w:rsidR="00D11794" w:rsidRPr="00AF7500" w:rsidRDefault="00D11794" w:rsidP="00D11794">
      <w:pPr>
        <w:ind w:left="1134" w:right="1134"/>
        <w:rPr>
          <w:rFonts w:eastAsia="Calibri" w:cs="Arial"/>
          <w:i/>
          <w:sz w:val="22"/>
          <w:szCs w:val="22"/>
        </w:rPr>
      </w:pPr>
      <w:r w:rsidRPr="00AF7500">
        <w:rPr>
          <w:rFonts w:eastAsia="Calibri" w:cs="Arial"/>
          <w:i/>
          <w:sz w:val="22"/>
          <w:szCs w:val="22"/>
        </w:rPr>
        <w:t>Tenha a anuência do consumidor;</w:t>
      </w:r>
    </w:p>
    <w:p w:rsidR="00D11794" w:rsidRPr="002C5B85" w:rsidRDefault="00D11794" w:rsidP="00D11794">
      <w:pPr>
        <w:ind w:left="1134" w:right="1134"/>
        <w:rPr>
          <w:rFonts w:eastAsia="Calibri" w:cs="Arial"/>
          <w:sz w:val="22"/>
          <w:szCs w:val="22"/>
        </w:rPr>
      </w:pPr>
      <w:r w:rsidRPr="004246A5">
        <w:rPr>
          <w:rFonts w:eastAsia="Calibri" w:cs="Arial"/>
          <w:b/>
          <w:i/>
          <w:sz w:val="22"/>
          <w:szCs w:val="22"/>
        </w:rPr>
        <w:t>O subsistema de distribuição existente no local comporte a nova carga</w:t>
      </w:r>
      <w:r>
        <w:rPr>
          <w:rFonts w:eastAsia="Calibri" w:cs="Arial"/>
          <w:i/>
          <w:sz w:val="22"/>
          <w:szCs w:val="22"/>
        </w:rPr>
        <w:t>”</w:t>
      </w:r>
      <w:r>
        <w:rPr>
          <w:rStyle w:val="Refdenotaderodap"/>
          <w:rFonts w:eastAsia="Calibri" w:cs="Arial"/>
          <w:sz w:val="22"/>
          <w:szCs w:val="22"/>
        </w:rPr>
        <w:footnoteReference w:id="5"/>
      </w:r>
      <w:r>
        <w:rPr>
          <w:rFonts w:eastAsia="Calibri" w:cs="Arial"/>
          <w:i/>
          <w:sz w:val="22"/>
          <w:szCs w:val="22"/>
        </w:rPr>
        <w:t xml:space="preserve"> </w:t>
      </w:r>
      <w:r>
        <w:rPr>
          <w:rFonts w:eastAsia="Calibri" w:cs="Arial"/>
          <w:sz w:val="22"/>
          <w:szCs w:val="22"/>
        </w:rPr>
        <w:t>(item 6 – grifou-se).</w:t>
      </w:r>
    </w:p>
    <w:p w:rsidR="00D11794" w:rsidRDefault="00D11794" w:rsidP="00D11794">
      <w:pPr>
        <w:pStyle w:val="Default"/>
        <w:spacing w:line="360" w:lineRule="exact"/>
        <w:jc w:val="both"/>
        <w:rPr>
          <w:color w:val="auto"/>
        </w:rPr>
      </w:pPr>
    </w:p>
    <w:p w:rsidR="005D71DE" w:rsidRDefault="005D71DE"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 xml:space="preserve">Em resumo, a regulação dispõe que o interessado que pretenda demandar mais de 2.500 kW </w:t>
      </w:r>
      <w:r w:rsidRPr="004A61AD">
        <w:rPr>
          <w:color w:val="auto"/>
          <w:u w:val="single"/>
        </w:rPr>
        <w:t xml:space="preserve">pode </w:t>
      </w:r>
      <w:proofErr w:type="gramStart"/>
      <w:r w:rsidRPr="004A61AD">
        <w:rPr>
          <w:color w:val="auto"/>
          <w:u w:val="single"/>
        </w:rPr>
        <w:t>optar</w:t>
      </w:r>
      <w:proofErr w:type="gramEnd"/>
      <w:r w:rsidRPr="004A61AD">
        <w:rPr>
          <w:color w:val="auto"/>
          <w:u w:val="single"/>
        </w:rPr>
        <w:t xml:space="preserve"> ser atendido em média ou baixa tensão</w:t>
      </w:r>
      <w:r>
        <w:rPr>
          <w:color w:val="auto"/>
        </w:rPr>
        <w:t>, desde que: (i) haja viabilidade/conveniência econômica e técnica para o subsistema elétrico da distribuidora; e (ii) o consumidor arque com a infraestrutura e os investimentos adicionais necessários ao atendimento diferenciado.</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Assim, como se pode notar, as normas de regência outorgam à distribuidora o poder decisório de avaliar, caso a caso, a viabilidade técnica de atender a pretensão eventual de consumidores interessados num fornecimento em tensão diferenciada.</w:t>
      </w:r>
    </w:p>
    <w:p w:rsidR="00D11794" w:rsidRDefault="00D11794" w:rsidP="00D11794">
      <w:pPr>
        <w:pStyle w:val="Default"/>
        <w:spacing w:line="360" w:lineRule="exact"/>
        <w:jc w:val="both"/>
        <w:rPr>
          <w:color w:val="auto"/>
        </w:rPr>
      </w:pPr>
    </w:p>
    <w:p w:rsidR="00D11794" w:rsidRPr="004A61AD" w:rsidRDefault="00D11794" w:rsidP="00D11794">
      <w:pPr>
        <w:pStyle w:val="Default"/>
        <w:spacing w:line="360" w:lineRule="exact"/>
        <w:jc w:val="both"/>
        <w:rPr>
          <w:color w:val="auto"/>
        </w:rPr>
      </w:pPr>
      <w:r>
        <w:rPr>
          <w:color w:val="auto"/>
        </w:rPr>
        <w:t xml:space="preserve">Diante disso, a se confirmar tecnicamente a saturação da infraestrutura do sistema elétrico da </w:t>
      </w:r>
      <w:r>
        <w:rPr>
          <w:smallCaps/>
          <w:color w:val="auto"/>
        </w:rPr>
        <w:t xml:space="preserve">Eletropaulo </w:t>
      </w:r>
      <w:r>
        <w:rPr>
          <w:color w:val="auto"/>
        </w:rPr>
        <w:t xml:space="preserve">para a cidade de São Paulo, também em princípio, haveria respaldo para a mudança de postura da Concessionária e sua deliberação de passar a fornecer energia aos empreendimentos aqui </w:t>
      </w:r>
      <w:r w:rsidR="00A37808">
        <w:rPr>
          <w:color w:val="auto"/>
        </w:rPr>
        <w:t>tratados, apenas em alta tensão, conforme a regra geral.</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p>
    <w:p w:rsidR="00D11794" w:rsidRPr="00D274C3" w:rsidRDefault="00D11794" w:rsidP="00D11794">
      <w:pPr>
        <w:pStyle w:val="Default"/>
        <w:spacing w:line="360" w:lineRule="exact"/>
        <w:jc w:val="both"/>
        <w:rPr>
          <w:b/>
          <w:color w:val="auto"/>
        </w:rPr>
      </w:pPr>
      <w:r>
        <w:rPr>
          <w:b/>
          <w:color w:val="auto"/>
        </w:rPr>
        <w:lastRenderedPageBreak/>
        <w:t>I.3. Múltiplas unidades consumidoras em um único empreendimento – regulação específica para empreendimentos comerciais</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Na sequência, é importante também analisar os conceitos regulamentares das unidades consumidoras e o tratamento específico concedido a empreendimentos que possuam uma multiplicidade de unidades.</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 xml:space="preserve">A questão é importante, na medida em que não se pode deixar de cogitar a possibilidade – que será melhor examinada adiante – de </w:t>
      </w:r>
      <w:r w:rsidRPr="00A37808">
        <w:rPr>
          <w:color w:val="auto"/>
          <w:u w:val="double"/>
        </w:rPr>
        <w:t>desdobramento de cada empreendimento em pequenas unidades consumidoras que, individualm</w:t>
      </w:r>
      <w:r w:rsidR="00A37808" w:rsidRPr="00A37808">
        <w:rPr>
          <w:color w:val="auto"/>
          <w:u w:val="double"/>
        </w:rPr>
        <w:t>ente, não atingiriam</w:t>
      </w:r>
      <w:r w:rsidRPr="00A37808">
        <w:rPr>
          <w:color w:val="auto"/>
          <w:u w:val="double"/>
        </w:rPr>
        <w:t xml:space="preserve"> um montante de uso superior a 2.500 kW</w:t>
      </w:r>
      <w:r>
        <w:rPr>
          <w:color w:val="auto"/>
        </w:rPr>
        <w:t>.</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Dessa forma, em tese, o enquadramento diferenciado poderia, eventualmente, justificar um pedido de acesso em baixa ou média tensão.</w:t>
      </w:r>
    </w:p>
    <w:p w:rsidR="00D11794" w:rsidRDefault="00D11794" w:rsidP="00D11794">
      <w:pPr>
        <w:pStyle w:val="Default"/>
        <w:spacing w:line="360" w:lineRule="exact"/>
        <w:jc w:val="both"/>
        <w:rPr>
          <w:color w:val="auto"/>
        </w:rPr>
      </w:pPr>
    </w:p>
    <w:p w:rsidR="00D11794" w:rsidRPr="00DF21D5" w:rsidRDefault="00D11794" w:rsidP="00D11794">
      <w:pPr>
        <w:pStyle w:val="Default"/>
        <w:spacing w:line="360" w:lineRule="exact"/>
        <w:jc w:val="both"/>
        <w:rPr>
          <w:color w:val="auto"/>
        </w:rPr>
      </w:pPr>
      <w:r>
        <w:rPr>
          <w:color w:val="auto"/>
        </w:rPr>
        <w:t xml:space="preserve">Segundo o PRODIST, unidade consumidora </w:t>
      </w:r>
      <w:r w:rsidRPr="00DF21D5">
        <w:rPr>
          <w:color w:val="auto"/>
        </w:rPr>
        <w:t xml:space="preserve">é o </w:t>
      </w:r>
      <w:r>
        <w:rPr>
          <w:i/>
          <w:color w:val="auto"/>
        </w:rPr>
        <w:t>“c</w:t>
      </w:r>
      <w:r w:rsidRPr="00DF21D5">
        <w:rPr>
          <w:i/>
        </w:rPr>
        <w:t>onjunto de instalações e equipamentos elétricos caracterizado pelo recebimento de energia elétrica em um só ponto de conexão, com medição individualizada e correspondente a um único consumidor</w:t>
      </w:r>
      <w:r>
        <w:rPr>
          <w:i/>
        </w:rPr>
        <w:t>”</w:t>
      </w:r>
      <w:r>
        <w:t xml:space="preserve"> (item 2.426 da seção 1.2. </w:t>
      </w:r>
      <w:proofErr w:type="gramStart"/>
      <w:r>
        <w:t>do</w:t>
      </w:r>
      <w:proofErr w:type="gramEnd"/>
      <w:r>
        <w:t xml:space="preserve"> Módulo 1 – “Introdução”).</w:t>
      </w:r>
    </w:p>
    <w:p w:rsidR="00D11794" w:rsidRDefault="00D11794" w:rsidP="00D11794">
      <w:pPr>
        <w:pStyle w:val="Default"/>
        <w:spacing w:line="360" w:lineRule="exact"/>
        <w:jc w:val="both"/>
        <w:rPr>
          <w:color w:val="auto"/>
        </w:rPr>
      </w:pPr>
    </w:p>
    <w:p w:rsidR="00D11794" w:rsidRPr="008D4887" w:rsidRDefault="00D11794" w:rsidP="00D11794">
      <w:pPr>
        <w:pStyle w:val="Default"/>
        <w:spacing w:line="360" w:lineRule="exact"/>
        <w:jc w:val="both"/>
        <w:rPr>
          <w:color w:val="auto"/>
        </w:rPr>
      </w:pPr>
      <w:r>
        <w:rPr>
          <w:color w:val="auto"/>
        </w:rPr>
        <w:t xml:space="preserve">No caso de empreendimentos com múltiplas unidades autônomas, que utilizem energia elétrica de maneira independente, as “Condições Gerais de Fornecimento” estabelecem a regra claríssima de que cada fração constituirá uma </w:t>
      </w:r>
      <w:r>
        <w:rPr>
          <w:b/>
          <w:color w:val="auto"/>
          <w:u w:val="single"/>
        </w:rPr>
        <w:t>única unidade consumidora</w:t>
      </w:r>
      <w:r>
        <w:rPr>
          <w:color w:val="auto"/>
        </w:rPr>
        <w:t>:</w:t>
      </w:r>
    </w:p>
    <w:p w:rsidR="00D11794" w:rsidRDefault="00D11794" w:rsidP="00D11794">
      <w:pPr>
        <w:pStyle w:val="Default"/>
        <w:spacing w:line="360" w:lineRule="exact"/>
        <w:jc w:val="both"/>
        <w:rPr>
          <w:color w:val="auto"/>
        </w:rPr>
      </w:pPr>
    </w:p>
    <w:p w:rsidR="005D71DE" w:rsidRDefault="005D71DE" w:rsidP="00D11794">
      <w:pPr>
        <w:pStyle w:val="Default"/>
        <w:spacing w:line="360" w:lineRule="exact"/>
        <w:jc w:val="both"/>
        <w:rPr>
          <w:color w:val="auto"/>
        </w:rPr>
      </w:pPr>
    </w:p>
    <w:p w:rsidR="00D11794" w:rsidRDefault="00D11794" w:rsidP="00D11794">
      <w:pPr>
        <w:ind w:left="1134" w:right="1134"/>
        <w:rPr>
          <w:i/>
          <w:sz w:val="22"/>
          <w:szCs w:val="22"/>
        </w:rPr>
      </w:pPr>
      <w:r>
        <w:rPr>
          <w:i/>
          <w:sz w:val="22"/>
          <w:szCs w:val="22"/>
        </w:rPr>
        <w:t>“</w:t>
      </w:r>
      <w:r w:rsidRPr="008D4887">
        <w:rPr>
          <w:i/>
          <w:sz w:val="22"/>
          <w:szCs w:val="22"/>
        </w:rPr>
        <w:t xml:space="preserve">Art. 17. </w:t>
      </w:r>
      <w:r w:rsidRPr="008D4887">
        <w:rPr>
          <w:b/>
          <w:i/>
          <w:sz w:val="22"/>
          <w:szCs w:val="22"/>
          <w:u w:val="single"/>
        </w:rPr>
        <w:t>Em empreendimento com múltiplas unidades, cuja utilização da energia elétrica ocorra de forma independente, cada fração caracterizada por uso individualizado constitui uma unidade consumidora</w:t>
      </w:r>
    </w:p>
    <w:p w:rsidR="00D11794" w:rsidRPr="00194BC5" w:rsidRDefault="00D11794" w:rsidP="00D11794">
      <w:pPr>
        <w:ind w:left="1134" w:right="1134"/>
        <w:rPr>
          <w:sz w:val="22"/>
          <w:szCs w:val="22"/>
        </w:rPr>
      </w:pPr>
      <w:r w:rsidRPr="00194BC5">
        <w:rPr>
          <w:i/>
          <w:sz w:val="22"/>
          <w:szCs w:val="22"/>
        </w:rPr>
        <w:t>Parágrafo único. As instalações para atendimento das áreas de uso comum constituem uma unidade consumidora de responsabilidade do condomínio, da administração ou do</w:t>
      </w:r>
      <w:r>
        <w:rPr>
          <w:i/>
          <w:sz w:val="22"/>
          <w:szCs w:val="22"/>
        </w:rPr>
        <w:t xml:space="preserve"> proprietário do empreendimento”</w:t>
      </w:r>
      <w:r>
        <w:rPr>
          <w:sz w:val="22"/>
          <w:szCs w:val="22"/>
        </w:rPr>
        <w:t xml:space="preserve"> (grifou-se).</w:t>
      </w:r>
    </w:p>
    <w:p w:rsidR="00D11794" w:rsidRDefault="00D11794" w:rsidP="00D11794">
      <w:pPr>
        <w:pStyle w:val="Default"/>
        <w:spacing w:line="360" w:lineRule="exact"/>
        <w:jc w:val="both"/>
        <w:rPr>
          <w:color w:val="auto"/>
        </w:rPr>
      </w:pPr>
    </w:p>
    <w:p w:rsidR="005D71DE" w:rsidRPr="00194BC5" w:rsidRDefault="005D71DE"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Nesse contexto, é importantíssimo mencionar que a</w:t>
      </w:r>
      <w:r w:rsidRPr="00194BC5">
        <w:rPr>
          <w:color w:val="auto"/>
        </w:rPr>
        <w:t xml:space="preserve"> regra </w:t>
      </w:r>
      <w:r>
        <w:rPr>
          <w:color w:val="auto"/>
        </w:rPr>
        <w:t xml:space="preserve">em questão </w:t>
      </w:r>
      <w:r w:rsidR="002651DA">
        <w:rPr>
          <w:color w:val="auto"/>
        </w:rPr>
        <w:t>se aplica</w:t>
      </w:r>
      <w:r>
        <w:rPr>
          <w:color w:val="auto"/>
        </w:rPr>
        <w:t xml:space="preserve"> </w:t>
      </w:r>
      <w:r>
        <w:rPr>
          <w:b/>
          <w:color w:val="auto"/>
          <w:u w:val="single"/>
        </w:rPr>
        <w:t>inclusive para empreendimentos comerciais</w:t>
      </w:r>
      <w:r>
        <w:rPr>
          <w:color w:val="auto"/>
        </w:rPr>
        <w:t>.</w:t>
      </w:r>
    </w:p>
    <w:p w:rsidR="00D11794" w:rsidRDefault="00D11794" w:rsidP="00D11794">
      <w:pPr>
        <w:pStyle w:val="Default"/>
        <w:spacing w:line="360" w:lineRule="exact"/>
        <w:jc w:val="both"/>
        <w:rPr>
          <w:color w:val="auto"/>
        </w:rPr>
      </w:pPr>
    </w:p>
    <w:p w:rsidR="00D11794" w:rsidRPr="00194BC5" w:rsidRDefault="00D11794" w:rsidP="00D11794">
      <w:pPr>
        <w:pStyle w:val="Default"/>
        <w:spacing w:line="360" w:lineRule="exact"/>
        <w:jc w:val="both"/>
        <w:rPr>
          <w:color w:val="auto"/>
          <w:u w:val="single"/>
        </w:rPr>
      </w:pPr>
      <w:r>
        <w:rPr>
          <w:color w:val="auto"/>
        </w:rPr>
        <w:lastRenderedPageBreak/>
        <w:t xml:space="preserve">Tanto é assim que, logo em seguida, o artigo 18 das “Condições Gerais de Fornecimento” trata como </w:t>
      </w:r>
      <w:r w:rsidRPr="00194BC5">
        <w:rPr>
          <w:b/>
          <w:color w:val="auto"/>
          <w:u w:val="single"/>
        </w:rPr>
        <w:t>exceção</w:t>
      </w:r>
      <w:r>
        <w:rPr>
          <w:color w:val="auto"/>
        </w:rPr>
        <w:t xml:space="preserve"> a possibilidade de que esses condomínios sejam considerados como uma única unidade consumidora, </w:t>
      </w:r>
      <w:r w:rsidR="002651DA">
        <w:rPr>
          <w:color w:val="auto"/>
        </w:rPr>
        <w:t xml:space="preserve">e </w:t>
      </w:r>
      <w:r>
        <w:rPr>
          <w:color w:val="auto"/>
        </w:rPr>
        <w:t>desde que atendidas algumas condições:</w:t>
      </w:r>
    </w:p>
    <w:p w:rsidR="00D11794" w:rsidRDefault="00D11794" w:rsidP="00D11794">
      <w:pPr>
        <w:pStyle w:val="Default"/>
        <w:spacing w:line="360" w:lineRule="exact"/>
        <w:jc w:val="both"/>
        <w:rPr>
          <w:color w:val="auto"/>
        </w:rPr>
      </w:pPr>
    </w:p>
    <w:p w:rsidR="00D11794" w:rsidRPr="00194BC5" w:rsidRDefault="00D11794" w:rsidP="00D11794">
      <w:pPr>
        <w:ind w:left="1134" w:right="1134"/>
        <w:rPr>
          <w:i/>
          <w:sz w:val="22"/>
          <w:szCs w:val="22"/>
        </w:rPr>
      </w:pPr>
      <w:r>
        <w:rPr>
          <w:i/>
          <w:sz w:val="22"/>
          <w:szCs w:val="22"/>
        </w:rPr>
        <w:t>“</w:t>
      </w:r>
      <w:r w:rsidRPr="00194BC5">
        <w:rPr>
          <w:i/>
          <w:sz w:val="22"/>
          <w:szCs w:val="22"/>
        </w:rPr>
        <w:t xml:space="preserve">Art. 18. </w:t>
      </w:r>
      <w:r w:rsidRPr="00194BC5">
        <w:rPr>
          <w:b/>
          <w:i/>
          <w:sz w:val="22"/>
          <w:szCs w:val="22"/>
          <w:u w:val="single"/>
        </w:rPr>
        <w:t>O empreendimento com múltiplas unidades consumidoras, cuja atividade predominante seja o comércio ou a prestação de serviços</w:t>
      </w:r>
      <w:r w:rsidRPr="00194BC5">
        <w:rPr>
          <w:i/>
          <w:sz w:val="22"/>
          <w:szCs w:val="22"/>
        </w:rPr>
        <w:t xml:space="preserve">, na qual as pessoas físicas ou jurídicas utilizem energia elétrica em apenas um ponto de entrega, </w:t>
      </w:r>
      <w:r w:rsidRPr="00194BC5">
        <w:rPr>
          <w:b/>
          <w:i/>
          <w:sz w:val="22"/>
          <w:szCs w:val="22"/>
          <w:u w:val="single"/>
        </w:rPr>
        <w:t>pode ser considerado uma única unidade consumidora</w:t>
      </w:r>
      <w:r w:rsidRPr="00194BC5">
        <w:rPr>
          <w:i/>
          <w:sz w:val="22"/>
          <w:szCs w:val="22"/>
        </w:rPr>
        <w:t>, desde que atendidas, cumulativ</w:t>
      </w:r>
      <w:r w:rsidR="002651DA">
        <w:rPr>
          <w:i/>
          <w:sz w:val="22"/>
          <w:szCs w:val="22"/>
        </w:rPr>
        <w:t>amente, as seguintes condições:</w:t>
      </w:r>
    </w:p>
    <w:p w:rsidR="00D11794" w:rsidRPr="00194BC5" w:rsidRDefault="00D11794" w:rsidP="00D11794">
      <w:pPr>
        <w:ind w:left="1134" w:right="1134"/>
        <w:rPr>
          <w:i/>
          <w:sz w:val="22"/>
          <w:szCs w:val="22"/>
        </w:rPr>
      </w:pPr>
      <w:r w:rsidRPr="00194BC5">
        <w:rPr>
          <w:i/>
          <w:sz w:val="22"/>
          <w:szCs w:val="22"/>
        </w:rPr>
        <w:t xml:space="preserve">I – </w:t>
      </w:r>
      <w:proofErr w:type="gramStart"/>
      <w:r w:rsidRPr="00194BC5">
        <w:rPr>
          <w:i/>
          <w:sz w:val="22"/>
          <w:szCs w:val="22"/>
        </w:rPr>
        <w:t>que</w:t>
      </w:r>
      <w:proofErr w:type="gramEnd"/>
      <w:r w:rsidRPr="00194BC5">
        <w:rPr>
          <w:i/>
          <w:sz w:val="22"/>
          <w:szCs w:val="22"/>
        </w:rPr>
        <w:t xml:space="preserve"> a propriedade de todos os compartimentos do imóvel, prédio ou conjunto de edificações, seja de apenas uma pessoa física ou jurídica e que ela esteja sob a responsabilidade administrativa de organização incumbida da prestação de serviços comuns aos seus integrantes;</w:t>
      </w:r>
    </w:p>
    <w:p w:rsidR="00D11794" w:rsidRPr="00194BC5" w:rsidRDefault="00D11794" w:rsidP="00D11794">
      <w:pPr>
        <w:ind w:left="1134" w:right="1134"/>
        <w:rPr>
          <w:i/>
          <w:sz w:val="22"/>
          <w:szCs w:val="22"/>
        </w:rPr>
      </w:pPr>
      <w:r w:rsidRPr="00194BC5">
        <w:rPr>
          <w:i/>
          <w:sz w:val="22"/>
          <w:szCs w:val="22"/>
        </w:rPr>
        <w:t xml:space="preserve">II – </w:t>
      </w:r>
      <w:proofErr w:type="gramStart"/>
      <w:r w:rsidRPr="00194BC5">
        <w:rPr>
          <w:i/>
          <w:sz w:val="22"/>
          <w:szCs w:val="22"/>
        </w:rPr>
        <w:t>que</w:t>
      </w:r>
      <w:proofErr w:type="gramEnd"/>
      <w:r w:rsidRPr="00194BC5">
        <w:rPr>
          <w:i/>
          <w:sz w:val="22"/>
          <w:szCs w:val="22"/>
        </w:rPr>
        <w:t xml:space="preserve"> organização regularmente instituída se responsabilize pela prestação dos serviços comuns a seus integrantes; e</w:t>
      </w:r>
    </w:p>
    <w:p w:rsidR="00D11794" w:rsidRDefault="00D11794" w:rsidP="00D11794">
      <w:pPr>
        <w:ind w:left="1134" w:right="1134"/>
        <w:rPr>
          <w:i/>
          <w:sz w:val="22"/>
          <w:szCs w:val="22"/>
        </w:rPr>
      </w:pPr>
      <w:r w:rsidRPr="00194BC5">
        <w:rPr>
          <w:i/>
          <w:sz w:val="22"/>
          <w:szCs w:val="22"/>
        </w:rPr>
        <w:t>III – que o valor da fatura relativa ao fornecimento ou conexão e uso do sistema elétrico seja rateado entre todos os integ</w:t>
      </w:r>
      <w:r>
        <w:rPr>
          <w:i/>
          <w:sz w:val="22"/>
          <w:szCs w:val="22"/>
        </w:rPr>
        <w:t>rantes, sem qualquer acréscimo.</w:t>
      </w:r>
    </w:p>
    <w:p w:rsidR="00D11794" w:rsidRPr="00194BC5" w:rsidRDefault="00D11794" w:rsidP="00D11794">
      <w:pPr>
        <w:ind w:left="1134" w:right="1134"/>
        <w:rPr>
          <w:rFonts w:eastAsia="Calibri"/>
          <w:sz w:val="22"/>
          <w:szCs w:val="22"/>
        </w:rPr>
      </w:pPr>
      <w:r w:rsidRPr="00194BC5">
        <w:rPr>
          <w:i/>
          <w:sz w:val="22"/>
          <w:szCs w:val="22"/>
        </w:rPr>
        <w:t xml:space="preserve">Parágrafo único. </w:t>
      </w:r>
      <w:r w:rsidRPr="00194BC5">
        <w:rPr>
          <w:b/>
          <w:i/>
          <w:sz w:val="22"/>
          <w:szCs w:val="22"/>
        </w:rPr>
        <w:t>Cabe à organização manifestar-se, por escrito, sobre a opção pelo fornecimento de energia elétrica nas condições previstas neste artigo</w:t>
      </w:r>
      <w:r>
        <w:rPr>
          <w:i/>
          <w:sz w:val="22"/>
          <w:szCs w:val="22"/>
        </w:rPr>
        <w:t xml:space="preserve">” </w:t>
      </w:r>
      <w:r>
        <w:rPr>
          <w:sz w:val="22"/>
          <w:szCs w:val="22"/>
        </w:rPr>
        <w:t>(grifou-se).</w:t>
      </w:r>
    </w:p>
    <w:p w:rsidR="00D11794" w:rsidRDefault="00D11794" w:rsidP="00D11794">
      <w:pPr>
        <w:pStyle w:val="Default"/>
        <w:spacing w:line="360" w:lineRule="exact"/>
        <w:jc w:val="both"/>
        <w:rPr>
          <w:color w:val="auto"/>
        </w:rPr>
      </w:pPr>
    </w:p>
    <w:p w:rsidR="00D11794" w:rsidRPr="00D300EA" w:rsidRDefault="00D11794" w:rsidP="00D11794">
      <w:pPr>
        <w:pStyle w:val="Default"/>
        <w:spacing w:line="360" w:lineRule="exact"/>
        <w:jc w:val="both"/>
        <w:rPr>
          <w:color w:val="auto"/>
        </w:rPr>
      </w:pPr>
      <w:r>
        <w:rPr>
          <w:color w:val="auto"/>
        </w:rPr>
        <w:t xml:space="preserve">Em outras palavras, SMJ, para que um empreendimento comercial dotado de múltiplas frações </w:t>
      </w:r>
      <w:r>
        <w:rPr>
          <w:b/>
          <w:color w:val="auto"/>
          <w:u w:val="single"/>
        </w:rPr>
        <w:t>não seja</w:t>
      </w:r>
      <w:r w:rsidRPr="00D300EA">
        <w:rPr>
          <w:b/>
          <w:color w:val="auto"/>
          <w:u w:val="single"/>
        </w:rPr>
        <w:t xml:space="preserve"> automaticamente desmembrado em independentes unidades consumidoras </w:t>
      </w:r>
      <w:r>
        <w:rPr>
          <w:b/>
          <w:color w:val="auto"/>
          <w:u w:val="single"/>
        </w:rPr>
        <w:t>de energia</w:t>
      </w:r>
      <w:r w:rsidRPr="00D300EA">
        <w:rPr>
          <w:color w:val="auto"/>
        </w:rPr>
        <w:t xml:space="preserve"> </w:t>
      </w:r>
      <w:r>
        <w:rPr>
          <w:color w:val="auto"/>
        </w:rPr>
        <w:t>– correspondentes a cada respectiva fração –, é preciso que: (i) o particular opte formalmente por esse regime; (ii) uma única pessoa (física ou jurídica) seja a proprietária de todos os compartimentos do imóvel</w:t>
      </w:r>
      <w:r w:rsidR="002651DA">
        <w:rPr>
          <w:color w:val="auto"/>
        </w:rPr>
        <w:t xml:space="preserve"> (um shopping-center, por exemplo)</w:t>
      </w:r>
      <w:r>
        <w:rPr>
          <w:color w:val="auto"/>
        </w:rPr>
        <w:t>; e (iii) que esse proprietário único seja o responsável pelos serviços comuns do empreendimento, com rateio da fatura de energia entre os seus integrantes, sem acréscimo.</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Assim, verifica-se que a regra regulatória geral classifica cada unidade autônoma de um empreendimento (</w:t>
      </w:r>
      <w:r w:rsidR="002651DA">
        <w:rPr>
          <w:b/>
          <w:color w:val="auto"/>
        </w:rPr>
        <w:t>inclusive aquele</w:t>
      </w:r>
      <w:r w:rsidRPr="002651DA">
        <w:rPr>
          <w:b/>
          <w:color w:val="auto"/>
        </w:rPr>
        <w:t>s de natureza comercial</w:t>
      </w:r>
      <w:r>
        <w:rPr>
          <w:color w:val="auto"/>
        </w:rPr>
        <w:t>) como uma única unidade consumidora, para fins de fornecimento de energia elétrica.</w:t>
      </w:r>
    </w:p>
    <w:p w:rsidR="00D11794" w:rsidRDefault="00D11794" w:rsidP="00D11794">
      <w:pPr>
        <w:pStyle w:val="Default"/>
        <w:spacing w:line="360" w:lineRule="exact"/>
        <w:jc w:val="both"/>
        <w:rPr>
          <w:color w:val="auto"/>
        </w:rPr>
      </w:pPr>
    </w:p>
    <w:p w:rsidR="005D71DE" w:rsidRDefault="005D71DE">
      <w:pPr>
        <w:tabs>
          <w:tab w:val="clear" w:pos="851"/>
          <w:tab w:val="clear" w:pos="1701"/>
          <w:tab w:val="clear" w:pos="2552"/>
          <w:tab w:val="clear" w:pos="3402"/>
          <w:tab w:val="clear" w:pos="4253"/>
          <w:tab w:val="clear" w:pos="5103"/>
          <w:tab w:val="clear" w:pos="5954"/>
          <w:tab w:val="clear" w:pos="6804"/>
          <w:tab w:val="clear" w:pos="7655"/>
          <w:tab w:val="clear" w:pos="8505"/>
        </w:tabs>
        <w:jc w:val="left"/>
        <w:rPr>
          <w:rFonts w:cs="Arial"/>
          <w:szCs w:val="24"/>
        </w:rPr>
      </w:pPr>
      <w:r>
        <w:br w:type="page"/>
      </w:r>
    </w:p>
    <w:p w:rsidR="00D11794" w:rsidRPr="00194BC5" w:rsidRDefault="00D11794" w:rsidP="00D11794">
      <w:pPr>
        <w:pStyle w:val="Default"/>
        <w:spacing w:line="360" w:lineRule="exact"/>
        <w:jc w:val="both"/>
        <w:rPr>
          <w:color w:val="auto"/>
        </w:rPr>
      </w:pPr>
    </w:p>
    <w:p w:rsidR="00D11794" w:rsidRPr="00D274C3" w:rsidRDefault="00D11794" w:rsidP="00D11794">
      <w:pPr>
        <w:pStyle w:val="Default"/>
        <w:spacing w:line="360" w:lineRule="exact"/>
        <w:jc w:val="both"/>
        <w:rPr>
          <w:b/>
          <w:color w:val="auto"/>
        </w:rPr>
      </w:pPr>
      <w:r>
        <w:rPr>
          <w:b/>
          <w:color w:val="auto"/>
        </w:rPr>
        <w:t>I.4. Participação financeira, subestações e compartilhamento</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Para determinadas situações, as normas regulatórias preveem que as unidades consumidoras devem contribuir com o acesso ao sistema de distribuição, por meio de participação financeira e a execução de obras de infraestrutura necessárias.</w:t>
      </w:r>
    </w:p>
    <w:p w:rsidR="00D11794" w:rsidRDefault="00D11794" w:rsidP="00D11794">
      <w:pPr>
        <w:pStyle w:val="Default"/>
        <w:spacing w:line="360" w:lineRule="exact"/>
        <w:jc w:val="both"/>
        <w:rPr>
          <w:color w:val="auto"/>
        </w:rPr>
      </w:pPr>
    </w:p>
    <w:p w:rsidR="00D11794" w:rsidRPr="00FB6EA7" w:rsidRDefault="00D11794" w:rsidP="00D11794">
      <w:pPr>
        <w:spacing w:line="360" w:lineRule="exact"/>
        <w:rPr>
          <w:rFonts w:eastAsia="Calibri" w:cs="Arial"/>
          <w:szCs w:val="24"/>
        </w:rPr>
      </w:pPr>
      <w:r w:rsidRPr="00C8501A">
        <w:rPr>
          <w:szCs w:val="24"/>
        </w:rPr>
        <w:t xml:space="preserve">É assim que o PRODIST </w:t>
      </w:r>
      <w:r>
        <w:rPr>
          <w:szCs w:val="24"/>
        </w:rPr>
        <w:t xml:space="preserve">dispõe: </w:t>
      </w:r>
      <w:r>
        <w:rPr>
          <w:i/>
          <w:szCs w:val="24"/>
        </w:rPr>
        <w:t>“</w:t>
      </w:r>
      <w:r w:rsidRPr="00C8501A">
        <w:rPr>
          <w:rFonts w:cs="Arial"/>
          <w:i/>
          <w:szCs w:val="24"/>
        </w:rPr>
        <w:t xml:space="preserve">A conexão de unidades consumidoras com carga instalada superior a 50 kW, incluindo os aumentos de carga, </w:t>
      </w:r>
      <w:r w:rsidRPr="00FB6EA7">
        <w:rPr>
          <w:rFonts w:cs="Arial"/>
          <w:i/>
          <w:szCs w:val="24"/>
          <w:u w:val="single"/>
        </w:rPr>
        <w:t xml:space="preserve">ocorre com participação financeira do consumidor, </w:t>
      </w:r>
      <w:r w:rsidRPr="00C8501A">
        <w:rPr>
          <w:rFonts w:cs="Arial"/>
          <w:i/>
          <w:szCs w:val="24"/>
          <w:u w:val="single"/>
        </w:rPr>
        <w:t>de acordo com regulamento específico da ANEEL</w:t>
      </w:r>
      <w:r>
        <w:rPr>
          <w:rFonts w:cs="Arial"/>
          <w:i/>
          <w:szCs w:val="24"/>
        </w:rPr>
        <w:t>”</w:t>
      </w:r>
      <w:r>
        <w:rPr>
          <w:rFonts w:cs="Arial"/>
          <w:szCs w:val="24"/>
        </w:rPr>
        <w:t xml:space="preserve"> (item 4.9. </w:t>
      </w:r>
      <w:proofErr w:type="gramStart"/>
      <w:r>
        <w:rPr>
          <w:rFonts w:cs="Arial"/>
          <w:szCs w:val="24"/>
        </w:rPr>
        <w:t>da</w:t>
      </w:r>
      <w:proofErr w:type="gramEnd"/>
      <w:r>
        <w:rPr>
          <w:rFonts w:cs="Arial"/>
          <w:szCs w:val="24"/>
        </w:rPr>
        <w:t xml:space="preserve"> Seção 3.0. </w:t>
      </w:r>
      <w:proofErr w:type="gramStart"/>
      <w:r>
        <w:rPr>
          <w:rFonts w:cs="Arial"/>
          <w:szCs w:val="24"/>
        </w:rPr>
        <w:t>do</w:t>
      </w:r>
      <w:proofErr w:type="gramEnd"/>
      <w:r>
        <w:rPr>
          <w:rFonts w:cs="Arial"/>
          <w:szCs w:val="24"/>
        </w:rPr>
        <w:t xml:space="preserve"> Módulo 3 – grifou-se).</w:t>
      </w:r>
    </w:p>
    <w:p w:rsidR="00D11794" w:rsidRPr="00C8501A" w:rsidRDefault="00D11794" w:rsidP="00D11794">
      <w:pPr>
        <w:pStyle w:val="Default"/>
        <w:spacing w:line="360" w:lineRule="exact"/>
        <w:jc w:val="both"/>
        <w:rPr>
          <w:color w:val="auto"/>
        </w:rPr>
      </w:pPr>
    </w:p>
    <w:p w:rsidR="00D11794" w:rsidRPr="00C8501A" w:rsidRDefault="00D11794" w:rsidP="00D11794">
      <w:pPr>
        <w:pStyle w:val="Default"/>
        <w:spacing w:line="360" w:lineRule="exact"/>
        <w:jc w:val="both"/>
        <w:rPr>
          <w:color w:val="auto"/>
        </w:rPr>
      </w:pPr>
      <w:r>
        <w:rPr>
          <w:color w:val="auto"/>
        </w:rPr>
        <w:t>Especificamente em relação à implantação da infraestrutura necessária para o caso prático aqui examinado, as “Condições Gerais de Fornecimento” assim estabelecem:</w:t>
      </w:r>
    </w:p>
    <w:p w:rsidR="00D11794" w:rsidRDefault="00D11794" w:rsidP="00D11794">
      <w:pPr>
        <w:pStyle w:val="Default"/>
        <w:spacing w:line="360" w:lineRule="exact"/>
        <w:jc w:val="both"/>
        <w:rPr>
          <w:color w:val="auto"/>
        </w:rPr>
      </w:pPr>
    </w:p>
    <w:p w:rsidR="00D11794" w:rsidRPr="007347B3" w:rsidRDefault="00D11794" w:rsidP="00D11794">
      <w:pPr>
        <w:ind w:left="1134" w:right="1134"/>
        <w:rPr>
          <w:i/>
          <w:sz w:val="22"/>
          <w:szCs w:val="22"/>
        </w:rPr>
      </w:pPr>
      <w:r>
        <w:rPr>
          <w:i/>
          <w:sz w:val="22"/>
          <w:szCs w:val="22"/>
        </w:rPr>
        <w:t>“</w:t>
      </w:r>
      <w:r w:rsidRPr="007347B3">
        <w:rPr>
          <w:i/>
          <w:sz w:val="22"/>
          <w:szCs w:val="22"/>
        </w:rPr>
        <w:t xml:space="preserve">Art. 15. A distribuidora deve adotar todas as providências com vistas a viabilizar o fornecimento, operar e manter o seu sistema elétrico </w:t>
      </w:r>
      <w:r w:rsidRPr="00D357A3">
        <w:rPr>
          <w:i/>
          <w:sz w:val="22"/>
          <w:szCs w:val="22"/>
          <w:u w:val="single"/>
        </w:rPr>
        <w:t>até o ponto de entrega</w:t>
      </w:r>
      <w:r w:rsidRPr="007347B3">
        <w:rPr>
          <w:i/>
          <w:sz w:val="22"/>
          <w:szCs w:val="22"/>
        </w:rPr>
        <w:t>, caracterizado como o limite de sua responsabilidade, observadas as condições estabelecidas na legislação e regulamentos aplicáveis.</w:t>
      </w:r>
    </w:p>
    <w:p w:rsidR="00D11794" w:rsidRPr="00D357A3" w:rsidRDefault="00D11794" w:rsidP="00D11794">
      <w:pPr>
        <w:ind w:left="1134" w:right="1134"/>
        <w:rPr>
          <w:rFonts w:eastAsia="Calibri"/>
          <w:sz w:val="22"/>
          <w:szCs w:val="22"/>
        </w:rPr>
      </w:pPr>
      <w:r w:rsidRPr="007347B3">
        <w:rPr>
          <w:i/>
          <w:sz w:val="22"/>
          <w:szCs w:val="22"/>
        </w:rPr>
        <w:t xml:space="preserve">Parágrafo único. </w:t>
      </w:r>
      <w:r w:rsidRPr="00D357A3">
        <w:rPr>
          <w:b/>
          <w:i/>
          <w:sz w:val="22"/>
          <w:szCs w:val="22"/>
          <w:u w:val="single"/>
        </w:rPr>
        <w:t>O consumidor titular de unidade consumidora do grupo A</w:t>
      </w:r>
      <w:r w:rsidRPr="006017D7">
        <w:rPr>
          <w:rStyle w:val="Refdenotaderodap"/>
          <w:sz w:val="22"/>
          <w:szCs w:val="22"/>
        </w:rPr>
        <w:footnoteReference w:id="6"/>
      </w:r>
      <w:r w:rsidRPr="006017D7">
        <w:rPr>
          <w:sz w:val="22"/>
          <w:szCs w:val="22"/>
        </w:rPr>
        <w:t xml:space="preserve"> </w:t>
      </w:r>
      <w:r w:rsidRPr="00D357A3">
        <w:rPr>
          <w:b/>
          <w:i/>
          <w:sz w:val="22"/>
          <w:szCs w:val="22"/>
          <w:u w:val="single"/>
        </w:rPr>
        <w:t>é responsável pelas instalações necessárias ao abaixamento da tensão</w:t>
      </w:r>
      <w:r w:rsidRPr="007347B3">
        <w:rPr>
          <w:i/>
          <w:sz w:val="22"/>
          <w:szCs w:val="22"/>
        </w:rPr>
        <w:t>, transporte de energia e proteção dos sis</w:t>
      </w:r>
      <w:r>
        <w:rPr>
          <w:i/>
          <w:sz w:val="22"/>
          <w:szCs w:val="22"/>
        </w:rPr>
        <w:t>temas, além do ponto de entrega”</w:t>
      </w:r>
      <w:r>
        <w:rPr>
          <w:sz w:val="22"/>
          <w:szCs w:val="22"/>
        </w:rPr>
        <w:t xml:space="preserve"> (grifou-se).</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De maneira concreta, conforme acima examinado, a entrega de energia em 88 kV (AT) impõe a necessidade de que os empreendedores passem a implantar subestações</w:t>
      </w:r>
      <w:r>
        <w:rPr>
          <w:rStyle w:val="Refdenotaderodap"/>
          <w:color w:val="auto"/>
        </w:rPr>
        <w:footnoteReference w:id="7"/>
      </w:r>
      <w:r>
        <w:rPr>
          <w:color w:val="auto"/>
        </w:rPr>
        <w:t xml:space="preserve"> para o abaixamento da tensão no próprio imóvel.</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lastRenderedPageBreak/>
        <w:t>Assim, também aqui, verifica-se que a legislação aplicável respalda a exigência analisada.</w:t>
      </w:r>
    </w:p>
    <w:p w:rsidR="00D11794" w:rsidRDefault="00D11794" w:rsidP="00D11794">
      <w:pPr>
        <w:pStyle w:val="Default"/>
        <w:spacing w:line="360" w:lineRule="exact"/>
        <w:jc w:val="both"/>
        <w:rPr>
          <w:color w:val="auto"/>
        </w:rPr>
      </w:pPr>
    </w:p>
    <w:p w:rsidR="00D11794" w:rsidRDefault="00B9396E" w:rsidP="00D11794">
      <w:pPr>
        <w:pStyle w:val="Default"/>
        <w:spacing w:line="360" w:lineRule="exact"/>
        <w:jc w:val="both"/>
        <w:rPr>
          <w:color w:val="auto"/>
        </w:rPr>
      </w:pPr>
      <w:r>
        <w:rPr>
          <w:color w:val="auto"/>
        </w:rPr>
        <w:t>Sob outro aspecto</w:t>
      </w:r>
      <w:r w:rsidR="00D11794" w:rsidRPr="00DE5CBC">
        <w:rPr>
          <w:color w:val="auto"/>
        </w:rPr>
        <w:t>, as normas preveem hipóteses restritas de um eventual co</w:t>
      </w:r>
      <w:r w:rsidR="00D11794">
        <w:rPr>
          <w:color w:val="auto"/>
        </w:rPr>
        <w:t>mpartilhamento das subestações, providência que poderia ao menos mitigar os custos suportados pelo empreendedor com a infraestrutura requerida.</w:t>
      </w:r>
    </w:p>
    <w:p w:rsidR="00D11794" w:rsidRDefault="00D11794" w:rsidP="00D11794">
      <w:pPr>
        <w:pStyle w:val="Default"/>
        <w:spacing w:line="360" w:lineRule="exact"/>
        <w:jc w:val="both"/>
        <w:rPr>
          <w:color w:val="auto"/>
        </w:rPr>
      </w:pPr>
    </w:p>
    <w:p w:rsidR="00D11794" w:rsidRPr="00DE5CBC" w:rsidRDefault="00D11794" w:rsidP="00D11794">
      <w:pPr>
        <w:pStyle w:val="Default"/>
        <w:spacing w:line="360" w:lineRule="exact"/>
        <w:jc w:val="both"/>
        <w:rPr>
          <w:color w:val="auto"/>
        </w:rPr>
      </w:pPr>
      <w:r w:rsidRPr="00DE5CBC">
        <w:rPr>
          <w:color w:val="auto"/>
        </w:rPr>
        <w:t xml:space="preserve">O PRODIST, em primeiro lugar, afirma apenas que </w:t>
      </w:r>
      <w:r>
        <w:rPr>
          <w:i/>
          <w:color w:val="auto"/>
        </w:rPr>
        <w:t>“a</w:t>
      </w:r>
      <w:r w:rsidRPr="00DE5CBC">
        <w:rPr>
          <w:i/>
        </w:rPr>
        <w:t xml:space="preserve"> conexão de mais de uma unidade consumidora </w:t>
      </w:r>
      <w:r w:rsidRPr="004910DF">
        <w:rPr>
          <w:i/>
          <w:u w:val="single"/>
        </w:rPr>
        <w:t>por meio de subestação transformadora compartilhada</w:t>
      </w:r>
      <w:r w:rsidRPr="00DE5CBC">
        <w:rPr>
          <w:i/>
        </w:rPr>
        <w:t xml:space="preserve"> deve seguir o disposto em regulamentação específica” </w:t>
      </w:r>
      <w:r w:rsidRPr="00DE5CBC">
        <w:t>(</w:t>
      </w:r>
      <w:r>
        <w:t xml:space="preserve">item 2.3.1. </w:t>
      </w:r>
      <w:proofErr w:type="gramStart"/>
      <w:r>
        <w:t>da</w:t>
      </w:r>
      <w:proofErr w:type="gramEnd"/>
      <w:r>
        <w:t xml:space="preserve"> s</w:t>
      </w:r>
      <w:r w:rsidRPr="00DE5CBC">
        <w:t>eção 3.2.</w:t>
      </w:r>
      <w:r>
        <w:t xml:space="preserve"> </w:t>
      </w:r>
      <w:proofErr w:type="gramStart"/>
      <w:r>
        <w:t>do</w:t>
      </w:r>
      <w:proofErr w:type="gramEnd"/>
      <w:r>
        <w:t xml:space="preserve"> Módulo 3 do PRODIST – grifou-se).</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Por sua vez, as “Condições Gerais de Fornecimento” esclarecem as condições para esse compartilhamento de subestações:</w:t>
      </w:r>
    </w:p>
    <w:p w:rsidR="00D11794" w:rsidRDefault="00D11794" w:rsidP="00D11794">
      <w:pPr>
        <w:pStyle w:val="Default"/>
        <w:spacing w:line="360" w:lineRule="exact"/>
        <w:jc w:val="both"/>
        <w:rPr>
          <w:color w:val="auto"/>
        </w:rPr>
      </w:pPr>
    </w:p>
    <w:p w:rsidR="00D11794" w:rsidRPr="00BC2D75" w:rsidRDefault="00D11794" w:rsidP="00D11794">
      <w:pPr>
        <w:ind w:left="1134" w:right="1134"/>
        <w:rPr>
          <w:i/>
          <w:sz w:val="22"/>
          <w:szCs w:val="22"/>
        </w:rPr>
      </w:pPr>
      <w:r>
        <w:rPr>
          <w:i/>
          <w:sz w:val="22"/>
          <w:szCs w:val="22"/>
        </w:rPr>
        <w:t>“</w:t>
      </w:r>
      <w:r w:rsidRPr="00BC2D75">
        <w:rPr>
          <w:i/>
          <w:sz w:val="22"/>
          <w:szCs w:val="22"/>
        </w:rPr>
        <w:t xml:space="preserve">Art. 16. O fornecimento de energia elétrica </w:t>
      </w:r>
      <w:r w:rsidRPr="008205F8">
        <w:rPr>
          <w:b/>
          <w:i/>
          <w:sz w:val="22"/>
          <w:szCs w:val="22"/>
        </w:rPr>
        <w:t xml:space="preserve">a mais de uma unidade consumidora do grupo A pode ser efetuado por meio de </w:t>
      </w:r>
      <w:r w:rsidRPr="008205F8">
        <w:rPr>
          <w:b/>
          <w:i/>
          <w:sz w:val="22"/>
          <w:szCs w:val="22"/>
          <w:u w:val="single"/>
        </w:rPr>
        <w:t>subestação compartilhada</w:t>
      </w:r>
      <w:r w:rsidRPr="00BC2D75">
        <w:rPr>
          <w:i/>
          <w:sz w:val="22"/>
          <w:szCs w:val="22"/>
        </w:rPr>
        <w:t xml:space="preserve">, desde que atendidos os </w:t>
      </w:r>
      <w:r w:rsidRPr="008205F8">
        <w:rPr>
          <w:b/>
          <w:i/>
          <w:sz w:val="22"/>
          <w:szCs w:val="22"/>
        </w:rPr>
        <w:t>requisitos técnicos da distribuidora</w:t>
      </w:r>
      <w:r w:rsidRPr="00BC2D75">
        <w:rPr>
          <w:i/>
          <w:sz w:val="22"/>
          <w:szCs w:val="22"/>
        </w:rPr>
        <w:t xml:space="preserve"> e observadas as seguintes condições:</w:t>
      </w:r>
    </w:p>
    <w:p w:rsidR="00D11794" w:rsidRPr="00BC2D75" w:rsidRDefault="00D11794" w:rsidP="00D11794">
      <w:pPr>
        <w:ind w:left="1134" w:right="1134"/>
        <w:rPr>
          <w:i/>
          <w:sz w:val="22"/>
          <w:szCs w:val="22"/>
        </w:rPr>
      </w:pPr>
      <w:r w:rsidRPr="00BC2D75">
        <w:rPr>
          <w:i/>
          <w:sz w:val="22"/>
          <w:szCs w:val="22"/>
        </w:rPr>
        <w:t xml:space="preserve">I – </w:t>
      </w:r>
      <w:proofErr w:type="gramStart"/>
      <w:r w:rsidRPr="008205F8">
        <w:rPr>
          <w:b/>
          <w:i/>
          <w:sz w:val="22"/>
          <w:szCs w:val="22"/>
        </w:rPr>
        <w:t>as</w:t>
      </w:r>
      <w:proofErr w:type="gramEnd"/>
      <w:r w:rsidRPr="008205F8">
        <w:rPr>
          <w:b/>
          <w:i/>
          <w:sz w:val="22"/>
          <w:szCs w:val="22"/>
        </w:rPr>
        <w:t xml:space="preserve"> unidades consumidoras devem estar localizadas em uma mesma propriedade ou em propriedades contíguas</w:t>
      </w:r>
      <w:r w:rsidRPr="00BC2D75">
        <w:rPr>
          <w:i/>
          <w:sz w:val="22"/>
          <w:szCs w:val="22"/>
        </w:rPr>
        <w:t xml:space="preserve">, </w:t>
      </w:r>
      <w:r w:rsidRPr="00CE1921">
        <w:rPr>
          <w:b/>
          <w:i/>
          <w:sz w:val="22"/>
          <w:szCs w:val="22"/>
        </w:rPr>
        <w:t>sendo vedada a utilização de vias públicas, de passagem aérea ou subterrânea e de propriedades de terceiros não envolvidos no referido compartilhamento</w:t>
      </w:r>
      <w:r w:rsidRPr="00BC2D75">
        <w:rPr>
          <w:i/>
          <w:sz w:val="22"/>
          <w:szCs w:val="22"/>
        </w:rPr>
        <w:t>; e</w:t>
      </w:r>
    </w:p>
    <w:p w:rsidR="00D11794" w:rsidRPr="00BC2D75" w:rsidRDefault="00D11794" w:rsidP="00D11794">
      <w:pPr>
        <w:ind w:left="1134" w:right="1134"/>
        <w:rPr>
          <w:i/>
          <w:sz w:val="22"/>
          <w:szCs w:val="22"/>
        </w:rPr>
      </w:pPr>
      <w:r w:rsidRPr="00BC2D75">
        <w:rPr>
          <w:i/>
          <w:sz w:val="22"/>
          <w:szCs w:val="22"/>
        </w:rPr>
        <w:t xml:space="preserve">II – </w:t>
      </w:r>
      <w:proofErr w:type="gramStart"/>
      <w:r w:rsidRPr="00BC2D75">
        <w:rPr>
          <w:i/>
          <w:sz w:val="22"/>
          <w:szCs w:val="22"/>
        </w:rPr>
        <w:t>a</w:t>
      </w:r>
      <w:proofErr w:type="gramEnd"/>
      <w:r w:rsidRPr="00BC2D75">
        <w:rPr>
          <w:i/>
          <w:sz w:val="22"/>
          <w:szCs w:val="22"/>
        </w:rPr>
        <w:t xml:space="preserve"> existência de prévio acordo entre os consumidores participantes do compartilhamento, devendo ser aditivado no caso de adesão de outras unidades consumidoras além daquelas inicialmente pact</w:t>
      </w:r>
      <w:r>
        <w:rPr>
          <w:i/>
          <w:sz w:val="22"/>
          <w:szCs w:val="22"/>
        </w:rPr>
        <w:t>uadas.</w:t>
      </w:r>
    </w:p>
    <w:p w:rsidR="00D11794" w:rsidRDefault="00D11794" w:rsidP="00D11794">
      <w:pPr>
        <w:ind w:left="1134" w:right="1134"/>
        <w:rPr>
          <w:i/>
          <w:sz w:val="22"/>
          <w:szCs w:val="22"/>
        </w:rPr>
      </w:pPr>
      <w:r w:rsidRPr="00BC2D75">
        <w:rPr>
          <w:i/>
          <w:sz w:val="22"/>
          <w:szCs w:val="22"/>
        </w:rPr>
        <w:t>§ 1</w:t>
      </w:r>
      <w:r>
        <w:rPr>
          <w:i/>
          <w:sz w:val="22"/>
          <w:szCs w:val="22"/>
        </w:rPr>
        <w:t>º</w:t>
      </w:r>
      <w:r w:rsidRPr="00BC2D75">
        <w:rPr>
          <w:i/>
          <w:sz w:val="22"/>
          <w:szCs w:val="22"/>
        </w:rPr>
        <w:t xml:space="preserve"> O compartilhamento de subestação pertencente a consumidor responsável por unidade consumidora do grupo A, mediante acordo entre as partes, pode ser realizado com a distribuidora para atendimento a unidades consumidoras dos grupos A ou B, desde que haja conveniência técnica e econômica para seu sistema elétrico, observa</w:t>
      </w:r>
      <w:r>
        <w:rPr>
          <w:i/>
          <w:sz w:val="22"/>
          <w:szCs w:val="22"/>
        </w:rPr>
        <w:t>dos os incisos I e II do caput.</w:t>
      </w:r>
    </w:p>
    <w:p w:rsidR="00D11794" w:rsidRPr="00CE1921" w:rsidRDefault="00D11794" w:rsidP="00D11794">
      <w:pPr>
        <w:ind w:left="1134" w:right="1134"/>
        <w:rPr>
          <w:i/>
          <w:sz w:val="22"/>
          <w:szCs w:val="22"/>
        </w:rPr>
      </w:pPr>
      <w:r>
        <w:rPr>
          <w:sz w:val="22"/>
          <w:szCs w:val="22"/>
        </w:rPr>
        <w:t>(...)</w:t>
      </w:r>
    </w:p>
    <w:p w:rsidR="00D11794" w:rsidRPr="00C448AF" w:rsidRDefault="00D11794" w:rsidP="00D11794">
      <w:pPr>
        <w:ind w:left="1134" w:right="1134"/>
        <w:rPr>
          <w:i/>
          <w:sz w:val="22"/>
          <w:szCs w:val="22"/>
        </w:rPr>
      </w:pPr>
      <w:r w:rsidRPr="00BC2D75">
        <w:rPr>
          <w:i/>
          <w:sz w:val="22"/>
          <w:szCs w:val="22"/>
        </w:rPr>
        <w:t>§ 4º O acordo celebrado entre unidades consumidoras do grupo A ou entre o consumidor responsável pela unidade do grupo A e a distribuidora deve estabelecer, entre outros pontos, as responsabilidades pela operação e manutenç</w:t>
      </w:r>
      <w:r>
        <w:rPr>
          <w:i/>
          <w:sz w:val="22"/>
          <w:szCs w:val="22"/>
        </w:rPr>
        <w:t xml:space="preserve">ão da subestação compartilhada </w:t>
      </w:r>
      <w:r>
        <w:rPr>
          <w:sz w:val="22"/>
          <w:szCs w:val="22"/>
        </w:rPr>
        <w:t>(...)</w:t>
      </w:r>
      <w:r>
        <w:rPr>
          <w:i/>
          <w:sz w:val="22"/>
          <w:szCs w:val="22"/>
        </w:rPr>
        <w:t>”</w:t>
      </w:r>
      <w:r>
        <w:rPr>
          <w:sz w:val="22"/>
          <w:szCs w:val="22"/>
        </w:rPr>
        <w:t xml:space="preserve"> (grifou-se)</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lastRenderedPageBreak/>
        <w:t>E, ecoando o entendimento acima transcrito, as já mencionadas “Orientações Gerais para Fornecimento de Energia Elétrica Subgrupo A2”</w:t>
      </w:r>
      <w:r w:rsidRPr="0097083D">
        <w:rPr>
          <w:rStyle w:val="Refdenotaderodap"/>
          <w:color w:val="auto"/>
        </w:rPr>
        <w:footnoteReference w:id="8"/>
      </w:r>
      <w:r>
        <w:rPr>
          <w:color w:val="auto"/>
        </w:rPr>
        <w:t xml:space="preserve">, da </w:t>
      </w:r>
      <w:r>
        <w:rPr>
          <w:smallCaps/>
          <w:color w:val="auto"/>
        </w:rPr>
        <w:t>Eletropaulo</w:t>
      </w:r>
      <w:r>
        <w:rPr>
          <w:color w:val="auto"/>
        </w:rPr>
        <w:t>, estabelecem:</w:t>
      </w:r>
    </w:p>
    <w:p w:rsidR="00D11794" w:rsidRDefault="00D11794" w:rsidP="00D11794">
      <w:pPr>
        <w:pStyle w:val="Default"/>
        <w:spacing w:line="360" w:lineRule="exact"/>
        <w:jc w:val="both"/>
        <w:rPr>
          <w:color w:val="auto"/>
        </w:rPr>
      </w:pPr>
    </w:p>
    <w:p w:rsidR="00D11794" w:rsidRPr="008B70BD" w:rsidRDefault="00D11794" w:rsidP="00D11794">
      <w:pPr>
        <w:ind w:left="1134" w:right="1134"/>
        <w:rPr>
          <w:rFonts w:cs="Arial"/>
          <w:i/>
          <w:sz w:val="22"/>
          <w:szCs w:val="22"/>
        </w:rPr>
      </w:pPr>
      <w:r>
        <w:rPr>
          <w:rFonts w:cs="Arial"/>
          <w:i/>
          <w:sz w:val="22"/>
          <w:szCs w:val="22"/>
        </w:rPr>
        <w:t>“</w:t>
      </w:r>
      <w:r w:rsidRPr="008B70BD">
        <w:rPr>
          <w:rFonts w:cs="Arial"/>
          <w:i/>
          <w:sz w:val="22"/>
          <w:szCs w:val="22"/>
        </w:rPr>
        <w:t xml:space="preserve">2.6. </w:t>
      </w:r>
      <w:r w:rsidRPr="00663014">
        <w:rPr>
          <w:rFonts w:cs="Arial"/>
          <w:b/>
          <w:i/>
          <w:sz w:val="22"/>
          <w:szCs w:val="22"/>
          <w:u w:val="single"/>
        </w:rPr>
        <w:t>Compartilhamento de estação</w:t>
      </w:r>
    </w:p>
    <w:p w:rsidR="00D11794" w:rsidRPr="008B70BD" w:rsidRDefault="00D11794" w:rsidP="00D11794">
      <w:pPr>
        <w:ind w:left="1134" w:right="1134"/>
        <w:rPr>
          <w:rFonts w:cs="Arial"/>
          <w:i/>
          <w:sz w:val="22"/>
          <w:szCs w:val="22"/>
        </w:rPr>
      </w:pPr>
      <w:r w:rsidRPr="008B70BD">
        <w:rPr>
          <w:rFonts w:cs="Arial"/>
          <w:i/>
          <w:sz w:val="22"/>
          <w:szCs w:val="22"/>
        </w:rPr>
        <w:t>A cada cliente corresponderá uma ou mais unidades consumidoras, no mesmo local ou em locais diversos.</w:t>
      </w:r>
    </w:p>
    <w:p w:rsidR="00D11794" w:rsidRPr="008B70BD" w:rsidRDefault="00D11794" w:rsidP="00D11794">
      <w:pPr>
        <w:ind w:left="1134" w:right="1134"/>
        <w:rPr>
          <w:rFonts w:cs="Arial"/>
          <w:i/>
          <w:sz w:val="22"/>
          <w:szCs w:val="22"/>
        </w:rPr>
      </w:pPr>
      <w:r w:rsidRPr="008B70BD">
        <w:rPr>
          <w:rFonts w:cs="Arial"/>
          <w:i/>
          <w:sz w:val="22"/>
          <w:szCs w:val="22"/>
        </w:rPr>
        <w:t xml:space="preserve">O atendimento a mais de uma unidade consumidora, de um mesmo cliente, no mesmo local, </w:t>
      </w:r>
      <w:r w:rsidRPr="007B0C29">
        <w:rPr>
          <w:rFonts w:cs="Arial"/>
          <w:b/>
          <w:i/>
          <w:sz w:val="22"/>
          <w:szCs w:val="22"/>
        </w:rPr>
        <w:t>condicionar-se-á à observância de requisitos técnicos e de segurança previstos nas normas, resoluções ANEEL e/ou padrões da AES Eletropaulo</w:t>
      </w:r>
      <w:r w:rsidRPr="008B70BD">
        <w:rPr>
          <w:rFonts w:cs="Arial"/>
          <w:i/>
          <w:sz w:val="22"/>
          <w:szCs w:val="22"/>
        </w:rPr>
        <w:t>.</w:t>
      </w:r>
    </w:p>
    <w:p w:rsidR="00D11794" w:rsidRPr="008B70BD" w:rsidRDefault="00D11794" w:rsidP="00D11794">
      <w:pPr>
        <w:ind w:left="1134" w:right="1134"/>
        <w:rPr>
          <w:rFonts w:cs="Arial"/>
          <w:i/>
          <w:sz w:val="22"/>
          <w:szCs w:val="22"/>
        </w:rPr>
      </w:pPr>
      <w:r w:rsidRPr="008B70BD">
        <w:rPr>
          <w:rFonts w:cs="Arial"/>
          <w:i/>
          <w:sz w:val="22"/>
          <w:szCs w:val="22"/>
        </w:rPr>
        <w:t xml:space="preserve">Poderá ser efetuado fornecimento a mais de uma unidade consumidora do Grupo A por meio de </w:t>
      </w:r>
      <w:r w:rsidRPr="007B0C29">
        <w:rPr>
          <w:rFonts w:cs="Arial"/>
          <w:b/>
          <w:i/>
          <w:sz w:val="22"/>
          <w:szCs w:val="22"/>
        </w:rPr>
        <w:t>estação transformadora compartilhada</w:t>
      </w:r>
      <w:r w:rsidRPr="008B70BD">
        <w:rPr>
          <w:rFonts w:cs="Arial"/>
          <w:i/>
          <w:sz w:val="22"/>
          <w:szCs w:val="22"/>
        </w:rPr>
        <w:t xml:space="preserve">, desde que pactuados e atendidos os requisitos técnicos da AES Eletropaulo e dos clientes, e </w:t>
      </w:r>
      <w:r w:rsidRPr="007B0C29">
        <w:rPr>
          <w:rFonts w:cs="Arial"/>
          <w:b/>
          <w:i/>
          <w:sz w:val="22"/>
          <w:szCs w:val="22"/>
          <w:u w:val="single"/>
        </w:rPr>
        <w:t>observadas as seguintes condições</w:t>
      </w:r>
      <w:r w:rsidRPr="008B70BD">
        <w:rPr>
          <w:rFonts w:cs="Arial"/>
          <w:i/>
          <w:sz w:val="22"/>
          <w:szCs w:val="22"/>
        </w:rPr>
        <w:t>:</w:t>
      </w:r>
    </w:p>
    <w:p w:rsidR="00D11794" w:rsidRPr="008B70BD" w:rsidRDefault="00D11794" w:rsidP="00D11794">
      <w:pPr>
        <w:ind w:left="1134" w:right="1134"/>
        <w:rPr>
          <w:rFonts w:cs="Arial"/>
          <w:i/>
          <w:sz w:val="22"/>
          <w:szCs w:val="22"/>
        </w:rPr>
      </w:pPr>
      <w:r w:rsidRPr="008B70BD">
        <w:rPr>
          <w:rFonts w:cs="Arial"/>
          <w:i/>
          <w:sz w:val="22"/>
          <w:szCs w:val="22"/>
        </w:rPr>
        <w:t xml:space="preserve">a. Somente poderá compartilhar estação transformadora, nos termos acima citados, </w:t>
      </w:r>
      <w:r w:rsidRPr="007B0C29">
        <w:rPr>
          <w:rFonts w:cs="Arial"/>
          <w:b/>
          <w:i/>
          <w:sz w:val="22"/>
          <w:szCs w:val="22"/>
        </w:rPr>
        <w:t>uma unidade consumidora do Grupo A localizada em mesma propriedade e/ou cujas propriedades sejam contíguas</w:t>
      </w:r>
      <w:r w:rsidRPr="008B70BD">
        <w:rPr>
          <w:rFonts w:cs="Arial"/>
          <w:i/>
          <w:sz w:val="22"/>
          <w:szCs w:val="22"/>
        </w:rPr>
        <w:t>, sendo vedada a utilização de propriedade de terceiros, não envolvidos no referido compartilhamento, para ligação de unidade consumidora que participe do mesmo.</w:t>
      </w:r>
    </w:p>
    <w:p w:rsidR="00D11794" w:rsidRPr="008B70BD" w:rsidRDefault="00D11794" w:rsidP="00D11794">
      <w:pPr>
        <w:ind w:left="1134" w:right="1134"/>
        <w:rPr>
          <w:rFonts w:cs="Arial"/>
          <w:i/>
          <w:sz w:val="22"/>
          <w:szCs w:val="22"/>
        </w:rPr>
      </w:pPr>
      <w:r w:rsidRPr="008B70BD">
        <w:rPr>
          <w:rFonts w:cs="Arial"/>
          <w:i/>
          <w:sz w:val="22"/>
          <w:szCs w:val="22"/>
        </w:rPr>
        <w:t>b. Não será permitida a adesão de outras unidades consumidoras, além daquelas inicialmente pactuadas, salvo mediante acordo entre os clientes participantes do compartilhamento e a AES Eletropaulo.</w:t>
      </w:r>
    </w:p>
    <w:p w:rsidR="00D11794" w:rsidRPr="008B70BD" w:rsidRDefault="00D11794" w:rsidP="00D11794">
      <w:pPr>
        <w:ind w:left="1134" w:right="1134"/>
        <w:rPr>
          <w:rFonts w:eastAsia="Calibri" w:cs="Arial"/>
          <w:i/>
          <w:sz w:val="22"/>
          <w:szCs w:val="22"/>
        </w:rPr>
      </w:pPr>
      <w:r w:rsidRPr="008B70BD">
        <w:rPr>
          <w:rFonts w:cs="Arial"/>
          <w:i/>
          <w:sz w:val="22"/>
          <w:szCs w:val="22"/>
        </w:rPr>
        <w:t xml:space="preserve">O compartilhamento, a que se referem os itens acima, poderá ser realizado entre a AES Eletropaulo e o cliente </w:t>
      </w:r>
      <w:r>
        <w:rPr>
          <w:rFonts w:cs="Arial"/>
          <w:i/>
          <w:sz w:val="22"/>
          <w:szCs w:val="22"/>
        </w:rPr>
        <w:t>mediante acordo entre as partes”</w:t>
      </w:r>
      <w:r>
        <w:rPr>
          <w:rFonts w:cs="Arial"/>
          <w:sz w:val="22"/>
          <w:szCs w:val="22"/>
        </w:rPr>
        <w:t xml:space="preserve"> (grifou-se).</w:t>
      </w:r>
    </w:p>
    <w:p w:rsidR="00D11794" w:rsidRDefault="00D11794" w:rsidP="00D11794">
      <w:pPr>
        <w:pStyle w:val="Default"/>
        <w:spacing w:line="360" w:lineRule="exact"/>
        <w:jc w:val="both"/>
        <w:rPr>
          <w:color w:val="auto"/>
        </w:rPr>
      </w:pPr>
    </w:p>
    <w:p w:rsidR="00D11794" w:rsidRDefault="00D11794" w:rsidP="00D11794">
      <w:pPr>
        <w:pStyle w:val="Default"/>
        <w:spacing w:line="360" w:lineRule="exact"/>
        <w:jc w:val="both"/>
        <w:rPr>
          <w:color w:val="auto"/>
        </w:rPr>
      </w:pPr>
      <w:r>
        <w:rPr>
          <w:color w:val="auto"/>
        </w:rPr>
        <w:t>Assim, basicamente, para o compartilhamento de subestações, é obrigatório: (i) que haja viabilidade técnica e de segurança, caso a caso; e (ii) que as unidades compartilhadoras estejam no mesmo imóvel ou em imóveis contíguos, vedando-se a utilização de vias públicas ou propriedades de terceiros (ainda que apenas por passagem aérea ou subterrânea).</w:t>
      </w:r>
    </w:p>
    <w:p w:rsidR="00D11794" w:rsidRDefault="00D11794" w:rsidP="00D11794">
      <w:pPr>
        <w:pStyle w:val="Default"/>
        <w:spacing w:line="360" w:lineRule="exact"/>
        <w:jc w:val="both"/>
        <w:rPr>
          <w:color w:val="auto"/>
        </w:rPr>
      </w:pPr>
    </w:p>
    <w:p w:rsidR="005D71DE" w:rsidRDefault="005D71DE">
      <w:pPr>
        <w:tabs>
          <w:tab w:val="clear" w:pos="851"/>
          <w:tab w:val="clear" w:pos="1701"/>
          <w:tab w:val="clear" w:pos="2552"/>
          <w:tab w:val="clear" w:pos="3402"/>
          <w:tab w:val="clear" w:pos="4253"/>
          <w:tab w:val="clear" w:pos="5103"/>
          <w:tab w:val="clear" w:pos="5954"/>
          <w:tab w:val="clear" w:pos="6804"/>
          <w:tab w:val="clear" w:pos="7655"/>
          <w:tab w:val="clear" w:pos="8505"/>
        </w:tabs>
        <w:jc w:val="left"/>
        <w:rPr>
          <w:rFonts w:cs="Arial"/>
          <w:szCs w:val="24"/>
        </w:rPr>
      </w:pPr>
      <w:r>
        <w:br w:type="page"/>
      </w:r>
    </w:p>
    <w:p w:rsidR="00D11794" w:rsidRDefault="00D11794" w:rsidP="00D11794">
      <w:pPr>
        <w:pStyle w:val="Default"/>
        <w:spacing w:line="360" w:lineRule="exact"/>
        <w:jc w:val="both"/>
        <w:rPr>
          <w:color w:val="auto"/>
        </w:rPr>
      </w:pPr>
    </w:p>
    <w:p w:rsidR="00D11794" w:rsidRPr="004310A8" w:rsidRDefault="00D11794" w:rsidP="00D11794">
      <w:pPr>
        <w:pStyle w:val="Default"/>
        <w:spacing w:line="360" w:lineRule="exact"/>
        <w:jc w:val="both"/>
        <w:rPr>
          <w:b/>
          <w:smallCaps/>
          <w:color w:val="auto"/>
          <w:u w:val="single"/>
        </w:rPr>
      </w:pPr>
      <w:r w:rsidRPr="004310A8">
        <w:rPr>
          <w:b/>
          <w:smallCaps/>
          <w:color w:val="auto"/>
        </w:rPr>
        <w:t xml:space="preserve">II – </w:t>
      </w:r>
      <w:r w:rsidRPr="004310A8">
        <w:rPr>
          <w:b/>
          <w:smallCaps/>
          <w:color w:val="auto"/>
          <w:u w:val="single"/>
        </w:rPr>
        <w:t>Estratégias Jurídicas</w:t>
      </w:r>
    </w:p>
    <w:p w:rsidR="00D11794" w:rsidRDefault="00D11794" w:rsidP="00D11794">
      <w:pPr>
        <w:spacing w:line="360" w:lineRule="exact"/>
        <w:rPr>
          <w:rFonts w:eastAsia="Calibri" w:cs="Arial"/>
        </w:rPr>
      </w:pPr>
    </w:p>
    <w:p w:rsidR="00D11794" w:rsidRDefault="00D11794" w:rsidP="00D11794">
      <w:pPr>
        <w:spacing w:line="360" w:lineRule="exact"/>
        <w:rPr>
          <w:rFonts w:eastAsia="Calibri" w:cs="Arial"/>
        </w:rPr>
      </w:pPr>
      <w:r>
        <w:rPr>
          <w:rFonts w:eastAsia="Calibri" w:cs="Arial"/>
        </w:rPr>
        <w:t xml:space="preserve">Traçado o panorama regulatório da matéria aqui investigada, percebe-se que, aparentemente, </w:t>
      </w:r>
      <w:r w:rsidRPr="00FF1037">
        <w:rPr>
          <w:rFonts w:eastAsia="Calibri" w:cs="Arial"/>
          <w:u w:val="double"/>
        </w:rPr>
        <w:t xml:space="preserve">a conduta atual da </w:t>
      </w:r>
      <w:r w:rsidRPr="00FF1037">
        <w:rPr>
          <w:rFonts w:eastAsia="Calibri" w:cs="Arial"/>
          <w:smallCaps/>
          <w:u w:val="double"/>
        </w:rPr>
        <w:t xml:space="preserve">Eletropaulo </w:t>
      </w:r>
      <w:r w:rsidRPr="00FF1037">
        <w:rPr>
          <w:rFonts w:eastAsia="Calibri" w:cs="Arial"/>
          <w:u w:val="double"/>
        </w:rPr>
        <w:t>possui respaldo normativo expresso</w:t>
      </w:r>
      <w:r>
        <w:rPr>
          <w:rFonts w:eastAsia="Calibri" w:cs="Arial"/>
        </w:rPr>
        <w:t>:</w:t>
      </w:r>
    </w:p>
    <w:p w:rsidR="00D11794" w:rsidRDefault="00D11794" w:rsidP="00D11794">
      <w:pPr>
        <w:spacing w:line="360" w:lineRule="exact"/>
        <w:rPr>
          <w:rFonts w:eastAsia="Calibri" w:cs="Arial"/>
        </w:rPr>
      </w:pPr>
    </w:p>
    <w:p w:rsidR="00D11794" w:rsidRDefault="00D11794" w:rsidP="00D11794">
      <w:pPr>
        <w:pStyle w:val="PargrafodaLista"/>
        <w:numPr>
          <w:ilvl w:val="0"/>
          <w:numId w:val="4"/>
        </w:numPr>
        <w:spacing w:line="360" w:lineRule="exact"/>
        <w:rPr>
          <w:rFonts w:eastAsia="Calibri" w:cs="Arial"/>
        </w:rPr>
      </w:pPr>
      <w:proofErr w:type="gramStart"/>
      <w:r>
        <w:rPr>
          <w:rFonts w:eastAsia="Calibri" w:cs="Arial"/>
        </w:rPr>
        <w:t>para</w:t>
      </w:r>
      <w:proofErr w:type="gramEnd"/>
      <w:r>
        <w:rPr>
          <w:rFonts w:eastAsia="Calibri" w:cs="Arial"/>
        </w:rPr>
        <w:t xml:space="preserve"> empreendimentos que pretendam utilizar montante de energia superior a 2.500 kW, as normas dispõem que o fornecimento, de fato – e como regra –, deverá ocorrer em alta tensão;</w:t>
      </w:r>
    </w:p>
    <w:p w:rsidR="00D11794" w:rsidRPr="00B25483" w:rsidRDefault="00D11794" w:rsidP="00D11794">
      <w:pPr>
        <w:spacing w:line="360" w:lineRule="exact"/>
        <w:rPr>
          <w:rFonts w:eastAsia="Calibri" w:cs="Arial"/>
        </w:rPr>
      </w:pPr>
    </w:p>
    <w:p w:rsidR="00D11794" w:rsidRDefault="00D11794" w:rsidP="00D11794">
      <w:pPr>
        <w:pStyle w:val="PargrafodaLista"/>
        <w:numPr>
          <w:ilvl w:val="0"/>
          <w:numId w:val="4"/>
        </w:numPr>
        <w:spacing w:line="360" w:lineRule="exact"/>
        <w:rPr>
          <w:rFonts w:eastAsia="Calibri" w:cs="Arial"/>
        </w:rPr>
      </w:pPr>
      <w:proofErr w:type="gramStart"/>
      <w:r>
        <w:rPr>
          <w:rFonts w:eastAsia="Calibri" w:cs="Arial"/>
        </w:rPr>
        <w:t>a</w:t>
      </w:r>
      <w:proofErr w:type="gramEnd"/>
      <w:r>
        <w:rPr>
          <w:rFonts w:eastAsia="Calibri" w:cs="Arial"/>
        </w:rPr>
        <w:t xml:space="preserve"> possibilidade de atendimento em tensão diferente depende de viabilidade técnica e capacidade do subsistema elétrico da região;</w:t>
      </w:r>
    </w:p>
    <w:p w:rsidR="00D11794" w:rsidRPr="003C7B66" w:rsidRDefault="00D11794" w:rsidP="00D11794">
      <w:pPr>
        <w:spacing w:line="360" w:lineRule="exact"/>
        <w:rPr>
          <w:rFonts w:eastAsia="Calibri" w:cs="Arial"/>
        </w:rPr>
      </w:pPr>
    </w:p>
    <w:p w:rsidR="00D11794" w:rsidRDefault="00D11794" w:rsidP="00D11794">
      <w:pPr>
        <w:pStyle w:val="PargrafodaLista"/>
        <w:numPr>
          <w:ilvl w:val="0"/>
          <w:numId w:val="4"/>
        </w:numPr>
        <w:spacing w:line="360" w:lineRule="exact"/>
        <w:rPr>
          <w:rFonts w:eastAsia="Calibri" w:cs="Arial"/>
        </w:rPr>
      </w:pPr>
      <w:proofErr w:type="gramStart"/>
      <w:r>
        <w:rPr>
          <w:rFonts w:eastAsia="Calibri" w:cs="Arial"/>
        </w:rPr>
        <w:t>incumbe</w:t>
      </w:r>
      <w:proofErr w:type="gramEnd"/>
      <w:r>
        <w:rPr>
          <w:rFonts w:eastAsia="Calibri" w:cs="Arial"/>
        </w:rPr>
        <w:t xml:space="preserve"> à unidade consumidora prover a infraestrutura necessária ao abaixamento da tensão (subestação transformadora); e</w:t>
      </w:r>
    </w:p>
    <w:p w:rsidR="00D11794" w:rsidRPr="003C70EB" w:rsidRDefault="00D11794" w:rsidP="00D11794">
      <w:pPr>
        <w:spacing w:line="360" w:lineRule="exact"/>
        <w:rPr>
          <w:rFonts w:eastAsia="Calibri" w:cs="Arial"/>
        </w:rPr>
      </w:pPr>
    </w:p>
    <w:p w:rsidR="00D11794" w:rsidRPr="00701C40" w:rsidRDefault="00D11794" w:rsidP="00D11794">
      <w:pPr>
        <w:pStyle w:val="PargrafodaLista"/>
        <w:numPr>
          <w:ilvl w:val="0"/>
          <w:numId w:val="4"/>
        </w:numPr>
        <w:spacing w:line="360" w:lineRule="exact"/>
        <w:rPr>
          <w:rFonts w:eastAsia="Calibri" w:cs="Arial"/>
        </w:rPr>
      </w:pPr>
      <w:proofErr w:type="gramStart"/>
      <w:r>
        <w:rPr>
          <w:rFonts w:eastAsia="Calibri" w:cs="Arial"/>
        </w:rPr>
        <w:t>são</w:t>
      </w:r>
      <w:proofErr w:type="gramEnd"/>
      <w:r>
        <w:rPr>
          <w:rFonts w:eastAsia="Calibri" w:cs="Arial"/>
        </w:rPr>
        <w:t xml:space="preserve"> extremamente restritas as hipóteses de compartilhamento de subestações.</w:t>
      </w:r>
    </w:p>
    <w:p w:rsidR="00D11794" w:rsidRDefault="00D11794" w:rsidP="00D11794">
      <w:pPr>
        <w:spacing w:line="360" w:lineRule="exact"/>
        <w:rPr>
          <w:rFonts w:eastAsia="Calibri" w:cs="Arial"/>
        </w:rPr>
      </w:pPr>
    </w:p>
    <w:p w:rsidR="00D11794" w:rsidRDefault="00D11794" w:rsidP="00D11794">
      <w:pPr>
        <w:spacing w:line="360" w:lineRule="exact"/>
        <w:rPr>
          <w:rFonts w:eastAsia="Calibri" w:cs="Arial"/>
        </w:rPr>
      </w:pPr>
      <w:r>
        <w:rPr>
          <w:rFonts w:eastAsia="Calibri" w:cs="Arial"/>
        </w:rPr>
        <w:t xml:space="preserve">Diante desse contexto das normas de regência aplicáveis à hipótese, passamos a examinar algumas possibilidades </w:t>
      </w:r>
      <w:r w:rsidR="0065638C">
        <w:rPr>
          <w:rFonts w:eastAsia="Calibri" w:cs="Arial"/>
        </w:rPr>
        <w:t xml:space="preserve">para que a ABRAINC e suas associadas </w:t>
      </w:r>
      <w:r w:rsidR="00E222BC">
        <w:rPr>
          <w:rFonts w:eastAsia="Calibri" w:cs="Arial"/>
        </w:rPr>
        <w:t xml:space="preserve">obtenham medida que se sobreponha à forma de fornecimento da </w:t>
      </w:r>
      <w:r w:rsidR="00E222BC">
        <w:rPr>
          <w:rFonts w:eastAsia="Calibri" w:cs="Arial"/>
          <w:smallCaps/>
        </w:rPr>
        <w:t>Eletropaulo</w:t>
      </w:r>
      <w:r w:rsidR="00E222BC">
        <w:rPr>
          <w:rFonts w:eastAsia="Calibri" w:cs="Arial"/>
        </w:rPr>
        <w:t>, objeto deste estudo.</w:t>
      </w:r>
    </w:p>
    <w:p w:rsidR="00D11794" w:rsidRDefault="00D11794" w:rsidP="00D11794">
      <w:pPr>
        <w:spacing w:line="360" w:lineRule="exact"/>
        <w:rPr>
          <w:rFonts w:eastAsia="Calibri" w:cs="Arial"/>
        </w:rPr>
      </w:pPr>
    </w:p>
    <w:p w:rsidR="00E222BC" w:rsidRDefault="00E222BC" w:rsidP="00D11794">
      <w:pPr>
        <w:spacing w:line="360" w:lineRule="exact"/>
        <w:rPr>
          <w:rFonts w:eastAsia="Calibri" w:cs="Arial"/>
        </w:rPr>
      </w:pPr>
    </w:p>
    <w:p w:rsidR="00E60F30" w:rsidRPr="00D274C3" w:rsidRDefault="00E60F30" w:rsidP="00E60F30">
      <w:pPr>
        <w:pStyle w:val="Default"/>
        <w:spacing w:line="360" w:lineRule="exact"/>
        <w:jc w:val="both"/>
        <w:rPr>
          <w:b/>
          <w:color w:val="auto"/>
        </w:rPr>
      </w:pPr>
      <w:r>
        <w:rPr>
          <w:b/>
          <w:color w:val="auto"/>
        </w:rPr>
        <w:t xml:space="preserve">II.1. </w:t>
      </w:r>
      <w:r w:rsidR="00340771">
        <w:rPr>
          <w:b/>
          <w:color w:val="auto"/>
        </w:rPr>
        <w:t>Múltiplas unidades comerciais</w:t>
      </w:r>
    </w:p>
    <w:p w:rsidR="00E222BC" w:rsidRDefault="00E222BC" w:rsidP="00D11794">
      <w:pPr>
        <w:spacing w:line="360" w:lineRule="exact"/>
        <w:rPr>
          <w:rFonts w:eastAsia="Calibri" w:cs="Arial"/>
        </w:rPr>
      </w:pPr>
    </w:p>
    <w:p w:rsidR="00022CED" w:rsidRDefault="00022CED" w:rsidP="00D11794">
      <w:pPr>
        <w:spacing w:line="360" w:lineRule="exact"/>
        <w:rPr>
          <w:rFonts w:eastAsia="Calibri" w:cs="Arial"/>
        </w:rPr>
      </w:pPr>
      <w:r>
        <w:rPr>
          <w:rFonts w:eastAsia="Calibri" w:cs="Arial"/>
        </w:rPr>
        <w:t>Em primeiro lugar, retomando o quanto examinado no item “I.</w:t>
      </w:r>
      <w:proofErr w:type="gramStart"/>
      <w:r>
        <w:rPr>
          <w:rFonts w:eastAsia="Calibri" w:cs="Arial"/>
        </w:rPr>
        <w:t>3.”</w:t>
      </w:r>
      <w:proofErr w:type="gramEnd"/>
      <w:r>
        <w:rPr>
          <w:rFonts w:eastAsia="Calibri" w:cs="Arial"/>
        </w:rPr>
        <w:t xml:space="preserve">, supra, </w:t>
      </w:r>
      <w:r w:rsidR="00DD42AE">
        <w:rPr>
          <w:rFonts w:eastAsia="Calibri" w:cs="Arial"/>
        </w:rPr>
        <w:t xml:space="preserve">é importante examinar a possibilidade de que </w:t>
      </w:r>
      <w:r w:rsidR="00114955">
        <w:rPr>
          <w:rFonts w:eastAsia="Calibri" w:cs="Arial"/>
        </w:rPr>
        <w:t>as múltiplas frações dos</w:t>
      </w:r>
      <w:r w:rsidR="00DD42AE">
        <w:rPr>
          <w:rFonts w:eastAsia="Calibri" w:cs="Arial"/>
        </w:rPr>
        <w:t xml:space="preserve"> empreendimentos comerciais </w:t>
      </w:r>
      <w:r w:rsidR="008728FA">
        <w:rPr>
          <w:rFonts w:eastAsia="Calibri" w:cs="Arial"/>
        </w:rPr>
        <w:t>sejam</w:t>
      </w:r>
      <w:r w:rsidR="00114955">
        <w:rPr>
          <w:rFonts w:eastAsia="Calibri" w:cs="Arial"/>
        </w:rPr>
        <w:t xml:space="preserve"> consideradas</w:t>
      </w:r>
      <w:r w:rsidR="008728FA">
        <w:rPr>
          <w:rFonts w:eastAsia="Calibri" w:cs="Arial"/>
        </w:rPr>
        <w:t xml:space="preserve"> como</w:t>
      </w:r>
      <w:r w:rsidR="00114955">
        <w:rPr>
          <w:rFonts w:eastAsia="Calibri" w:cs="Arial"/>
        </w:rPr>
        <w:t xml:space="preserve"> unidades consumidoras independentes.</w:t>
      </w:r>
    </w:p>
    <w:p w:rsidR="00E222BC" w:rsidRDefault="00E222BC" w:rsidP="00D11794">
      <w:pPr>
        <w:spacing w:line="360" w:lineRule="exact"/>
        <w:rPr>
          <w:rFonts w:eastAsia="Calibri" w:cs="Arial"/>
        </w:rPr>
      </w:pPr>
    </w:p>
    <w:p w:rsidR="00594460" w:rsidRDefault="00594460" w:rsidP="00D11794">
      <w:pPr>
        <w:spacing w:line="360" w:lineRule="exact"/>
        <w:rPr>
          <w:rFonts w:eastAsia="Calibri" w:cs="Arial"/>
        </w:rPr>
      </w:pPr>
      <w:r>
        <w:rPr>
          <w:rFonts w:eastAsia="Calibri" w:cs="Arial"/>
        </w:rPr>
        <w:t xml:space="preserve">Dessa maneira, pressupondo-se que cada unidade não utilizaria carga superior a 2.500 kW, </w:t>
      </w:r>
      <w:r w:rsidR="00CE7A28">
        <w:rPr>
          <w:rFonts w:eastAsia="Calibri" w:cs="Arial"/>
        </w:rPr>
        <w:t>os empreendedores poderiam pleitear o fornecimento em baixa ou média tensão.</w:t>
      </w:r>
    </w:p>
    <w:p w:rsidR="00CE7A28" w:rsidRDefault="00CE7A28" w:rsidP="00D11794">
      <w:pPr>
        <w:spacing w:line="360" w:lineRule="exact"/>
        <w:rPr>
          <w:rFonts w:eastAsia="Calibri" w:cs="Arial"/>
        </w:rPr>
      </w:pPr>
    </w:p>
    <w:p w:rsidR="001744CB" w:rsidRPr="001B1D71" w:rsidRDefault="00CE7A28" w:rsidP="001B1D71">
      <w:pPr>
        <w:spacing w:line="360" w:lineRule="exact"/>
        <w:rPr>
          <w:rFonts w:eastAsia="Calibri" w:cs="Arial"/>
          <w:szCs w:val="24"/>
        </w:rPr>
      </w:pPr>
      <w:r>
        <w:rPr>
          <w:rFonts w:eastAsia="Calibri" w:cs="Arial"/>
        </w:rPr>
        <w:lastRenderedPageBreak/>
        <w:t xml:space="preserve">Conforme </w:t>
      </w:r>
      <w:r w:rsidR="001744CB">
        <w:rPr>
          <w:rFonts w:eastAsia="Calibri" w:cs="Arial"/>
        </w:rPr>
        <w:t xml:space="preserve">já acima analisado, as normas regulatórias estabelecem </w:t>
      </w:r>
      <w:r w:rsidR="00AE5561">
        <w:rPr>
          <w:rFonts w:eastAsia="Calibri" w:cs="Arial"/>
        </w:rPr>
        <w:t xml:space="preserve">expressamente </w:t>
      </w:r>
      <w:r w:rsidR="001744CB">
        <w:rPr>
          <w:rFonts w:eastAsia="Calibri" w:cs="Arial"/>
        </w:rPr>
        <w:t>que</w:t>
      </w:r>
      <w:r w:rsidR="001B1D71">
        <w:rPr>
          <w:rFonts w:eastAsia="Calibri" w:cs="Arial"/>
        </w:rPr>
        <w:t>, e</w:t>
      </w:r>
      <w:r w:rsidR="001B1D71" w:rsidRPr="001B1D71">
        <w:rPr>
          <w:rFonts w:eastAsia="Calibri" w:cs="Arial"/>
          <w:szCs w:val="24"/>
        </w:rPr>
        <w:t>m</w:t>
      </w:r>
      <w:r w:rsidR="001744CB" w:rsidRPr="001B1D71">
        <w:rPr>
          <w:rFonts w:eastAsia="Calibri" w:cs="Arial"/>
          <w:szCs w:val="24"/>
        </w:rPr>
        <w:t xml:space="preserve"> </w:t>
      </w:r>
      <w:r w:rsidR="001B1D71">
        <w:rPr>
          <w:rFonts w:eastAsia="Calibri" w:cs="Arial"/>
          <w:i/>
          <w:szCs w:val="24"/>
        </w:rPr>
        <w:t>“</w:t>
      </w:r>
      <w:r w:rsidR="001B1D71" w:rsidRPr="001B1D71">
        <w:rPr>
          <w:i/>
          <w:szCs w:val="24"/>
        </w:rPr>
        <w:t xml:space="preserve">empreendimento com múltiplas unidades, cuja utilização da energia elétrica ocorra de forma independente, </w:t>
      </w:r>
      <w:r w:rsidR="001B1D71" w:rsidRPr="001B1D71">
        <w:rPr>
          <w:i/>
          <w:szCs w:val="24"/>
          <w:u w:val="single"/>
        </w:rPr>
        <w:t>cada fração caracterizada por uso individualizado constitui uma unidade consumidora</w:t>
      </w:r>
      <w:r w:rsidR="001B1D71">
        <w:rPr>
          <w:i/>
          <w:szCs w:val="24"/>
        </w:rPr>
        <w:t>”</w:t>
      </w:r>
      <w:r w:rsidR="001B1D71">
        <w:rPr>
          <w:szCs w:val="24"/>
        </w:rPr>
        <w:t xml:space="preserve"> (art. 17, </w:t>
      </w:r>
      <w:r w:rsidR="001B1D71">
        <w:rPr>
          <w:i/>
          <w:szCs w:val="24"/>
        </w:rPr>
        <w:t>caput</w:t>
      </w:r>
      <w:r w:rsidR="001B1D71">
        <w:rPr>
          <w:szCs w:val="24"/>
        </w:rPr>
        <w:t>, das “Condições Gerais de Fornecimento”).</w:t>
      </w:r>
    </w:p>
    <w:p w:rsidR="001744CB" w:rsidRDefault="001744CB" w:rsidP="001744CB">
      <w:pPr>
        <w:pStyle w:val="Default"/>
        <w:spacing w:line="360" w:lineRule="exact"/>
        <w:jc w:val="both"/>
        <w:rPr>
          <w:color w:val="auto"/>
        </w:rPr>
      </w:pPr>
    </w:p>
    <w:p w:rsidR="001744CB" w:rsidRPr="00D300EA" w:rsidRDefault="00E97776" w:rsidP="001744CB">
      <w:pPr>
        <w:pStyle w:val="Default"/>
        <w:spacing w:line="360" w:lineRule="exact"/>
        <w:jc w:val="both"/>
        <w:rPr>
          <w:color w:val="auto"/>
        </w:rPr>
      </w:pPr>
      <w:r>
        <w:rPr>
          <w:color w:val="auto"/>
        </w:rPr>
        <w:t xml:space="preserve">E, </w:t>
      </w:r>
      <w:r w:rsidR="005F3F44">
        <w:rPr>
          <w:color w:val="auto"/>
        </w:rPr>
        <w:t>ainda</w:t>
      </w:r>
      <w:r>
        <w:rPr>
          <w:color w:val="auto"/>
        </w:rPr>
        <w:t xml:space="preserve"> como visto</w:t>
      </w:r>
      <w:r w:rsidR="00D46707">
        <w:rPr>
          <w:color w:val="auto"/>
        </w:rPr>
        <w:t xml:space="preserve">, a regra incide expressamente também sobre </w:t>
      </w:r>
      <w:r w:rsidR="004C7331">
        <w:rPr>
          <w:color w:val="auto"/>
        </w:rPr>
        <w:t xml:space="preserve">empreendimentos comerciais (art. 18 das “Condições Gerais de Fornecimento”), sendo verdadeira </w:t>
      </w:r>
      <w:r w:rsidR="001744CB" w:rsidRPr="00194BC5">
        <w:rPr>
          <w:b/>
          <w:color w:val="auto"/>
          <w:u w:val="single"/>
        </w:rPr>
        <w:t>exceção</w:t>
      </w:r>
      <w:r w:rsidR="004C7331">
        <w:rPr>
          <w:color w:val="auto"/>
        </w:rPr>
        <w:t xml:space="preserve"> </w:t>
      </w:r>
      <w:r w:rsidR="00F418A8">
        <w:rPr>
          <w:color w:val="auto"/>
        </w:rPr>
        <w:t xml:space="preserve">a sua qualificação como uma única unidade consumidora, a depender ainda de </w:t>
      </w:r>
      <w:r w:rsidR="001744CB">
        <w:rPr>
          <w:color w:val="auto"/>
        </w:rPr>
        <w:t>que: (i) o particular opte formalmente por esse regime; (ii) uma única pessoa (física ou jurídica) seja a proprietária de todos os compartimentos do imóvel; e (iii) que esse proprietário único seja o responsável pelos serviços comuns do empreendimento, com rateio da fatura de energia entre os seus integrantes, sem acréscimo</w:t>
      </w:r>
      <w:r w:rsidR="00F418A8">
        <w:rPr>
          <w:color w:val="auto"/>
        </w:rPr>
        <w:t>s</w:t>
      </w:r>
      <w:r w:rsidR="001744CB">
        <w:rPr>
          <w:color w:val="auto"/>
        </w:rPr>
        <w:t>.</w:t>
      </w:r>
    </w:p>
    <w:p w:rsidR="001744CB" w:rsidRDefault="001744CB" w:rsidP="001744CB">
      <w:pPr>
        <w:pStyle w:val="Default"/>
        <w:spacing w:line="360" w:lineRule="exact"/>
        <w:jc w:val="both"/>
        <w:rPr>
          <w:color w:val="auto"/>
        </w:rPr>
      </w:pPr>
    </w:p>
    <w:p w:rsidR="00720A3C" w:rsidRPr="00720A3C" w:rsidRDefault="00720A3C" w:rsidP="001744CB">
      <w:pPr>
        <w:pStyle w:val="Default"/>
        <w:spacing w:line="360" w:lineRule="exact"/>
        <w:jc w:val="both"/>
        <w:rPr>
          <w:color w:val="auto"/>
        </w:rPr>
      </w:pPr>
      <w:r>
        <w:rPr>
          <w:color w:val="auto"/>
        </w:rPr>
        <w:t xml:space="preserve">A própria </w:t>
      </w:r>
      <w:r>
        <w:rPr>
          <w:smallCaps/>
          <w:color w:val="auto"/>
        </w:rPr>
        <w:t xml:space="preserve">Agência Nacional de Energia Elétrica – ANEEL </w:t>
      </w:r>
      <w:r>
        <w:rPr>
          <w:color w:val="auto"/>
        </w:rPr>
        <w:t xml:space="preserve">possui </w:t>
      </w:r>
      <w:r w:rsidR="00346120">
        <w:rPr>
          <w:color w:val="auto"/>
        </w:rPr>
        <w:t xml:space="preserve">jurisprudência firme na </w:t>
      </w:r>
      <w:r w:rsidR="00346120" w:rsidRPr="004F4855">
        <w:rPr>
          <w:color w:val="auto"/>
          <w:u w:val="double"/>
        </w:rPr>
        <w:t>impossibilidade de considerar, automaticamente, que um empreendimento comercial dotado de di</w:t>
      </w:r>
      <w:r w:rsidR="004F4855" w:rsidRPr="004F4855">
        <w:rPr>
          <w:color w:val="auto"/>
          <w:u w:val="double"/>
        </w:rPr>
        <w:t>versas frações constitua</w:t>
      </w:r>
      <w:r w:rsidR="00346120" w:rsidRPr="004F4855">
        <w:rPr>
          <w:color w:val="auto"/>
          <w:u w:val="double"/>
        </w:rPr>
        <w:t xml:space="preserve"> uma única unidade consumidora</w:t>
      </w:r>
      <w:r w:rsidR="00346120">
        <w:rPr>
          <w:color w:val="auto"/>
        </w:rPr>
        <w:t>:</w:t>
      </w:r>
    </w:p>
    <w:p w:rsidR="00720A3C" w:rsidRDefault="00720A3C" w:rsidP="001744CB">
      <w:pPr>
        <w:pStyle w:val="Default"/>
        <w:spacing w:line="360" w:lineRule="exact"/>
        <w:jc w:val="both"/>
        <w:rPr>
          <w:color w:val="auto"/>
        </w:rPr>
      </w:pPr>
    </w:p>
    <w:p w:rsidR="00F76727" w:rsidRDefault="00346120" w:rsidP="00346120">
      <w:pPr>
        <w:ind w:left="1134" w:right="1134"/>
        <w:rPr>
          <w:rFonts w:cs="Arial"/>
          <w:i/>
          <w:sz w:val="22"/>
          <w:szCs w:val="22"/>
        </w:rPr>
      </w:pPr>
      <w:r w:rsidRPr="00346120">
        <w:rPr>
          <w:rFonts w:cs="Arial"/>
          <w:sz w:val="22"/>
          <w:szCs w:val="22"/>
        </w:rPr>
        <w:t>“</w:t>
      </w:r>
      <w:r w:rsidRPr="00346120">
        <w:rPr>
          <w:rFonts w:cs="Arial"/>
          <w:i/>
          <w:sz w:val="22"/>
          <w:szCs w:val="22"/>
        </w:rPr>
        <w:t>O ofício recorrido ratificou a posição manifestada no Parecer Técnico no 010/2003- SRC/ANEEL, com base no entendimento de que no caso em análise aplica-se o art. 13 da Resolução 456/2000, q</w:t>
      </w:r>
      <w:r w:rsidR="00F76727">
        <w:rPr>
          <w:rFonts w:cs="Arial"/>
          <w:i/>
          <w:sz w:val="22"/>
          <w:szCs w:val="22"/>
        </w:rPr>
        <w:t>ue será comentado mais adiante.</w:t>
      </w:r>
    </w:p>
    <w:p w:rsidR="00346120" w:rsidRPr="00346120" w:rsidRDefault="00346120" w:rsidP="00346120">
      <w:pPr>
        <w:ind w:left="1134" w:right="1134"/>
        <w:rPr>
          <w:rFonts w:cs="Arial"/>
          <w:sz w:val="22"/>
          <w:szCs w:val="22"/>
        </w:rPr>
      </w:pPr>
      <w:r w:rsidRPr="00346120">
        <w:rPr>
          <w:rFonts w:cs="Arial"/>
          <w:i/>
          <w:sz w:val="22"/>
          <w:szCs w:val="22"/>
        </w:rPr>
        <w:t>3. O entendimento da SRC é de que</w:t>
      </w:r>
      <w:r w:rsidR="00F76727">
        <w:rPr>
          <w:rFonts w:cs="Arial"/>
          <w:i/>
          <w:sz w:val="22"/>
          <w:szCs w:val="22"/>
        </w:rPr>
        <w:t>,</w:t>
      </w:r>
      <w:r w:rsidRPr="00346120">
        <w:rPr>
          <w:rFonts w:cs="Arial"/>
          <w:i/>
          <w:sz w:val="22"/>
          <w:szCs w:val="22"/>
        </w:rPr>
        <w:t xml:space="preserve"> </w:t>
      </w:r>
      <w:r w:rsidR="00F76727">
        <w:rPr>
          <w:rFonts w:cs="Arial"/>
          <w:i/>
          <w:sz w:val="22"/>
          <w:szCs w:val="22"/>
        </w:rPr>
        <w:t>‘</w:t>
      </w:r>
      <w:r w:rsidRPr="00346120">
        <w:rPr>
          <w:rFonts w:cs="Arial"/>
          <w:b/>
          <w:i/>
          <w:sz w:val="22"/>
          <w:szCs w:val="22"/>
          <w:u w:val="single"/>
        </w:rPr>
        <w:t>para o empreendimento ser considerado como única unidade consumidora haveria a necessidade de que a propriedade de todas as unidades habitacionais fosse de uma só pessoa física ou jurídica</w:t>
      </w:r>
      <w:r w:rsidRPr="00346120">
        <w:rPr>
          <w:rFonts w:cs="Arial"/>
          <w:i/>
          <w:sz w:val="22"/>
          <w:szCs w:val="22"/>
        </w:rPr>
        <w:t>, conforme inciso I, art. 14 das Condições Gerais de Fornecimento de Energia Elétrica</w:t>
      </w:r>
      <w:r w:rsidR="003D58B0" w:rsidRPr="00B23D96">
        <w:rPr>
          <w:rStyle w:val="Refdenotaderodap"/>
          <w:rFonts w:cs="Arial"/>
          <w:sz w:val="22"/>
          <w:szCs w:val="22"/>
        </w:rPr>
        <w:footnoteReference w:id="9"/>
      </w:r>
      <w:r w:rsidRPr="00346120">
        <w:rPr>
          <w:rFonts w:cs="Arial"/>
          <w:i/>
          <w:sz w:val="22"/>
          <w:szCs w:val="22"/>
        </w:rPr>
        <w:t>, situação distinta do caso em análise.</w:t>
      </w:r>
      <w:r w:rsidRPr="00346120">
        <w:rPr>
          <w:rFonts w:cs="Arial"/>
          <w:sz w:val="22"/>
          <w:szCs w:val="22"/>
        </w:rPr>
        <w:t xml:space="preserve"> (...)</w:t>
      </w:r>
    </w:p>
    <w:p w:rsidR="00346120" w:rsidRPr="00F76727" w:rsidRDefault="00346120" w:rsidP="00346120">
      <w:pPr>
        <w:pStyle w:val="Default"/>
        <w:ind w:left="1134" w:right="1134"/>
        <w:jc w:val="both"/>
        <w:rPr>
          <w:color w:val="auto"/>
          <w:sz w:val="22"/>
          <w:szCs w:val="22"/>
        </w:rPr>
      </w:pPr>
      <w:r w:rsidRPr="00346120">
        <w:rPr>
          <w:i/>
          <w:sz w:val="22"/>
          <w:szCs w:val="22"/>
        </w:rPr>
        <w:t xml:space="preserve">13. Entendo que estão corretas a posição da SRC e a opinião da PF/ANEEL, no sentido de </w:t>
      </w:r>
      <w:r w:rsidRPr="00F76727">
        <w:rPr>
          <w:b/>
          <w:i/>
          <w:sz w:val="22"/>
          <w:szCs w:val="22"/>
          <w:u w:val="single"/>
        </w:rPr>
        <w:t>indeferir o pedido de reclassificação feito pelo consumidor</w:t>
      </w:r>
      <w:r w:rsidRPr="00346120">
        <w:rPr>
          <w:i/>
          <w:sz w:val="22"/>
          <w:szCs w:val="22"/>
        </w:rPr>
        <w:t xml:space="preserve">, pois, de acordo com o art. 14, inciso I, </w:t>
      </w:r>
      <w:r w:rsidRPr="00346120">
        <w:rPr>
          <w:b/>
          <w:i/>
          <w:sz w:val="22"/>
          <w:szCs w:val="22"/>
        </w:rPr>
        <w:t xml:space="preserve">para ser considerada uma única unidade consumidora, todos os compartimentos (unidades </w:t>
      </w:r>
      <w:r w:rsidRPr="00346120">
        <w:rPr>
          <w:b/>
          <w:i/>
          <w:sz w:val="22"/>
          <w:szCs w:val="22"/>
        </w:rPr>
        <w:lastRenderedPageBreak/>
        <w:t>habitacionais) do prédio deveriam ser de propriedade de uma só pessoa física ou jurídica</w:t>
      </w:r>
      <w:r w:rsidRPr="00346120">
        <w:rPr>
          <w:i/>
          <w:sz w:val="22"/>
          <w:szCs w:val="22"/>
        </w:rPr>
        <w:t>”</w:t>
      </w:r>
      <w:r w:rsidR="00F76727">
        <w:rPr>
          <w:rStyle w:val="Refdenotaderodap"/>
          <w:sz w:val="22"/>
          <w:szCs w:val="22"/>
        </w:rPr>
        <w:footnoteReference w:id="10"/>
      </w:r>
      <w:r w:rsidR="0094596F">
        <w:rPr>
          <w:i/>
          <w:sz w:val="22"/>
          <w:szCs w:val="22"/>
        </w:rPr>
        <w:t xml:space="preserve"> </w:t>
      </w:r>
      <w:r w:rsidR="00F76727">
        <w:rPr>
          <w:sz w:val="22"/>
          <w:szCs w:val="22"/>
        </w:rPr>
        <w:t>(grifou-se).</w:t>
      </w:r>
    </w:p>
    <w:p w:rsidR="00346120" w:rsidRDefault="00346120" w:rsidP="001744CB">
      <w:pPr>
        <w:pStyle w:val="Default"/>
        <w:spacing w:line="360" w:lineRule="exact"/>
        <w:jc w:val="both"/>
        <w:rPr>
          <w:color w:val="auto"/>
        </w:rPr>
      </w:pPr>
    </w:p>
    <w:p w:rsidR="00222DC8" w:rsidRDefault="00B23D96" w:rsidP="001744CB">
      <w:pPr>
        <w:pStyle w:val="Default"/>
        <w:spacing w:line="360" w:lineRule="exact"/>
        <w:jc w:val="both"/>
        <w:rPr>
          <w:color w:val="auto"/>
        </w:rPr>
      </w:pPr>
      <w:r>
        <w:rPr>
          <w:color w:val="auto"/>
        </w:rPr>
        <w:t>Segundo o</w:t>
      </w:r>
      <w:r w:rsidR="0094596F">
        <w:rPr>
          <w:color w:val="auto"/>
        </w:rPr>
        <w:t xml:space="preserve"> precede</w:t>
      </w:r>
      <w:r w:rsidR="000974E8">
        <w:rPr>
          <w:color w:val="auto"/>
        </w:rPr>
        <w:t xml:space="preserve">nte </w:t>
      </w:r>
      <w:r>
        <w:rPr>
          <w:color w:val="auto"/>
        </w:rPr>
        <w:t xml:space="preserve">acima, portanto, foi indeferida a </w:t>
      </w:r>
      <w:r w:rsidR="00D12BC0">
        <w:rPr>
          <w:color w:val="auto"/>
        </w:rPr>
        <w:t>pretens</w:t>
      </w:r>
      <w:r w:rsidR="00B034A9">
        <w:rPr>
          <w:color w:val="auto"/>
        </w:rPr>
        <w:t xml:space="preserve">ão de um determinado </w:t>
      </w:r>
      <w:r w:rsidR="004F4855">
        <w:rPr>
          <w:color w:val="auto"/>
        </w:rPr>
        <w:t>empreendimento comercial</w:t>
      </w:r>
      <w:r>
        <w:rPr>
          <w:color w:val="auto"/>
        </w:rPr>
        <w:t xml:space="preserve"> </w:t>
      </w:r>
      <w:r w:rsidR="00D12BC0">
        <w:rPr>
          <w:color w:val="auto"/>
        </w:rPr>
        <w:t>para</w:t>
      </w:r>
      <w:r>
        <w:rPr>
          <w:color w:val="auto"/>
        </w:rPr>
        <w:t xml:space="preserve"> que </w:t>
      </w:r>
      <w:r w:rsidR="00840504">
        <w:rPr>
          <w:color w:val="auto"/>
        </w:rPr>
        <w:t xml:space="preserve">fosse considerado como uma única </w:t>
      </w:r>
      <w:r w:rsidR="00D12BC0">
        <w:rPr>
          <w:color w:val="auto"/>
        </w:rPr>
        <w:t>unidade consumidora</w:t>
      </w:r>
      <w:r w:rsidR="00B034A9">
        <w:rPr>
          <w:color w:val="auto"/>
        </w:rPr>
        <w:t xml:space="preserve">, na medida em que </w:t>
      </w:r>
      <w:r w:rsidR="00B034A9" w:rsidRPr="004F4855">
        <w:rPr>
          <w:b/>
          <w:color w:val="auto"/>
        </w:rPr>
        <w:t>a regra geral é o desdobramento em múltiplas unidades</w:t>
      </w:r>
      <w:r w:rsidR="00B034A9">
        <w:rPr>
          <w:color w:val="auto"/>
        </w:rPr>
        <w:t>, correspondentes a cada fração.</w:t>
      </w:r>
    </w:p>
    <w:p w:rsidR="00B034A9" w:rsidRDefault="00B034A9" w:rsidP="001744CB">
      <w:pPr>
        <w:pStyle w:val="Default"/>
        <w:spacing w:line="360" w:lineRule="exact"/>
        <w:jc w:val="both"/>
        <w:rPr>
          <w:color w:val="auto"/>
        </w:rPr>
      </w:pPr>
    </w:p>
    <w:p w:rsidR="00B034A9" w:rsidRDefault="00B034A9" w:rsidP="001744CB">
      <w:pPr>
        <w:pStyle w:val="Default"/>
        <w:spacing w:line="360" w:lineRule="exact"/>
        <w:jc w:val="both"/>
        <w:rPr>
          <w:color w:val="auto"/>
        </w:rPr>
      </w:pPr>
      <w:r>
        <w:rPr>
          <w:color w:val="auto"/>
        </w:rPr>
        <w:t xml:space="preserve">Diante disso, em uma primeira análise, cada empreendedor poderia </w:t>
      </w:r>
      <w:r w:rsidR="001258C8">
        <w:rPr>
          <w:color w:val="auto"/>
        </w:rPr>
        <w:t xml:space="preserve">se </w:t>
      </w:r>
      <w:r>
        <w:rPr>
          <w:color w:val="auto"/>
        </w:rPr>
        <w:t>insurgir – administrativa e judicialmente – contra a</w:t>
      </w:r>
      <w:r w:rsidR="008456BD">
        <w:rPr>
          <w:color w:val="auto"/>
        </w:rPr>
        <w:t>s novas exigências da</w:t>
      </w:r>
      <w:r>
        <w:rPr>
          <w:color w:val="auto"/>
        </w:rPr>
        <w:t xml:space="preserve"> </w:t>
      </w:r>
      <w:r>
        <w:rPr>
          <w:smallCaps/>
          <w:color w:val="auto"/>
        </w:rPr>
        <w:t>Eletropaulo</w:t>
      </w:r>
      <w:r>
        <w:rPr>
          <w:color w:val="auto"/>
        </w:rPr>
        <w:t xml:space="preserve">, </w:t>
      </w:r>
      <w:r w:rsidR="008456BD">
        <w:rPr>
          <w:color w:val="auto"/>
        </w:rPr>
        <w:t>requerendo</w:t>
      </w:r>
      <w:r>
        <w:rPr>
          <w:color w:val="auto"/>
        </w:rPr>
        <w:t xml:space="preserve"> o fornecimento de energia </w:t>
      </w:r>
      <w:r w:rsidR="00993291">
        <w:rPr>
          <w:color w:val="auto"/>
        </w:rPr>
        <w:t>em baixa ou média tensão, desde que cada unidade autônoma não possua demanda superior a 2.500 kW.</w:t>
      </w:r>
    </w:p>
    <w:p w:rsidR="00993291" w:rsidRDefault="00993291" w:rsidP="001744CB">
      <w:pPr>
        <w:pStyle w:val="Default"/>
        <w:spacing w:line="360" w:lineRule="exact"/>
        <w:jc w:val="both"/>
        <w:rPr>
          <w:color w:val="auto"/>
        </w:rPr>
      </w:pPr>
    </w:p>
    <w:p w:rsidR="00993291" w:rsidRPr="00B034A9" w:rsidRDefault="00993291" w:rsidP="001744CB">
      <w:pPr>
        <w:pStyle w:val="Default"/>
        <w:spacing w:line="360" w:lineRule="exact"/>
        <w:jc w:val="both"/>
        <w:rPr>
          <w:color w:val="auto"/>
        </w:rPr>
      </w:pPr>
      <w:r>
        <w:rPr>
          <w:color w:val="auto"/>
        </w:rPr>
        <w:t xml:space="preserve">Nessa hipótese, </w:t>
      </w:r>
      <w:r w:rsidR="008456BD">
        <w:rPr>
          <w:color w:val="auto"/>
        </w:rPr>
        <w:t>o atendimento da Concessionária deverá respeitar expressamente o já mencionado artigo 12 das “Condições Gerais de Fornecimento”:</w:t>
      </w:r>
    </w:p>
    <w:p w:rsidR="00993291" w:rsidRDefault="00993291" w:rsidP="001744CB">
      <w:pPr>
        <w:pStyle w:val="Default"/>
        <w:spacing w:line="360" w:lineRule="exact"/>
        <w:jc w:val="both"/>
        <w:rPr>
          <w:color w:val="auto"/>
        </w:rPr>
      </w:pPr>
    </w:p>
    <w:p w:rsidR="00DB21F4" w:rsidRDefault="008456BD" w:rsidP="008456BD">
      <w:pPr>
        <w:ind w:left="1134" w:right="1134"/>
        <w:rPr>
          <w:i/>
          <w:sz w:val="22"/>
          <w:szCs w:val="22"/>
        </w:rPr>
      </w:pPr>
      <w:r>
        <w:rPr>
          <w:i/>
          <w:sz w:val="22"/>
          <w:szCs w:val="22"/>
        </w:rPr>
        <w:t>“</w:t>
      </w:r>
      <w:r w:rsidR="001258C8" w:rsidRPr="008456BD">
        <w:rPr>
          <w:i/>
          <w:sz w:val="22"/>
          <w:szCs w:val="22"/>
        </w:rPr>
        <w:t>Art. 12. Compete à distribuidora informar ao interessado a tensão de fornecimento para a unidade consumidora, com obser</w:t>
      </w:r>
      <w:r w:rsidR="00DB21F4">
        <w:rPr>
          <w:i/>
          <w:sz w:val="22"/>
          <w:szCs w:val="22"/>
        </w:rPr>
        <w:t>vância dos seguintes critérios:</w:t>
      </w:r>
    </w:p>
    <w:p w:rsidR="00DB21F4" w:rsidRDefault="001258C8" w:rsidP="008456BD">
      <w:pPr>
        <w:ind w:left="1134" w:right="1134"/>
        <w:rPr>
          <w:i/>
          <w:sz w:val="22"/>
          <w:szCs w:val="22"/>
        </w:rPr>
      </w:pPr>
      <w:r w:rsidRPr="008456BD">
        <w:rPr>
          <w:i/>
          <w:sz w:val="22"/>
          <w:szCs w:val="22"/>
        </w:rPr>
        <w:t xml:space="preserve">I – </w:t>
      </w:r>
      <w:proofErr w:type="gramStart"/>
      <w:r w:rsidRPr="008456BD">
        <w:rPr>
          <w:i/>
          <w:sz w:val="22"/>
          <w:szCs w:val="22"/>
        </w:rPr>
        <w:t>tensão</w:t>
      </w:r>
      <w:proofErr w:type="gramEnd"/>
      <w:r w:rsidRPr="008456BD">
        <w:rPr>
          <w:i/>
          <w:sz w:val="22"/>
          <w:szCs w:val="22"/>
        </w:rPr>
        <w:t xml:space="preserve"> secundária em rede aérea: quando a carga instalada na unidade consumidora</w:t>
      </w:r>
      <w:r w:rsidR="00DB21F4">
        <w:rPr>
          <w:i/>
          <w:sz w:val="22"/>
          <w:szCs w:val="22"/>
        </w:rPr>
        <w:t xml:space="preserve"> for igual ou inferior a 75 kW;</w:t>
      </w:r>
    </w:p>
    <w:p w:rsidR="00DB21F4" w:rsidRDefault="001258C8" w:rsidP="008456BD">
      <w:pPr>
        <w:ind w:left="1134" w:right="1134"/>
        <w:rPr>
          <w:i/>
          <w:sz w:val="22"/>
          <w:szCs w:val="22"/>
        </w:rPr>
      </w:pPr>
      <w:r w:rsidRPr="008456BD">
        <w:rPr>
          <w:i/>
          <w:sz w:val="22"/>
          <w:szCs w:val="22"/>
        </w:rPr>
        <w:t xml:space="preserve">II – </w:t>
      </w:r>
      <w:proofErr w:type="gramStart"/>
      <w:r w:rsidRPr="008456BD">
        <w:rPr>
          <w:i/>
          <w:sz w:val="22"/>
          <w:szCs w:val="22"/>
        </w:rPr>
        <w:t>tensão</w:t>
      </w:r>
      <w:proofErr w:type="gramEnd"/>
      <w:r w:rsidRPr="008456BD">
        <w:rPr>
          <w:i/>
          <w:sz w:val="22"/>
          <w:szCs w:val="22"/>
        </w:rPr>
        <w:t xml:space="preserve"> secundária em sistema subterrâneo: até o limite de carga instalada conforme padrão d</w:t>
      </w:r>
      <w:r w:rsidR="00DB21F4">
        <w:rPr>
          <w:i/>
          <w:sz w:val="22"/>
          <w:szCs w:val="22"/>
        </w:rPr>
        <w:t>e atendimento da distribuidora;</w:t>
      </w:r>
    </w:p>
    <w:p w:rsidR="00DB21F4" w:rsidRDefault="001258C8" w:rsidP="008456BD">
      <w:pPr>
        <w:ind w:left="1134" w:right="1134"/>
        <w:rPr>
          <w:i/>
          <w:sz w:val="22"/>
          <w:szCs w:val="22"/>
        </w:rPr>
      </w:pPr>
      <w:r w:rsidRPr="008456BD">
        <w:rPr>
          <w:i/>
          <w:sz w:val="22"/>
          <w:szCs w:val="22"/>
        </w:rPr>
        <w:t xml:space="preserve">III – </w:t>
      </w:r>
      <w:r w:rsidRPr="00A567AF">
        <w:rPr>
          <w:b/>
          <w:i/>
          <w:sz w:val="22"/>
          <w:szCs w:val="22"/>
        </w:rPr>
        <w:t>tensão primária de distribuição inferior a 69 kV</w:t>
      </w:r>
      <w:r w:rsidRPr="008456BD">
        <w:rPr>
          <w:i/>
          <w:sz w:val="22"/>
          <w:szCs w:val="22"/>
        </w:rPr>
        <w:t xml:space="preserve">: quando a carga instalada na unidade consumidora for superior a 75 kW e a demanda a ser contratada pelo interessado, para o fornecimento, </w:t>
      </w:r>
      <w:r w:rsidRPr="00A567AF">
        <w:rPr>
          <w:b/>
          <w:i/>
          <w:sz w:val="22"/>
          <w:szCs w:val="22"/>
        </w:rPr>
        <w:t xml:space="preserve">for </w:t>
      </w:r>
      <w:r w:rsidR="00DB21F4" w:rsidRPr="00A567AF">
        <w:rPr>
          <w:b/>
          <w:i/>
          <w:sz w:val="22"/>
          <w:szCs w:val="22"/>
        </w:rPr>
        <w:t>igual ou inferior a 2.500 kW</w:t>
      </w:r>
      <w:r w:rsidR="00DB21F4">
        <w:rPr>
          <w:i/>
          <w:sz w:val="22"/>
          <w:szCs w:val="22"/>
        </w:rPr>
        <w:t>; e</w:t>
      </w:r>
    </w:p>
    <w:p w:rsidR="001258C8" w:rsidRPr="00DB21F4" w:rsidRDefault="001258C8" w:rsidP="008456BD">
      <w:pPr>
        <w:ind w:left="1134" w:right="1134"/>
        <w:rPr>
          <w:rFonts w:eastAsia="Calibri" w:cs="Arial"/>
          <w:sz w:val="22"/>
          <w:szCs w:val="22"/>
        </w:rPr>
      </w:pPr>
      <w:r w:rsidRPr="008456BD">
        <w:rPr>
          <w:i/>
          <w:sz w:val="22"/>
          <w:szCs w:val="22"/>
        </w:rPr>
        <w:t xml:space="preserve">IV – </w:t>
      </w:r>
      <w:proofErr w:type="gramStart"/>
      <w:r w:rsidRPr="008456BD">
        <w:rPr>
          <w:i/>
          <w:sz w:val="22"/>
          <w:szCs w:val="22"/>
        </w:rPr>
        <w:t>tensão</w:t>
      </w:r>
      <w:proofErr w:type="gramEnd"/>
      <w:r w:rsidRPr="008456BD">
        <w:rPr>
          <w:i/>
          <w:sz w:val="22"/>
          <w:szCs w:val="22"/>
        </w:rPr>
        <w:t xml:space="preserve"> primária de distribuição igual ou superior a 69 kV: quando a demanda a ser contratada pelo interessado, para o fornecimento, for superior a 2.500 kW</w:t>
      </w:r>
      <w:r w:rsidR="00DB21F4">
        <w:rPr>
          <w:i/>
          <w:sz w:val="22"/>
          <w:szCs w:val="22"/>
        </w:rPr>
        <w:t>”</w:t>
      </w:r>
      <w:r w:rsidR="00A567AF">
        <w:rPr>
          <w:sz w:val="22"/>
          <w:szCs w:val="22"/>
        </w:rPr>
        <w:t xml:space="preserve"> (grifou-se).</w:t>
      </w:r>
    </w:p>
    <w:p w:rsidR="001258C8" w:rsidRDefault="001258C8" w:rsidP="001744CB">
      <w:pPr>
        <w:pStyle w:val="Default"/>
        <w:spacing w:line="360" w:lineRule="exact"/>
        <w:jc w:val="both"/>
        <w:rPr>
          <w:color w:val="auto"/>
        </w:rPr>
      </w:pPr>
    </w:p>
    <w:p w:rsidR="00FA4F4C" w:rsidRDefault="00AC2829" w:rsidP="001744CB">
      <w:pPr>
        <w:pStyle w:val="Default"/>
        <w:spacing w:line="360" w:lineRule="exact"/>
        <w:jc w:val="both"/>
        <w:rPr>
          <w:color w:val="auto"/>
        </w:rPr>
      </w:pPr>
      <w:r>
        <w:rPr>
          <w:color w:val="auto"/>
        </w:rPr>
        <w:t xml:space="preserve">De outro lado, cumpre também investigar </w:t>
      </w:r>
      <w:r w:rsidR="00153616">
        <w:rPr>
          <w:color w:val="auto"/>
        </w:rPr>
        <w:t xml:space="preserve">eventual </w:t>
      </w:r>
      <w:r w:rsidR="00DB7125">
        <w:rPr>
          <w:color w:val="auto"/>
        </w:rPr>
        <w:t>fundamentação da tese no</w:t>
      </w:r>
      <w:r>
        <w:rPr>
          <w:color w:val="auto"/>
        </w:rPr>
        <w:t xml:space="preserve"> já acima transcrito artigo 13</w:t>
      </w:r>
      <w:r w:rsidR="00DB7125">
        <w:rPr>
          <w:color w:val="auto"/>
        </w:rPr>
        <w:t>,</w:t>
      </w:r>
      <w:r>
        <w:rPr>
          <w:color w:val="auto"/>
        </w:rPr>
        <w:t xml:space="preserve"> das “Condições Gerais de Fornecimento”</w:t>
      </w:r>
      <w:r w:rsidR="00153616">
        <w:rPr>
          <w:color w:val="auto"/>
        </w:rPr>
        <w:t>, qu</w:t>
      </w:r>
      <w:r w:rsidR="00DB7125">
        <w:rPr>
          <w:color w:val="auto"/>
        </w:rPr>
        <w:t>e trata das hipóteses de atendimento de tensão diferenciada:</w:t>
      </w:r>
    </w:p>
    <w:p w:rsidR="00AC2829" w:rsidRDefault="00AC2829" w:rsidP="00AC2829">
      <w:pPr>
        <w:spacing w:line="360" w:lineRule="exact"/>
        <w:rPr>
          <w:rFonts w:eastAsia="Calibri" w:cs="Arial"/>
        </w:rPr>
      </w:pPr>
    </w:p>
    <w:p w:rsidR="00203A9F" w:rsidRPr="00AF7500" w:rsidRDefault="00203A9F" w:rsidP="00203A9F">
      <w:pPr>
        <w:ind w:left="1134" w:right="1134"/>
        <w:rPr>
          <w:i/>
          <w:sz w:val="22"/>
          <w:szCs w:val="22"/>
        </w:rPr>
      </w:pPr>
      <w:r>
        <w:rPr>
          <w:i/>
          <w:sz w:val="22"/>
          <w:szCs w:val="22"/>
        </w:rPr>
        <w:t>“</w:t>
      </w:r>
      <w:r w:rsidRPr="00AF7500">
        <w:rPr>
          <w:i/>
          <w:sz w:val="22"/>
          <w:szCs w:val="22"/>
        </w:rPr>
        <w:t xml:space="preserve">Art. 13. </w:t>
      </w:r>
      <w:r w:rsidRPr="00AF7500">
        <w:rPr>
          <w:b/>
          <w:i/>
          <w:sz w:val="22"/>
          <w:szCs w:val="22"/>
        </w:rPr>
        <w:t>A distribuidora pode estabelecer tensão de fornecimento sem observar os critérios referidos no art. 12, quando</w:t>
      </w:r>
      <w:r w:rsidRPr="00AF7500">
        <w:rPr>
          <w:i/>
          <w:sz w:val="22"/>
          <w:szCs w:val="22"/>
        </w:rPr>
        <w:t>:</w:t>
      </w:r>
    </w:p>
    <w:p w:rsidR="00203A9F" w:rsidRPr="00AF7500" w:rsidRDefault="00203A9F" w:rsidP="00203A9F">
      <w:pPr>
        <w:ind w:left="1134" w:right="1134"/>
        <w:rPr>
          <w:i/>
          <w:sz w:val="22"/>
          <w:szCs w:val="22"/>
        </w:rPr>
      </w:pPr>
      <w:r w:rsidRPr="00AF7500">
        <w:rPr>
          <w:i/>
          <w:sz w:val="22"/>
          <w:szCs w:val="22"/>
        </w:rPr>
        <w:t xml:space="preserve">I – </w:t>
      </w:r>
      <w:proofErr w:type="gramStart"/>
      <w:r w:rsidRPr="00AF7500">
        <w:rPr>
          <w:i/>
          <w:sz w:val="22"/>
          <w:szCs w:val="22"/>
        </w:rPr>
        <w:t>a</w:t>
      </w:r>
      <w:proofErr w:type="gramEnd"/>
      <w:r w:rsidRPr="00AF7500">
        <w:rPr>
          <w:i/>
          <w:sz w:val="22"/>
          <w:szCs w:val="22"/>
        </w:rPr>
        <w:t xml:space="preserve"> unidade consumidora tiver equipamento que, pelas características de funcionamento ou potência, possa prejudicar a qualidade do fornecimento a outros consumidores;</w:t>
      </w:r>
    </w:p>
    <w:p w:rsidR="00203A9F" w:rsidRPr="00203A9F" w:rsidRDefault="00203A9F" w:rsidP="00203A9F">
      <w:pPr>
        <w:ind w:left="1134" w:right="1134"/>
        <w:rPr>
          <w:b/>
          <w:i/>
          <w:sz w:val="22"/>
          <w:szCs w:val="22"/>
          <w:u w:val="single"/>
        </w:rPr>
      </w:pPr>
      <w:r w:rsidRPr="006F442B">
        <w:rPr>
          <w:i/>
          <w:sz w:val="22"/>
          <w:szCs w:val="22"/>
        </w:rPr>
        <w:lastRenderedPageBreak/>
        <w:t xml:space="preserve">II – </w:t>
      </w:r>
      <w:proofErr w:type="gramStart"/>
      <w:r w:rsidRPr="006F442B">
        <w:rPr>
          <w:i/>
          <w:sz w:val="22"/>
          <w:szCs w:val="22"/>
        </w:rPr>
        <w:t>houver</w:t>
      </w:r>
      <w:proofErr w:type="gramEnd"/>
      <w:r w:rsidRPr="006F442B">
        <w:rPr>
          <w:i/>
          <w:sz w:val="22"/>
          <w:szCs w:val="22"/>
        </w:rPr>
        <w:t xml:space="preserve"> conveniência técnica e econômica para o subsistema elétrico da distribuidora, d</w:t>
      </w:r>
      <w:r w:rsidRPr="00AF7500">
        <w:rPr>
          <w:i/>
          <w:sz w:val="22"/>
          <w:szCs w:val="22"/>
        </w:rPr>
        <w:t>esde que haja anuência do interessado;</w:t>
      </w:r>
      <w:r>
        <w:rPr>
          <w:i/>
          <w:sz w:val="22"/>
          <w:szCs w:val="22"/>
        </w:rPr>
        <w:t xml:space="preserve"> </w:t>
      </w:r>
      <w:r>
        <w:rPr>
          <w:b/>
          <w:i/>
          <w:sz w:val="22"/>
          <w:szCs w:val="22"/>
          <w:u w:val="single"/>
        </w:rPr>
        <w:t>OU</w:t>
      </w:r>
    </w:p>
    <w:p w:rsidR="00203A9F" w:rsidRPr="00AF7500" w:rsidRDefault="00203A9F" w:rsidP="00203A9F">
      <w:pPr>
        <w:ind w:left="1134" w:right="1134"/>
        <w:rPr>
          <w:i/>
          <w:sz w:val="22"/>
          <w:szCs w:val="22"/>
        </w:rPr>
      </w:pPr>
      <w:r w:rsidRPr="006F442B">
        <w:rPr>
          <w:i/>
          <w:sz w:val="22"/>
          <w:szCs w:val="22"/>
        </w:rPr>
        <w:t>I</w:t>
      </w:r>
      <w:r w:rsidR="00FF3D79">
        <w:rPr>
          <w:i/>
          <w:sz w:val="22"/>
          <w:szCs w:val="22"/>
        </w:rPr>
        <w:t>I</w:t>
      </w:r>
      <w:r w:rsidRPr="006F442B">
        <w:rPr>
          <w:i/>
          <w:sz w:val="22"/>
          <w:szCs w:val="22"/>
        </w:rPr>
        <w:t xml:space="preserve">I – </w:t>
      </w:r>
      <w:r w:rsidRPr="006F442B">
        <w:rPr>
          <w:b/>
          <w:i/>
          <w:sz w:val="22"/>
          <w:szCs w:val="22"/>
        </w:rPr>
        <w:t>a unidade consumidora for atendível, em princípio, em tensão primária de distribuição, mas situar-se em edificação de múltiplas unidades consumidoras predominantemente passíveis de inclusão no critério de fornecimento em tensão secundária de distribuição, desde que haja solicitação ou anuência do interessado</w:t>
      </w:r>
      <w:r w:rsidRPr="00AF7500">
        <w:rPr>
          <w:i/>
          <w:sz w:val="22"/>
          <w:szCs w:val="22"/>
        </w:rPr>
        <w:t>.</w:t>
      </w:r>
    </w:p>
    <w:p w:rsidR="00203A9F" w:rsidRPr="00AF7500" w:rsidRDefault="00203A9F" w:rsidP="00203A9F">
      <w:pPr>
        <w:ind w:left="1134" w:right="1134"/>
        <w:rPr>
          <w:i/>
          <w:sz w:val="22"/>
          <w:szCs w:val="22"/>
        </w:rPr>
      </w:pPr>
    </w:p>
    <w:p w:rsidR="00203A9F" w:rsidRPr="00AF7500" w:rsidRDefault="00203A9F" w:rsidP="00203A9F">
      <w:pPr>
        <w:ind w:left="1134" w:right="1134"/>
        <w:rPr>
          <w:i/>
          <w:sz w:val="22"/>
          <w:szCs w:val="22"/>
        </w:rPr>
      </w:pPr>
      <w:r>
        <w:rPr>
          <w:i/>
          <w:sz w:val="22"/>
          <w:szCs w:val="22"/>
        </w:rPr>
        <w:t>§ 1º</w:t>
      </w:r>
      <w:r w:rsidRPr="00AF7500">
        <w:rPr>
          <w:i/>
          <w:sz w:val="22"/>
          <w:szCs w:val="22"/>
        </w:rPr>
        <w:t xml:space="preserve"> O interessado pode optar por tensão diferente das estabelecidas no art. 12, desde que haja viabilidade técnica do subsistema elétrico, sendo de sua responsabilidade os investimentos adicionais necessários ao atendimento.</w:t>
      </w:r>
    </w:p>
    <w:p w:rsidR="00203A9F" w:rsidRPr="00AF7500" w:rsidRDefault="00203A9F" w:rsidP="00203A9F">
      <w:pPr>
        <w:ind w:left="1134" w:right="1134"/>
        <w:rPr>
          <w:i/>
          <w:sz w:val="22"/>
          <w:szCs w:val="22"/>
        </w:rPr>
      </w:pPr>
    </w:p>
    <w:p w:rsidR="00203A9F" w:rsidRPr="00203A9F" w:rsidRDefault="00203A9F" w:rsidP="00203A9F">
      <w:pPr>
        <w:ind w:left="1134" w:right="1134"/>
        <w:rPr>
          <w:sz w:val="22"/>
          <w:szCs w:val="22"/>
        </w:rPr>
      </w:pPr>
      <w:r>
        <w:rPr>
          <w:i/>
          <w:sz w:val="22"/>
          <w:szCs w:val="22"/>
        </w:rPr>
        <w:t>§ 2º</w:t>
      </w:r>
      <w:r w:rsidRPr="00AF7500">
        <w:rPr>
          <w:i/>
          <w:sz w:val="22"/>
          <w:szCs w:val="22"/>
        </w:rPr>
        <w:t xml:space="preserve"> O enquadramento em um dos incisos de que trata o caput deste artigo obriga às partes a inclusão de cláusula no Contrato de Fornecimento, detalhando</w:t>
      </w:r>
      <w:r>
        <w:rPr>
          <w:i/>
          <w:sz w:val="22"/>
          <w:szCs w:val="22"/>
        </w:rPr>
        <w:t xml:space="preserve"> as razões para sua utilização”</w:t>
      </w:r>
      <w:r>
        <w:rPr>
          <w:sz w:val="22"/>
          <w:szCs w:val="22"/>
        </w:rPr>
        <w:t xml:space="preserve"> (grifou-se).</w:t>
      </w:r>
    </w:p>
    <w:p w:rsidR="00203A9F" w:rsidRDefault="00203A9F" w:rsidP="00AC2829">
      <w:pPr>
        <w:spacing w:line="360" w:lineRule="exact"/>
        <w:rPr>
          <w:rFonts w:eastAsia="Calibri" w:cs="Arial"/>
        </w:rPr>
      </w:pPr>
    </w:p>
    <w:p w:rsidR="00203A9F" w:rsidRDefault="00203A9F" w:rsidP="00AC2829">
      <w:pPr>
        <w:spacing w:line="360" w:lineRule="exact"/>
        <w:rPr>
          <w:rFonts w:eastAsia="Calibri" w:cs="Arial"/>
        </w:rPr>
      </w:pPr>
      <w:r>
        <w:rPr>
          <w:rFonts w:eastAsia="Calibri" w:cs="Arial"/>
        </w:rPr>
        <w:t xml:space="preserve">O primeiro </w:t>
      </w:r>
      <w:r w:rsidR="003131AD">
        <w:rPr>
          <w:rFonts w:eastAsia="Calibri" w:cs="Arial"/>
        </w:rPr>
        <w:t xml:space="preserve">aspecto que se deve salientar é que o dispositivo </w:t>
      </w:r>
      <w:r w:rsidR="005E3E5D">
        <w:rPr>
          <w:rFonts w:eastAsia="Calibri" w:cs="Arial"/>
          <w:b/>
          <w:u w:val="single"/>
        </w:rPr>
        <w:t>é</w:t>
      </w:r>
      <w:r w:rsidR="003131AD">
        <w:rPr>
          <w:rFonts w:eastAsia="Calibri" w:cs="Arial"/>
          <w:b/>
          <w:u w:val="single"/>
        </w:rPr>
        <w:t xml:space="preserve"> </w:t>
      </w:r>
      <w:r w:rsidR="00424BA6">
        <w:rPr>
          <w:rFonts w:eastAsia="Calibri" w:cs="Arial"/>
          <w:b/>
          <w:u w:val="single"/>
        </w:rPr>
        <w:t>in</w:t>
      </w:r>
      <w:r w:rsidR="003131AD">
        <w:rPr>
          <w:rFonts w:eastAsia="Calibri" w:cs="Arial"/>
          <w:b/>
          <w:u w:val="single"/>
        </w:rPr>
        <w:t>aplicável</w:t>
      </w:r>
      <w:r w:rsidR="003131AD">
        <w:rPr>
          <w:rFonts w:eastAsia="Calibri" w:cs="Arial"/>
        </w:rPr>
        <w:t xml:space="preserve"> </w:t>
      </w:r>
      <w:r w:rsidR="00424BA6">
        <w:rPr>
          <w:rFonts w:eastAsia="Calibri" w:cs="Arial"/>
        </w:rPr>
        <w:t>à</w:t>
      </w:r>
      <w:r w:rsidR="005B440F">
        <w:rPr>
          <w:rFonts w:eastAsia="Calibri" w:cs="Arial"/>
        </w:rPr>
        <w:t xml:space="preserve"> hipótese aventada, </w:t>
      </w:r>
      <w:r w:rsidR="00424BA6">
        <w:rPr>
          <w:rFonts w:eastAsia="Calibri" w:cs="Arial"/>
        </w:rPr>
        <w:t xml:space="preserve">na medida em que, aqui, </w:t>
      </w:r>
      <w:r w:rsidR="005B440F" w:rsidRPr="00151009">
        <w:rPr>
          <w:rFonts w:eastAsia="Calibri" w:cs="Arial"/>
          <w:b/>
          <w:u w:val="single"/>
        </w:rPr>
        <w:t>o particular não est</w:t>
      </w:r>
      <w:r w:rsidR="005E3E5D">
        <w:rPr>
          <w:rFonts w:eastAsia="Calibri" w:cs="Arial"/>
          <w:b/>
          <w:u w:val="single"/>
        </w:rPr>
        <w:t>ará</w:t>
      </w:r>
      <w:r w:rsidR="005B440F" w:rsidRPr="00151009">
        <w:rPr>
          <w:rFonts w:eastAsia="Calibri" w:cs="Arial"/>
          <w:b/>
          <w:u w:val="single"/>
        </w:rPr>
        <w:t xml:space="preserve"> a pretender </w:t>
      </w:r>
      <w:r w:rsidR="00592840" w:rsidRPr="00151009">
        <w:rPr>
          <w:rFonts w:eastAsia="Calibri" w:cs="Arial"/>
          <w:b/>
          <w:u w:val="single"/>
        </w:rPr>
        <w:t>o estabelecimento de tensão de fornecimento</w:t>
      </w:r>
      <w:r w:rsidR="00592840" w:rsidRPr="00151009">
        <w:rPr>
          <w:rFonts w:eastAsia="Calibri" w:cs="Arial"/>
          <w:b/>
          <w:i/>
          <w:u w:val="single"/>
        </w:rPr>
        <w:t xml:space="preserve"> “</w:t>
      </w:r>
      <w:r w:rsidR="00592840" w:rsidRPr="00592840">
        <w:rPr>
          <w:rFonts w:eastAsia="Calibri" w:cs="Arial"/>
          <w:b/>
          <w:i/>
          <w:u w:val="single"/>
        </w:rPr>
        <w:t>sem observar os crit</w:t>
      </w:r>
      <w:r w:rsidR="00592840">
        <w:rPr>
          <w:rFonts w:eastAsia="Calibri" w:cs="Arial"/>
          <w:b/>
          <w:i/>
          <w:u w:val="single"/>
        </w:rPr>
        <w:t>érios referidos no art.</w:t>
      </w:r>
      <w:r w:rsidR="009D113C">
        <w:rPr>
          <w:rFonts w:eastAsia="Calibri" w:cs="Arial"/>
          <w:b/>
          <w:i/>
          <w:u w:val="single"/>
        </w:rPr>
        <w:t xml:space="preserve"> </w:t>
      </w:r>
      <w:r w:rsidR="00592840">
        <w:rPr>
          <w:rFonts w:eastAsia="Calibri" w:cs="Arial"/>
          <w:b/>
          <w:i/>
          <w:u w:val="single"/>
        </w:rPr>
        <w:t>12</w:t>
      </w:r>
      <w:r w:rsidR="00592840">
        <w:rPr>
          <w:rFonts w:eastAsia="Calibri" w:cs="Arial"/>
          <w:i/>
        </w:rPr>
        <w:t>”</w:t>
      </w:r>
      <w:r w:rsidR="00592840">
        <w:rPr>
          <w:rFonts w:eastAsia="Calibri" w:cs="Arial"/>
        </w:rPr>
        <w:t xml:space="preserve"> (grifou-se), </w:t>
      </w:r>
      <w:r w:rsidR="00592840" w:rsidRPr="005E3E5D">
        <w:rPr>
          <w:rFonts w:eastAsia="Calibri" w:cs="Arial"/>
          <w:b/>
          <w:u w:val="single"/>
        </w:rPr>
        <w:t xml:space="preserve">mas apenas </w:t>
      </w:r>
      <w:r w:rsidR="009D113C" w:rsidRPr="005E3E5D">
        <w:rPr>
          <w:rFonts w:eastAsia="Calibri" w:cs="Arial"/>
          <w:b/>
          <w:u w:val="single"/>
        </w:rPr>
        <w:t xml:space="preserve">qualificar-se </w:t>
      </w:r>
      <w:r w:rsidR="00D2221C" w:rsidRPr="005E3E5D">
        <w:rPr>
          <w:rFonts w:eastAsia="Calibri" w:cs="Arial"/>
          <w:b/>
          <w:u w:val="single"/>
        </w:rPr>
        <w:t xml:space="preserve">como </w:t>
      </w:r>
      <w:r w:rsidR="00D2221C" w:rsidRPr="005E3E5D">
        <w:rPr>
          <w:rFonts w:eastAsia="Calibri" w:cs="Arial"/>
          <w:b/>
          <w:i/>
          <w:u w:val="single"/>
        </w:rPr>
        <w:t>acessante</w:t>
      </w:r>
      <w:r w:rsidR="00D2221C" w:rsidRPr="005E3E5D">
        <w:rPr>
          <w:rFonts w:eastAsia="Calibri" w:cs="Arial"/>
          <w:b/>
          <w:u w:val="single"/>
        </w:rPr>
        <w:t xml:space="preserve"> em outra natureza daquela </w:t>
      </w:r>
      <w:r w:rsidR="00CE47B6" w:rsidRPr="005E3E5D">
        <w:rPr>
          <w:rFonts w:eastAsia="Calibri" w:cs="Arial"/>
          <w:b/>
          <w:u w:val="single"/>
        </w:rPr>
        <w:t xml:space="preserve">que a Concessionária o </w:t>
      </w:r>
      <w:r w:rsidR="005E3E5D">
        <w:rPr>
          <w:rFonts w:eastAsia="Calibri" w:cs="Arial"/>
          <w:b/>
          <w:u w:val="single"/>
        </w:rPr>
        <w:t>classifica</w:t>
      </w:r>
      <w:r w:rsidR="00CE47B6">
        <w:rPr>
          <w:rFonts w:eastAsia="Calibri" w:cs="Arial"/>
        </w:rPr>
        <w:t>.</w:t>
      </w:r>
    </w:p>
    <w:p w:rsidR="00CE47B6" w:rsidRDefault="00CE47B6" w:rsidP="00AC2829">
      <w:pPr>
        <w:spacing w:line="360" w:lineRule="exact"/>
        <w:rPr>
          <w:rFonts w:eastAsia="Calibri" w:cs="Arial"/>
        </w:rPr>
      </w:pPr>
    </w:p>
    <w:p w:rsidR="00CE47B6" w:rsidRDefault="00095790" w:rsidP="00AC2829">
      <w:pPr>
        <w:spacing w:line="360" w:lineRule="exact"/>
        <w:rPr>
          <w:rFonts w:eastAsia="Calibri" w:cs="Arial"/>
        </w:rPr>
      </w:pPr>
      <w:r>
        <w:rPr>
          <w:rFonts w:eastAsia="Calibri" w:cs="Arial"/>
        </w:rPr>
        <w:t xml:space="preserve">Ainda que assim não fosse, percebe-se que a norma prevê a existência de múltiplas unidades como </w:t>
      </w:r>
      <w:r w:rsidRPr="00510EB5">
        <w:rPr>
          <w:rFonts w:eastAsia="Calibri" w:cs="Arial"/>
          <w:u w:val="double"/>
        </w:rPr>
        <w:t xml:space="preserve">uma das </w:t>
      </w:r>
      <w:r w:rsidR="00510EB5" w:rsidRPr="00510EB5">
        <w:rPr>
          <w:rFonts w:eastAsia="Calibri" w:cs="Arial"/>
          <w:u w:val="double"/>
        </w:rPr>
        <w:t>três</w:t>
      </w:r>
      <w:r w:rsidR="00510EB5">
        <w:rPr>
          <w:rFonts w:eastAsia="Calibri" w:cs="Arial"/>
        </w:rPr>
        <w:t xml:space="preserve"> </w:t>
      </w:r>
      <w:r>
        <w:rPr>
          <w:rFonts w:eastAsia="Calibri" w:cs="Arial"/>
        </w:rPr>
        <w:t xml:space="preserve">situações que permitiriam derrogar </w:t>
      </w:r>
      <w:r w:rsidR="00510EB5">
        <w:rPr>
          <w:rFonts w:eastAsia="Calibri" w:cs="Arial"/>
        </w:rPr>
        <w:t>a tensão regrada pelo artigo 12.</w:t>
      </w:r>
    </w:p>
    <w:p w:rsidR="00510EB5" w:rsidRDefault="00510EB5" w:rsidP="00AC2829">
      <w:pPr>
        <w:spacing w:line="360" w:lineRule="exact"/>
        <w:rPr>
          <w:rFonts w:eastAsia="Calibri" w:cs="Arial"/>
        </w:rPr>
      </w:pPr>
    </w:p>
    <w:p w:rsidR="00FF3D79" w:rsidRDefault="00510EB5" w:rsidP="00FF3D79">
      <w:pPr>
        <w:spacing w:line="360" w:lineRule="exact"/>
        <w:rPr>
          <w:szCs w:val="24"/>
        </w:rPr>
      </w:pPr>
      <w:r>
        <w:rPr>
          <w:rFonts w:eastAsia="Calibri" w:cs="Arial"/>
        </w:rPr>
        <w:t xml:space="preserve">A esse respeito, </w:t>
      </w:r>
      <w:r w:rsidR="00974015">
        <w:rPr>
          <w:rFonts w:eastAsia="Calibri" w:cs="Arial"/>
        </w:rPr>
        <w:t xml:space="preserve">vale aqui também um breve comentário </w:t>
      </w:r>
      <w:r w:rsidR="00823071">
        <w:rPr>
          <w:rFonts w:eastAsia="Calibri" w:cs="Arial"/>
        </w:rPr>
        <w:t xml:space="preserve">sobre o caráter alternativo das </w:t>
      </w:r>
      <w:r w:rsidR="00AB144F">
        <w:rPr>
          <w:rFonts w:eastAsia="Calibri" w:cs="Arial"/>
        </w:rPr>
        <w:t xml:space="preserve">hipóteses previstas para que a distribuidora estabeleça tensões diferenciadas de fornecimento, na medida em que </w:t>
      </w:r>
      <w:r w:rsidR="00AB144F" w:rsidRPr="00FF3D79">
        <w:rPr>
          <w:rFonts w:eastAsia="Calibri" w:cs="Arial"/>
          <w:u w:val="double"/>
        </w:rPr>
        <w:t xml:space="preserve">a regra </w:t>
      </w:r>
      <w:r w:rsidR="00425D95" w:rsidRPr="00FF3D79">
        <w:rPr>
          <w:rFonts w:eastAsia="Calibri" w:cs="Arial"/>
          <w:u w:val="double"/>
        </w:rPr>
        <w:t xml:space="preserve">se vale expressamente </w:t>
      </w:r>
      <w:r w:rsidR="00425D95" w:rsidRPr="00FF3D79">
        <w:rPr>
          <w:rFonts w:eastAsia="Calibri" w:cs="Arial"/>
          <w:szCs w:val="24"/>
          <w:u w:val="double"/>
        </w:rPr>
        <w:t>da conjunção “ou”</w:t>
      </w:r>
      <w:r w:rsidR="00FF3D79" w:rsidRPr="00FF3D79">
        <w:rPr>
          <w:rFonts w:eastAsia="Calibri" w:cs="Arial"/>
          <w:szCs w:val="24"/>
        </w:rPr>
        <w:t xml:space="preserve">: </w:t>
      </w:r>
      <w:r w:rsidR="00FF3D79">
        <w:rPr>
          <w:rFonts w:eastAsia="Calibri" w:cs="Arial"/>
          <w:i/>
          <w:szCs w:val="24"/>
        </w:rPr>
        <w:t>“</w:t>
      </w:r>
      <w:r w:rsidR="00FF3D79" w:rsidRPr="00FF3D79">
        <w:rPr>
          <w:i/>
          <w:szCs w:val="24"/>
        </w:rPr>
        <w:t xml:space="preserve">I – a unidade consumidora tiver equipamento que, pelas características de funcionamento ou potência, possa prejudicar a qualidade do fornecimento a outros consumidores; II – houver conveniência técnica e econômica para o subsistema elétrico da distribuidora, desde que haja anuência do interessado; </w:t>
      </w:r>
      <w:r w:rsidR="00FF3D79" w:rsidRPr="00FF3D79">
        <w:rPr>
          <w:b/>
          <w:i/>
          <w:sz w:val="32"/>
          <w:szCs w:val="32"/>
          <w:u w:val="double"/>
        </w:rPr>
        <w:t>OU</w:t>
      </w:r>
      <w:r w:rsidR="00FF3D79" w:rsidRPr="00FF3D79">
        <w:rPr>
          <w:i/>
          <w:szCs w:val="24"/>
        </w:rPr>
        <w:t xml:space="preserve"> I</w:t>
      </w:r>
      <w:r w:rsidR="00FF3D79">
        <w:rPr>
          <w:i/>
          <w:szCs w:val="24"/>
        </w:rPr>
        <w:t>I</w:t>
      </w:r>
      <w:r w:rsidR="00FF3D79" w:rsidRPr="00FF3D79">
        <w:rPr>
          <w:i/>
          <w:szCs w:val="24"/>
        </w:rPr>
        <w:t xml:space="preserve">I – </w:t>
      </w:r>
      <w:r w:rsidR="00FF3D79" w:rsidRPr="0027336B">
        <w:rPr>
          <w:b/>
          <w:i/>
          <w:szCs w:val="24"/>
        </w:rPr>
        <w:t>a unidade consumidora for atendível, em princípio, em tensão primária de distribuição, mas situar-se em edificação de múltiplas unidades consumidoras</w:t>
      </w:r>
      <w:r w:rsidR="00FF3D79" w:rsidRPr="00FF3D79">
        <w:rPr>
          <w:i/>
          <w:szCs w:val="24"/>
        </w:rPr>
        <w:t xml:space="preserve"> predominantemente passíveis de inclusão no critério de fornecimento em tensão secundária de distribuição, desde que haja solicitação ou anuência do interessado</w:t>
      </w:r>
      <w:r w:rsidR="00FF3D79">
        <w:rPr>
          <w:i/>
          <w:szCs w:val="24"/>
        </w:rPr>
        <w:t>”</w:t>
      </w:r>
      <w:r w:rsidR="00FF3D79">
        <w:rPr>
          <w:szCs w:val="24"/>
        </w:rPr>
        <w:t xml:space="preserve"> (grifou-se).</w:t>
      </w:r>
    </w:p>
    <w:p w:rsidR="00FF3D79" w:rsidRDefault="00FF3D79" w:rsidP="00FF3D79">
      <w:pPr>
        <w:spacing w:line="360" w:lineRule="exact"/>
        <w:rPr>
          <w:szCs w:val="24"/>
        </w:rPr>
      </w:pPr>
    </w:p>
    <w:p w:rsidR="0027336B" w:rsidRDefault="00FF3D79" w:rsidP="00FF3D79">
      <w:pPr>
        <w:spacing w:line="360" w:lineRule="exact"/>
        <w:rPr>
          <w:szCs w:val="24"/>
        </w:rPr>
      </w:pPr>
      <w:r>
        <w:rPr>
          <w:szCs w:val="24"/>
        </w:rPr>
        <w:t xml:space="preserve">Dessa forma, em uma primeira análise, </w:t>
      </w:r>
      <w:r w:rsidR="00382891">
        <w:rPr>
          <w:szCs w:val="24"/>
        </w:rPr>
        <w:t>não seria necessário que houvesse uma cumulatividad</w:t>
      </w:r>
      <w:r w:rsidR="0027336B">
        <w:rPr>
          <w:szCs w:val="24"/>
        </w:rPr>
        <w:t>e das circunstâncias previstas.</w:t>
      </w:r>
    </w:p>
    <w:p w:rsidR="0027336B" w:rsidRDefault="0027336B" w:rsidP="00FF3D79">
      <w:pPr>
        <w:spacing w:line="360" w:lineRule="exact"/>
        <w:rPr>
          <w:szCs w:val="24"/>
        </w:rPr>
      </w:pPr>
    </w:p>
    <w:p w:rsidR="00FF3D79" w:rsidRDefault="00382891" w:rsidP="00FF3D79">
      <w:pPr>
        <w:spacing w:line="360" w:lineRule="exact"/>
        <w:rPr>
          <w:szCs w:val="24"/>
        </w:rPr>
      </w:pPr>
      <w:r>
        <w:rPr>
          <w:szCs w:val="24"/>
        </w:rPr>
        <w:t>Em outras palavras, a exceção do inciso III (múltiplas unidades) não dependeria</w:t>
      </w:r>
      <w:r w:rsidR="00F600A5">
        <w:rPr>
          <w:szCs w:val="24"/>
        </w:rPr>
        <w:t xml:space="preserve"> de que também houvesse </w:t>
      </w:r>
      <w:r w:rsidR="00F600A5">
        <w:rPr>
          <w:i/>
          <w:szCs w:val="24"/>
        </w:rPr>
        <w:t xml:space="preserve">“conveniência técnica e econômica para o subsistema elétrico da </w:t>
      </w:r>
      <w:r w:rsidR="00A46F74">
        <w:rPr>
          <w:i/>
          <w:szCs w:val="24"/>
        </w:rPr>
        <w:t>distribuidora”</w:t>
      </w:r>
      <w:r w:rsidR="00A46F74">
        <w:rPr>
          <w:szCs w:val="24"/>
        </w:rPr>
        <w:t xml:space="preserve"> (inciso II)</w:t>
      </w:r>
      <w:r>
        <w:rPr>
          <w:szCs w:val="24"/>
        </w:rPr>
        <w:t>.</w:t>
      </w:r>
    </w:p>
    <w:p w:rsidR="00A46F74" w:rsidRDefault="00A46F74" w:rsidP="00FF3D79">
      <w:pPr>
        <w:spacing w:line="360" w:lineRule="exact"/>
        <w:rPr>
          <w:szCs w:val="24"/>
        </w:rPr>
      </w:pPr>
    </w:p>
    <w:p w:rsidR="00E7739A" w:rsidRDefault="00E7739A" w:rsidP="00E7739A">
      <w:pPr>
        <w:spacing w:line="360" w:lineRule="exact"/>
        <w:rPr>
          <w:szCs w:val="24"/>
        </w:rPr>
      </w:pPr>
      <w:r>
        <w:rPr>
          <w:szCs w:val="24"/>
        </w:rPr>
        <w:t xml:space="preserve">No entanto, </w:t>
      </w:r>
      <w:r w:rsidRPr="00E7739A">
        <w:rPr>
          <w:szCs w:val="24"/>
        </w:rPr>
        <w:t>o parágrafo único do mesmo artigo 13 es</w:t>
      </w:r>
      <w:r w:rsidR="0027336B">
        <w:rPr>
          <w:szCs w:val="24"/>
        </w:rPr>
        <w:t>gota</w:t>
      </w:r>
      <w:r w:rsidRPr="00E7739A">
        <w:rPr>
          <w:szCs w:val="24"/>
        </w:rPr>
        <w:t xml:space="preserve"> a questão, ao englobar todas as hipóteses e preceituar que: </w:t>
      </w:r>
      <w:r>
        <w:rPr>
          <w:i/>
          <w:szCs w:val="24"/>
        </w:rPr>
        <w:t>“</w:t>
      </w:r>
      <w:r w:rsidRPr="00E7739A">
        <w:rPr>
          <w:i/>
          <w:szCs w:val="24"/>
        </w:rPr>
        <w:t xml:space="preserve">§ 1º O interessado pode optar por tensão diferente das estabelecidas no art. 12, </w:t>
      </w:r>
      <w:r w:rsidRPr="00E7739A">
        <w:rPr>
          <w:b/>
          <w:i/>
          <w:szCs w:val="24"/>
          <w:u w:val="single"/>
        </w:rPr>
        <w:t>desde que haja viabilidade técnica do subsistema elétrico</w:t>
      </w:r>
      <w:r w:rsidRPr="00E7739A">
        <w:rPr>
          <w:i/>
          <w:szCs w:val="24"/>
        </w:rPr>
        <w:t>, sendo de sua responsabilidade os investimentos adicio</w:t>
      </w:r>
      <w:r>
        <w:rPr>
          <w:i/>
          <w:szCs w:val="24"/>
        </w:rPr>
        <w:t>nais necessários ao atendimento”</w:t>
      </w:r>
      <w:r>
        <w:rPr>
          <w:szCs w:val="24"/>
        </w:rPr>
        <w:t xml:space="preserve"> (grifou-se).</w:t>
      </w:r>
    </w:p>
    <w:p w:rsidR="00E7739A" w:rsidRDefault="00E7739A" w:rsidP="00E7739A">
      <w:pPr>
        <w:spacing w:line="360" w:lineRule="exact"/>
        <w:rPr>
          <w:szCs w:val="24"/>
        </w:rPr>
      </w:pPr>
    </w:p>
    <w:p w:rsidR="00B64E7C" w:rsidRDefault="00C1729C" w:rsidP="00E7739A">
      <w:pPr>
        <w:spacing w:line="360" w:lineRule="exact"/>
        <w:rPr>
          <w:szCs w:val="24"/>
        </w:rPr>
      </w:pPr>
      <w:r>
        <w:rPr>
          <w:szCs w:val="24"/>
        </w:rPr>
        <w:t xml:space="preserve">Diante disso, percebe-se que, </w:t>
      </w:r>
      <w:r w:rsidR="00B64E7C">
        <w:rPr>
          <w:szCs w:val="24"/>
        </w:rPr>
        <w:t>para a</w:t>
      </w:r>
      <w:r>
        <w:rPr>
          <w:szCs w:val="24"/>
        </w:rPr>
        <w:t xml:space="preserve"> hipótese, a melhor interpretação é a de que a conjunção “ou” opera significado </w:t>
      </w:r>
      <w:r>
        <w:rPr>
          <w:szCs w:val="24"/>
          <w:u w:val="single"/>
        </w:rPr>
        <w:t>aditivo</w:t>
      </w:r>
      <w:r>
        <w:rPr>
          <w:szCs w:val="24"/>
        </w:rPr>
        <w:t xml:space="preserve">, e não </w:t>
      </w:r>
      <w:r>
        <w:rPr>
          <w:szCs w:val="24"/>
          <w:u w:val="single"/>
        </w:rPr>
        <w:t>alternativo</w:t>
      </w:r>
      <w:r>
        <w:rPr>
          <w:szCs w:val="24"/>
        </w:rPr>
        <w:t xml:space="preserve">, a exemplo do que </w:t>
      </w:r>
      <w:r w:rsidR="00B64E7C">
        <w:rPr>
          <w:szCs w:val="24"/>
        </w:rPr>
        <w:t>acontece em outras legislações.</w:t>
      </w:r>
    </w:p>
    <w:p w:rsidR="00B64E7C" w:rsidRDefault="00B64E7C" w:rsidP="00E7739A">
      <w:pPr>
        <w:spacing w:line="360" w:lineRule="exact"/>
        <w:rPr>
          <w:szCs w:val="24"/>
        </w:rPr>
      </w:pPr>
    </w:p>
    <w:p w:rsidR="00C1729C" w:rsidRPr="00813CD5" w:rsidRDefault="00C1729C" w:rsidP="00E7739A">
      <w:pPr>
        <w:spacing w:line="360" w:lineRule="exact"/>
        <w:rPr>
          <w:szCs w:val="24"/>
        </w:rPr>
      </w:pPr>
      <w:r>
        <w:rPr>
          <w:szCs w:val="24"/>
        </w:rPr>
        <w:t xml:space="preserve">A título de exemplo, </w:t>
      </w:r>
      <w:r w:rsidR="00813CD5">
        <w:rPr>
          <w:szCs w:val="24"/>
        </w:rPr>
        <w:t xml:space="preserve">confira-se o entendimento do </w:t>
      </w:r>
      <w:r w:rsidR="00813CD5">
        <w:rPr>
          <w:smallCaps/>
          <w:szCs w:val="24"/>
        </w:rPr>
        <w:t xml:space="preserve">Superior Tribunal de Justiça </w:t>
      </w:r>
      <w:r w:rsidR="00813CD5">
        <w:rPr>
          <w:szCs w:val="24"/>
        </w:rPr>
        <w:t>sobre a lei de Ação Civil Pública:</w:t>
      </w:r>
    </w:p>
    <w:p w:rsidR="00FF3D79" w:rsidRDefault="00FF3D79" w:rsidP="00AC2829">
      <w:pPr>
        <w:spacing w:line="360" w:lineRule="exact"/>
        <w:rPr>
          <w:rFonts w:eastAsia="Calibri" w:cs="Arial"/>
          <w:szCs w:val="24"/>
        </w:rPr>
      </w:pPr>
    </w:p>
    <w:p w:rsidR="00813CD5" w:rsidRPr="007034B9" w:rsidRDefault="009D29FF" w:rsidP="009D29FF">
      <w:pPr>
        <w:ind w:left="1134" w:right="1134"/>
        <w:rPr>
          <w:rFonts w:eastAsia="Calibri" w:cs="Arial"/>
          <w:sz w:val="22"/>
          <w:szCs w:val="22"/>
        </w:rPr>
      </w:pPr>
      <w:r>
        <w:rPr>
          <w:rFonts w:eastAsia="Calibri" w:cs="Arial"/>
          <w:i/>
          <w:sz w:val="22"/>
          <w:szCs w:val="22"/>
        </w:rPr>
        <w:t>“</w:t>
      </w:r>
      <w:r w:rsidR="00813CD5" w:rsidRPr="007034B9">
        <w:rPr>
          <w:rFonts w:eastAsia="Calibri" w:cs="Arial"/>
          <w:b/>
          <w:i/>
          <w:sz w:val="22"/>
          <w:szCs w:val="22"/>
        </w:rPr>
        <w:t>Nas demandas ambientais</w:t>
      </w:r>
      <w:r w:rsidR="00813CD5" w:rsidRPr="009D29FF">
        <w:rPr>
          <w:rFonts w:eastAsia="Calibri" w:cs="Arial"/>
          <w:i/>
          <w:sz w:val="22"/>
          <w:szCs w:val="22"/>
        </w:rPr>
        <w:t>, por força dos princípios do poluidor-pagador e da reparação in integrum, admite-se a condenação do réu, simultânea e agregadamente, em obrigação de fazer, não fazer e indenizar. Aí se encontra típica obrigação cumulativa ou conjuntiva. Assim, na interpretação dos arts. 4º, VII, e 14, § 1º, da Lei da Política Nacional do Meio Ambiente (Lei 6.938/81), e do art. 3</w:t>
      </w:r>
      <w:r>
        <w:rPr>
          <w:rFonts w:eastAsia="Calibri" w:cs="Arial"/>
          <w:i/>
          <w:sz w:val="22"/>
          <w:szCs w:val="22"/>
        </w:rPr>
        <w:t xml:space="preserve">º da Lei 7.347/85, </w:t>
      </w:r>
      <w:r w:rsidRPr="007034B9">
        <w:rPr>
          <w:rFonts w:eastAsia="Calibri" w:cs="Arial"/>
          <w:b/>
          <w:i/>
          <w:sz w:val="22"/>
          <w:szCs w:val="22"/>
          <w:u w:val="single"/>
        </w:rPr>
        <w:t>a conjunção ‘ou’</w:t>
      </w:r>
      <w:r w:rsidR="00813CD5" w:rsidRPr="007034B9">
        <w:rPr>
          <w:rFonts w:eastAsia="Calibri" w:cs="Arial"/>
          <w:b/>
          <w:i/>
          <w:sz w:val="22"/>
          <w:szCs w:val="22"/>
          <w:u w:val="single"/>
        </w:rPr>
        <w:t xml:space="preserve"> opera com valor aditivo, não introduz alternativa excludente</w:t>
      </w:r>
      <w:r>
        <w:rPr>
          <w:rFonts w:eastAsia="Calibri" w:cs="Arial"/>
          <w:i/>
          <w:sz w:val="22"/>
          <w:szCs w:val="22"/>
        </w:rPr>
        <w:t>”</w:t>
      </w:r>
      <w:r w:rsidR="007034B9">
        <w:rPr>
          <w:rStyle w:val="Refdenotaderodap"/>
          <w:rFonts w:eastAsia="Calibri" w:cs="Arial"/>
          <w:sz w:val="22"/>
          <w:szCs w:val="22"/>
        </w:rPr>
        <w:footnoteReference w:id="11"/>
      </w:r>
      <w:r w:rsidR="007034B9">
        <w:rPr>
          <w:rFonts w:eastAsia="Calibri" w:cs="Arial"/>
          <w:i/>
          <w:sz w:val="22"/>
          <w:szCs w:val="22"/>
        </w:rPr>
        <w:t xml:space="preserve"> </w:t>
      </w:r>
      <w:r w:rsidR="007034B9">
        <w:rPr>
          <w:rFonts w:eastAsia="Calibri" w:cs="Arial"/>
          <w:sz w:val="22"/>
          <w:szCs w:val="22"/>
        </w:rPr>
        <w:t>(grifou-se).</w:t>
      </w:r>
    </w:p>
    <w:p w:rsidR="00813CD5" w:rsidRDefault="00813CD5" w:rsidP="00AC2829">
      <w:pPr>
        <w:spacing w:line="360" w:lineRule="exact"/>
        <w:rPr>
          <w:rFonts w:eastAsia="Calibri" w:cs="Arial"/>
          <w:szCs w:val="24"/>
        </w:rPr>
      </w:pPr>
    </w:p>
    <w:p w:rsidR="007034B9" w:rsidRDefault="00071D7B" w:rsidP="00AC2829">
      <w:pPr>
        <w:spacing w:line="360" w:lineRule="exact"/>
        <w:rPr>
          <w:rFonts w:eastAsia="Calibri" w:cs="Arial"/>
          <w:szCs w:val="24"/>
        </w:rPr>
      </w:pPr>
      <w:r>
        <w:rPr>
          <w:rFonts w:eastAsia="Calibri" w:cs="Arial"/>
          <w:szCs w:val="24"/>
        </w:rPr>
        <w:t xml:space="preserve">Nesse sentido, entendemos que, SMJ, a insurgência da ABRAINC e de seus associados </w:t>
      </w:r>
      <w:r w:rsidRPr="00073EB5">
        <w:rPr>
          <w:rFonts w:eastAsia="Calibri" w:cs="Arial"/>
          <w:szCs w:val="24"/>
          <w:u w:val="single"/>
        </w:rPr>
        <w:t>não deve</w:t>
      </w:r>
      <w:r>
        <w:rPr>
          <w:rFonts w:eastAsia="Calibri" w:cs="Arial"/>
          <w:szCs w:val="24"/>
        </w:rPr>
        <w:t xml:space="preserve"> se basear </w:t>
      </w:r>
      <w:r w:rsidR="00073EB5">
        <w:rPr>
          <w:rFonts w:eastAsia="Calibri" w:cs="Arial"/>
          <w:szCs w:val="24"/>
        </w:rPr>
        <w:t xml:space="preserve">no artigo 13 das “Condições Gerais de Fornecimento”, sob pena de que a </w:t>
      </w:r>
      <w:r w:rsidR="00073EB5">
        <w:rPr>
          <w:rFonts w:eastAsia="Calibri" w:cs="Arial"/>
          <w:smallCaps/>
          <w:szCs w:val="24"/>
        </w:rPr>
        <w:t xml:space="preserve">Eletropaulo </w:t>
      </w:r>
      <w:r w:rsidR="00073EB5">
        <w:rPr>
          <w:rFonts w:eastAsia="Calibri" w:cs="Arial"/>
          <w:szCs w:val="24"/>
        </w:rPr>
        <w:t xml:space="preserve">continue a sustentar a ausência de viabilidade técnica do subsistema elétrico para atender </w:t>
      </w:r>
      <w:r w:rsidR="003C4E6F">
        <w:rPr>
          <w:rFonts w:eastAsia="Calibri" w:cs="Arial"/>
          <w:szCs w:val="24"/>
        </w:rPr>
        <w:t>o interessado em baixa ou média tensão.</w:t>
      </w:r>
    </w:p>
    <w:p w:rsidR="003C4E6F" w:rsidRDefault="003C4E6F" w:rsidP="00AC2829">
      <w:pPr>
        <w:spacing w:line="360" w:lineRule="exact"/>
        <w:rPr>
          <w:rFonts w:eastAsia="Calibri" w:cs="Arial"/>
          <w:szCs w:val="24"/>
        </w:rPr>
      </w:pPr>
    </w:p>
    <w:p w:rsidR="003C4E6F" w:rsidRPr="00073EB5" w:rsidRDefault="003C4E6F" w:rsidP="00AC2829">
      <w:pPr>
        <w:spacing w:line="360" w:lineRule="exact"/>
        <w:rPr>
          <w:rFonts w:eastAsia="Calibri" w:cs="Arial"/>
          <w:szCs w:val="24"/>
        </w:rPr>
      </w:pPr>
      <w:r>
        <w:rPr>
          <w:rFonts w:eastAsia="Calibri" w:cs="Arial"/>
          <w:szCs w:val="24"/>
        </w:rPr>
        <w:t xml:space="preserve">Repita-se: em nosso entendimento, o caminho mais adequado passaria por </w:t>
      </w:r>
      <w:r w:rsidRPr="00B64E7C">
        <w:rPr>
          <w:rFonts w:eastAsia="Calibri" w:cs="Arial"/>
          <w:szCs w:val="24"/>
          <w:u w:val="double"/>
        </w:rPr>
        <w:t xml:space="preserve">requalificar o empreendedor no próprio artigo 12, mas como consumidor </w:t>
      </w:r>
      <w:r w:rsidRPr="00B64E7C">
        <w:rPr>
          <w:rFonts w:eastAsia="Calibri" w:cs="Arial"/>
          <w:szCs w:val="24"/>
          <w:u w:val="double"/>
        </w:rPr>
        <w:lastRenderedPageBreak/>
        <w:t>pretendente a demanda inferior a 2.500 kW</w:t>
      </w:r>
      <w:r>
        <w:rPr>
          <w:rFonts w:eastAsia="Calibri" w:cs="Arial"/>
          <w:szCs w:val="24"/>
        </w:rPr>
        <w:t xml:space="preserve">, </w:t>
      </w:r>
      <w:r w:rsidR="00F1306F">
        <w:rPr>
          <w:rFonts w:eastAsia="Calibri" w:cs="Arial"/>
          <w:szCs w:val="24"/>
        </w:rPr>
        <w:t>considerando-se cada unidade autônoma de maneira independente.</w:t>
      </w:r>
    </w:p>
    <w:p w:rsidR="00750163" w:rsidRDefault="00750163" w:rsidP="00750163">
      <w:pPr>
        <w:pStyle w:val="Default"/>
        <w:spacing w:line="360" w:lineRule="exact"/>
        <w:jc w:val="both"/>
        <w:rPr>
          <w:color w:val="auto"/>
        </w:rPr>
      </w:pPr>
    </w:p>
    <w:p w:rsidR="00750163" w:rsidRDefault="000A528D" w:rsidP="00750163">
      <w:pPr>
        <w:pStyle w:val="Default"/>
        <w:spacing w:line="360" w:lineRule="exact"/>
        <w:jc w:val="both"/>
        <w:rPr>
          <w:color w:val="auto"/>
        </w:rPr>
      </w:pPr>
      <w:r>
        <w:rPr>
          <w:color w:val="auto"/>
        </w:rPr>
        <w:t>De outro lado, segundo</w:t>
      </w:r>
      <w:r w:rsidR="00750163">
        <w:rPr>
          <w:color w:val="auto"/>
        </w:rPr>
        <w:t xml:space="preserve"> informações da ABRAINC, para empreendimentos comerciais, a </w:t>
      </w:r>
      <w:r w:rsidR="00750163">
        <w:rPr>
          <w:smallCaps/>
          <w:color w:val="auto"/>
        </w:rPr>
        <w:t xml:space="preserve">Eletropaulo </w:t>
      </w:r>
      <w:r w:rsidR="00750163">
        <w:rPr>
          <w:color w:val="auto"/>
        </w:rPr>
        <w:t xml:space="preserve">tem por prática </w:t>
      </w:r>
      <w:r>
        <w:rPr>
          <w:color w:val="auto"/>
        </w:rPr>
        <w:t>alegar</w:t>
      </w:r>
      <w:r w:rsidR="00750163">
        <w:rPr>
          <w:color w:val="auto"/>
        </w:rPr>
        <w:t xml:space="preserve"> que a apresentação de projeto vinculado a </w:t>
      </w:r>
      <w:r w:rsidR="00750163" w:rsidRPr="00700D17">
        <w:rPr>
          <w:b/>
          <w:color w:val="auto"/>
          <w:u w:val="single"/>
        </w:rPr>
        <w:t>matrícula única</w:t>
      </w:r>
      <w:r w:rsidR="00750163">
        <w:rPr>
          <w:color w:val="auto"/>
        </w:rPr>
        <w:t xml:space="preserve"> implica a caracterização de uma correspondente – e também única – unidade consumidora.</w:t>
      </w:r>
    </w:p>
    <w:p w:rsidR="00750163" w:rsidRDefault="00750163" w:rsidP="00750163">
      <w:pPr>
        <w:pStyle w:val="Default"/>
        <w:spacing w:line="360" w:lineRule="exact"/>
        <w:jc w:val="both"/>
        <w:rPr>
          <w:color w:val="auto"/>
        </w:rPr>
      </w:pPr>
    </w:p>
    <w:p w:rsidR="00750163" w:rsidRDefault="003B2B91" w:rsidP="00750163">
      <w:pPr>
        <w:pStyle w:val="Default"/>
        <w:spacing w:line="360" w:lineRule="exact"/>
        <w:jc w:val="both"/>
        <w:rPr>
          <w:color w:val="auto"/>
        </w:rPr>
      </w:pPr>
      <w:r>
        <w:rPr>
          <w:color w:val="auto"/>
        </w:rPr>
        <w:t>Vale dizer</w:t>
      </w:r>
      <w:r w:rsidR="00750163">
        <w:rPr>
          <w:color w:val="auto"/>
        </w:rPr>
        <w:t xml:space="preserve">, até que se concretize o desmembramento ou o fracionamento da matrícula, a Concessionária </w:t>
      </w:r>
      <w:r>
        <w:rPr>
          <w:color w:val="auto"/>
        </w:rPr>
        <w:t>acena com uma</w:t>
      </w:r>
      <w:r w:rsidR="00750163">
        <w:rPr>
          <w:color w:val="auto"/>
        </w:rPr>
        <w:t xml:space="preserve"> </w:t>
      </w:r>
      <w:r>
        <w:rPr>
          <w:color w:val="auto"/>
        </w:rPr>
        <w:t>suposta</w:t>
      </w:r>
      <w:r w:rsidR="00750163">
        <w:rPr>
          <w:color w:val="auto"/>
        </w:rPr>
        <w:t xml:space="preserve"> impossibilidade de acolher a tese </w:t>
      </w:r>
      <w:r>
        <w:rPr>
          <w:color w:val="auto"/>
        </w:rPr>
        <w:t xml:space="preserve">aqui </w:t>
      </w:r>
      <w:r w:rsidR="00750163">
        <w:rPr>
          <w:color w:val="auto"/>
        </w:rPr>
        <w:t>sugerida (multiplicidade de unidades consumidoras, conforme cada fração).</w:t>
      </w:r>
    </w:p>
    <w:p w:rsidR="00750163" w:rsidRDefault="00750163" w:rsidP="00750163">
      <w:pPr>
        <w:pStyle w:val="Default"/>
        <w:spacing w:line="360" w:lineRule="exact"/>
        <w:jc w:val="both"/>
        <w:rPr>
          <w:color w:val="auto"/>
        </w:rPr>
      </w:pPr>
    </w:p>
    <w:p w:rsidR="00750163" w:rsidRDefault="003B2B91" w:rsidP="00750163">
      <w:pPr>
        <w:pStyle w:val="Default"/>
        <w:spacing w:line="360" w:lineRule="exact"/>
        <w:jc w:val="both"/>
        <w:rPr>
          <w:color w:val="auto"/>
        </w:rPr>
      </w:pPr>
      <w:r>
        <w:rPr>
          <w:color w:val="auto"/>
        </w:rPr>
        <w:t>Em primeiro lugar, a</w:t>
      </w:r>
      <w:r w:rsidR="00750163">
        <w:rPr>
          <w:color w:val="auto"/>
        </w:rPr>
        <w:t xml:space="preserve"> questão é verdadeiramente paradoxal, na medida em que o empreendedor apenas poderá obter o fracionamento da matrícula quando tiver o projeto elétrico aprovado pela </w:t>
      </w:r>
      <w:r w:rsidR="00750163">
        <w:rPr>
          <w:smallCaps/>
          <w:color w:val="auto"/>
        </w:rPr>
        <w:t>Eletropaulo</w:t>
      </w:r>
      <w:r w:rsidR="00750163">
        <w:rPr>
          <w:color w:val="auto"/>
        </w:rPr>
        <w:t>.</w:t>
      </w:r>
    </w:p>
    <w:p w:rsidR="00750163" w:rsidRDefault="00750163" w:rsidP="00750163">
      <w:pPr>
        <w:pStyle w:val="Default"/>
        <w:spacing w:line="360" w:lineRule="exact"/>
        <w:jc w:val="both"/>
        <w:rPr>
          <w:color w:val="auto"/>
        </w:rPr>
      </w:pPr>
    </w:p>
    <w:p w:rsidR="003B2B91" w:rsidRDefault="003B2B91" w:rsidP="00750163">
      <w:pPr>
        <w:pStyle w:val="Default"/>
        <w:spacing w:line="360" w:lineRule="exact"/>
        <w:jc w:val="both"/>
        <w:rPr>
          <w:color w:val="auto"/>
        </w:rPr>
      </w:pPr>
      <w:r>
        <w:rPr>
          <w:color w:val="auto"/>
        </w:rPr>
        <w:t>Além disso</w:t>
      </w:r>
      <w:r w:rsidR="00750163">
        <w:rPr>
          <w:color w:val="auto"/>
        </w:rPr>
        <w:t>, SMJ, não existe fundamento normativo algum para que a Concess</w:t>
      </w:r>
      <w:r>
        <w:rPr>
          <w:color w:val="auto"/>
        </w:rPr>
        <w:t>ionária imponha essa limitação.</w:t>
      </w:r>
    </w:p>
    <w:p w:rsidR="003B2B91" w:rsidRDefault="003B2B91" w:rsidP="00750163">
      <w:pPr>
        <w:pStyle w:val="Default"/>
        <w:spacing w:line="360" w:lineRule="exact"/>
        <w:jc w:val="both"/>
        <w:rPr>
          <w:color w:val="auto"/>
        </w:rPr>
      </w:pPr>
    </w:p>
    <w:p w:rsidR="00750163" w:rsidRDefault="003B2B91" w:rsidP="00750163">
      <w:pPr>
        <w:pStyle w:val="Default"/>
        <w:spacing w:line="360" w:lineRule="exact"/>
        <w:jc w:val="both"/>
        <w:rPr>
          <w:color w:val="auto"/>
        </w:rPr>
      </w:pPr>
      <w:r>
        <w:rPr>
          <w:color w:val="auto"/>
        </w:rPr>
        <w:t>Muito ao contrário: c</w:t>
      </w:r>
      <w:r w:rsidR="00750163">
        <w:rPr>
          <w:color w:val="auto"/>
        </w:rPr>
        <w:t xml:space="preserve">onforme acima examinado, a regulação aplicável é expressa ao </w:t>
      </w:r>
      <w:r w:rsidR="00750163" w:rsidRPr="00700D17">
        <w:rPr>
          <w:b/>
          <w:color w:val="auto"/>
          <w:u w:val="single"/>
        </w:rPr>
        <w:t>excepcionar</w:t>
      </w:r>
      <w:r w:rsidR="00750163">
        <w:rPr>
          <w:color w:val="auto"/>
        </w:rPr>
        <w:t xml:space="preserve"> a qualificação de empreendimentos comerciais dotados de múltiplas frações como </w:t>
      </w:r>
      <w:r w:rsidR="0013732B">
        <w:rPr>
          <w:color w:val="auto"/>
        </w:rPr>
        <w:t>unidades consumidoras autônomas, em hipóteses bastante específicas.</w:t>
      </w:r>
    </w:p>
    <w:p w:rsidR="00750163" w:rsidRDefault="00750163" w:rsidP="00750163">
      <w:pPr>
        <w:pStyle w:val="Default"/>
        <w:spacing w:line="360" w:lineRule="exact"/>
        <w:jc w:val="both"/>
        <w:rPr>
          <w:color w:val="auto"/>
        </w:rPr>
      </w:pPr>
    </w:p>
    <w:p w:rsidR="00750163" w:rsidRPr="00F636C8" w:rsidRDefault="0013732B" w:rsidP="00750163">
      <w:pPr>
        <w:pStyle w:val="Default"/>
        <w:spacing w:line="360" w:lineRule="exact"/>
        <w:jc w:val="both"/>
        <w:rPr>
          <w:color w:val="auto"/>
        </w:rPr>
      </w:pPr>
      <w:r>
        <w:rPr>
          <w:color w:val="auto"/>
        </w:rPr>
        <w:t>De mais a mais, c</w:t>
      </w:r>
      <w:r w:rsidR="00750163">
        <w:rPr>
          <w:color w:val="auto"/>
        </w:rPr>
        <w:t xml:space="preserve">omo se sabe, existem diversos elementos documentais – para além da matrícula </w:t>
      </w:r>
      <w:r>
        <w:rPr>
          <w:color w:val="auto"/>
        </w:rPr>
        <w:t xml:space="preserve">já </w:t>
      </w:r>
      <w:r w:rsidR="00750163">
        <w:rPr>
          <w:color w:val="auto"/>
        </w:rPr>
        <w:t xml:space="preserve">fracionada – aptos a demonstrar </w:t>
      </w:r>
      <w:r w:rsidR="00E22671">
        <w:rPr>
          <w:color w:val="auto"/>
        </w:rPr>
        <w:t>que o imóvel será efetivamente formatado em unidades autônomas individuais. Notadamente, o próprio registro do memorial de incorporação é mais do que suficiente para tal finalidade.</w:t>
      </w:r>
    </w:p>
    <w:p w:rsidR="00750163" w:rsidRDefault="00750163" w:rsidP="001744CB">
      <w:pPr>
        <w:pStyle w:val="Default"/>
        <w:spacing w:line="360" w:lineRule="exact"/>
        <w:jc w:val="both"/>
        <w:rPr>
          <w:color w:val="auto"/>
        </w:rPr>
      </w:pPr>
    </w:p>
    <w:p w:rsidR="00F51FCB" w:rsidRPr="008F2BBB" w:rsidRDefault="00F51FCB" w:rsidP="001744CB">
      <w:pPr>
        <w:pStyle w:val="Default"/>
        <w:spacing w:line="360" w:lineRule="exact"/>
        <w:jc w:val="both"/>
        <w:rPr>
          <w:color w:val="auto"/>
        </w:rPr>
      </w:pPr>
      <w:r>
        <w:rPr>
          <w:color w:val="auto"/>
        </w:rPr>
        <w:t xml:space="preserve">Em todo esse contexto, SMJ, </w:t>
      </w:r>
      <w:r w:rsidR="0013732B">
        <w:rPr>
          <w:color w:val="auto"/>
        </w:rPr>
        <w:t xml:space="preserve">é </w:t>
      </w:r>
      <w:r>
        <w:rPr>
          <w:color w:val="auto"/>
        </w:rPr>
        <w:t>possí</w:t>
      </w:r>
      <w:r w:rsidR="008F2BBB">
        <w:rPr>
          <w:color w:val="auto"/>
        </w:rPr>
        <w:t xml:space="preserve">vel apresentar requerimento formal à </w:t>
      </w:r>
      <w:r w:rsidR="008F2BBB">
        <w:rPr>
          <w:smallCaps/>
          <w:color w:val="auto"/>
        </w:rPr>
        <w:t>Eletropaulo</w:t>
      </w:r>
      <w:r w:rsidR="008F2BBB">
        <w:rPr>
          <w:color w:val="auto"/>
        </w:rPr>
        <w:t xml:space="preserve">, </w:t>
      </w:r>
      <w:r w:rsidR="00B64E7C">
        <w:rPr>
          <w:color w:val="auto"/>
        </w:rPr>
        <w:t>pleiteando</w:t>
      </w:r>
      <w:r w:rsidR="008F2BBB">
        <w:rPr>
          <w:color w:val="auto"/>
        </w:rPr>
        <w:t xml:space="preserve"> que cada </w:t>
      </w:r>
      <w:r w:rsidR="00266842">
        <w:rPr>
          <w:color w:val="auto"/>
        </w:rPr>
        <w:t xml:space="preserve">futura </w:t>
      </w:r>
      <w:r w:rsidR="008F2BBB">
        <w:rPr>
          <w:color w:val="auto"/>
        </w:rPr>
        <w:t xml:space="preserve">fração autônoma seja considerada uma única unidade consumidora que não demandará potência superior a 2.500 kW, </w:t>
      </w:r>
      <w:r w:rsidR="00F72F2B">
        <w:rPr>
          <w:color w:val="auto"/>
        </w:rPr>
        <w:t>de maneira a que a Concessionária forneça energia em baixa ou média potência, nos termos da regulação.</w:t>
      </w:r>
    </w:p>
    <w:p w:rsidR="00537847" w:rsidRDefault="00537847" w:rsidP="001744CB">
      <w:pPr>
        <w:pStyle w:val="Default"/>
        <w:spacing w:line="360" w:lineRule="exact"/>
        <w:jc w:val="both"/>
        <w:rPr>
          <w:color w:val="auto"/>
        </w:rPr>
      </w:pPr>
    </w:p>
    <w:p w:rsidR="00F72F2B" w:rsidRDefault="00F72F2B" w:rsidP="001744CB">
      <w:pPr>
        <w:pStyle w:val="Default"/>
        <w:spacing w:line="360" w:lineRule="exact"/>
        <w:jc w:val="both"/>
        <w:rPr>
          <w:color w:val="auto"/>
        </w:rPr>
      </w:pPr>
      <w:r>
        <w:rPr>
          <w:color w:val="auto"/>
        </w:rPr>
        <w:lastRenderedPageBreak/>
        <w:t xml:space="preserve">Eventual recusa da </w:t>
      </w:r>
      <w:r>
        <w:rPr>
          <w:smallCaps/>
          <w:color w:val="auto"/>
        </w:rPr>
        <w:t xml:space="preserve">Eletropaulo </w:t>
      </w:r>
      <w:r w:rsidR="00AB1D47">
        <w:rPr>
          <w:color w:val="auto"/>
        </w:rPr>
        <w:t>ensejar</w:t>
      </w:r>
      <w:r w:rsidR="00B37EB5">
        <w:rPr>
          <w:color w:val="auto"/>
        </w:rPr>
        <w:t>á</w:t>
      </w:r>
      <w:r>
        <w:rPr>
          <w:color w:val="auto"/>
        </w:rPr>
        <w:t xml:space="preserve"> a formalização de </w:t>
      </w:r>
      <w:r w:rsidRPr="00AB1D47">
        <w:rPr>
          <w:color w:val="auto"/>
          <w:u w:val="single"/>
        </w:rPr>
        <w:t>reclamações</w:t>
      </w:r>
      <w:r>
        <w:rPr>
          <w:color w:val="auto"/>
        </w:rPr>
        <w:t xml:space="preserve"> à </w:t>
      </w:r>
      <w:r>
        <w:rPr>
          <w:smallCaps/>
          <w:color w:val="auto"/>
        </w:rPr>
        <w:t>Agência Reguladora de Saneamento e Energia do Estado de São Paulo (ARSESP)</w:t>
      </w:r>
      <w:r>
        <w:rPr>
          <w:color w:val="auto"/>
        </w:rPr>
        <w:t xml:space="preserve"> e, posteriormente, também à </w:t>
      </w:r>
      <w:r>
        <w:rPr>
          <w:smallCaps/>
          <w:color w:val="auto"/>
        </w:rPr>
        <w:t>Agência Nacional de Energia Elétrica (ANEEL)</w:t>
      </w:r>
      <w:r>
        <w:rPr>
          <w:color w:val="auto"/>
        </w:rPr>
        <w:t>.</w:t>
      </w:r>
    </w:p>
    <w:p w:rsidR="00F40436" w:rsidRDefault="00F40436" w:rsidP="001744CB">
      <w:pPr>
        <w:pStyle w:val="Default"/>
        <w:spacing w:line="360" w:lineRule="exact"/>
        <w:jc w:val="both"/>
        <w:rPr>
          <w:color w:val="auto"/>
        </w:rPr>
      </w:pPr>
    </w:p>
    <w:p w:rsidR="00F40436" w:rsidRDefault="00F40436" w:rsidP="001744CB">
      <w:pPr>
        <w:pStyle w:val="Default"/>
        <w:spacing w:line="360" w:lineRule="exact"/>
        <w:jc w:val="both"/>
        <w:rPr>
          <w:color w:val="auto"/>
        </w:rPr>
      </w:pPr>
      <w:r>
        <w:rPr>
          <w:color w:val="auto"/>
        </w:rPr>
        <w:t xml:space="preserve">Na qualidade de entidade representante da classe – e desde que munida de um número significativo de indeferimentos direcionados a seus associados –, </w:t>
      </w:r>
      <w:r w:rsidR="00B37EB5">
        <w:rPr>
          <w:color w:val="auto"/>
        </w:rPr>
        <w:t>a ABRAINC poderá</w:t>
      </w:r>
      <w:r>
        <w:rPr>
          <w:color w:val="auto"/>
        </w:rPr>
        <w:t xml:space="preserve"> também formalizar </w:t>
      </w:r>
      <w:r w:rsidR="00F9014E">
        <w:rPr>
          <w:color w:val="auto"/>
        </w:rPr>
        <w:t xml:space="preserve">às agências reguladoras </w:t>
      </w:r>
      <w:r>
        <w:rPr>
          <w:color w:val="auto"/>
        </w:rPr>
        <w:t>essas mencionadas reclamações</w:t>
      </w:r>
      <w:r w:rsidR="00B37EB5">
        <w:rPr>
          <w:color w:val="auto"/>
        </w:rPr>
        <w:t>,</w:t>
      </w:r>
      <w:r w:rsidR="00F9014E">
        <w:rPr>
          <w:color w:val="auto"/>
        </w:rPr>
        <w:t xml:space="preserve"> em nome próprio.</w:t>
      </w:r>
    </w:p>
    <w:p w:rsidR="00F72F2B" w:rsidRDefault="00F72F2B" w:rsidP="001744CB">
      <w:pPr>
        <w:pStyle w:val="Default"/>
        <w:spacing w:line="360" w:lineRule="exact"/>
        <w:jc w:val="both"/>
        <w:rPr>
          <w:color w:val="auto"/>
        </w:rPr>
      </w:pPr>
    </w:p>
    <w:p w:rsidR="002B075C" w:rsidRDefault="002B075C" w:rsidP="001744CB">
      <w:pPr>
        <w:pStyle w:val="Default"/>
        <w:spacing w:line="360" w:lineRule="exact"/>
        <w:jc w:val="both"/>
        <w:rPr>
          <w:color w:val="auto"/>
        </w:rPr>
      </w:pPr>
      <w:r>
        <w:rPr>
          <w:color w:val="auto"/>
        </w:rPr>
        <w:t xml:space="preserve">Vale conferir precedente interessante em reclamação formalizada à ANEEL, em que aquela Agência </w:t>
      </w:r>
      <w:r w:rsidR="00131EDC">
        <w:rPr>
          <w:color w:val="auto"/>
        </w:rPr>
        <w:t xml:space="preserve">reconheceu a qualificação errônea de determinado consumidor, para fins de fornecimento de energia elétrica, e, como consequência, determinou que a distribuidora: (i) </w:t>
      </w:r>
      <w:r w:rsidR="008847C7">
        <w:rPr>
          <w:color w:val="auto"/>
        </w:rPr>
        <w:t xml:space="preserve">incorporasse a subestação implantada no empreendimento; </w:t>
      </w:r>
      <w:r w:rsidR="00815D49">
        <w:rPr>
          <w:color w:val="auto"/>
        </w:rPr>
        <w:t xml:space="preserve">e </w:t>
      </w:r>
      <w:r w:rsidR="008847C7">
        <w:rPr>
          <w:color w:val="auto"/>
        </w:rPr>
        <w:t>(ii) indenizasse o particular pelos custos de operação</w:t>
      </w:r>
      <w:r w:rsidR="00131EDC">
        <w:rPr>
          <w:color w:val="auto"/>
        </w:rPr>
        <w:t xml:space="preserve"> </w:t>
      </w:r>
      <w:r w:rsidR="00815D49">
        <w:rPr>
          <w:color w:val="auto"/>
        </w:rPr>
        <w:t>e manutenção:</w:t>
      </w:r>
    </w:p>
    <w:p w:rsidR="002B075C" w:rsidRDefault="002B075C" w:rsidP="001744CB">
      <w:pPr>
        <w:pStyle w:val="Default"/>
        <w:spacing w:line="360" w:lineRule="exact"/>
        <w:jc w:val="both"/>
        <w:rPr>
          <w:color w:val="auto"/>
        </w:rPr>
      </w:pPr>
    </w:p>
    <w:p w:rsidR="002B075C" w:rsidRPr="00815D49" w:rsidRDefault="00815D49" w:rsidP="00815D49">
      <w:pPr>
        <w:pStyle w:val="Default"/>
        <w:ind w:left="1134" w:right="1134"/>
        <w:jc w:val="both"/>
        <w:rPr>
          <w:color w:val="auto"/>
          <w:sz w:val="22"/>
          <w:szCs w:val="22"/>
        </w:rPr>
      </w:pPr>
      <w:r>
        <w:rPr>
          <w:i/>
          <w:sz w:val="22"/>
          <w:szCs w:val="22"/>
        </w:rPr>
        <w:t>“</w:t>
      </w:r>
      <w:r w:rsidR="002B075C" w:rsidRPr="00815D49">
        <w:rPr>
          <w:i/>
          <w:sz w:val="22"/>
          <w:szCs w:val="22"/>
        </w:rPr>
        <w:t xml:space="preserve">O SUPERINTENDENTE DE MEDIAÇÃO ADMINISTRATIVA SETORIAL DA AGÊNCIA NACIONAL DE ENERGIA ELÉTRICA – ANEEL, no uso das suas competências, em conformidade com o disposto no inciso III do art. 1º da Portaria nº 109, de 11 de julho de 2005, e o que consta no processo nº 48500.004873-2010-67, resolve: (i) conhecer e dar </w:t>
      </w:r>
      <w:r w:rsidR="002B075C" w:rsidRPr="0087581E">
        <w:rPr>
          <w:b/>
          <w:i/>
          <w:sz w:val="22"/>
          <w:szCs w:val="22"/>
        </w:rPr>
        <w:t>provimento parcial à reclamação apresentada pelo consumidor</w:t>
      </w:r>
      <w:r w:rsidR="002B075C" w:rsidRPr="00815D49">
        <w:rPr>
          <w:i/>
          <w:sz w:val="22"/>
          <w:szCs w:val="22"/>
        </w:rPr>
        <w:t xml:space="preserve">; (ii) determinar que a concessionária defina, em conjunto com o consumidor, o montante total, atualizado monetariamente, dos </w:t>
      </w:r>
      <w:r w:rsidR="002B075C" w:rsidRPr="0087581E">
        <w:rPr>
          <w:b/>
          <w:i/>
          <w:sz w:val="22"/>
          <w:szCs w:val="22"/>
        </w:rPr>
        <w:t>custos de operação e manutenção da subestação instalada na unidade consumidora</w:t>
      </w:r>
      <w:r w:rsidR="002B075C" w:rsidRPr="00815D49">
        <w:rPr>
          <w:i/>
          <w:sz w:val="22"/>
          <w:szCs w:val="22"/>
        </w:rPr>
        <w:t xml:space="preserve">, considerando-se o período de 23/08/2003 até a data de término da situação irregular, excluindo-se </w:t>
      </w:r>
      <w:r w:rsidR="002B075C" w:rsidRPr="0087581E">
        <w:rPr>
          <w:b/>
          <w:i/>
          <w:sz w:val="22"/>
          <w:szCs w:val="22"/>
        </w:rPr>
        <w:t>os meses em que a unidade consumidora foi classificada no Grupo A</w:t>
      </w:r>
      <w:r w:rsidR="002B075C" w:rsidRPr="00815D49">
        <w:rPr>
          <w:i/>
          <w:sz w:val="22"/>
          <w:szCs w:val="22"/>
        </w:rPr>
        <w:t xml:space="preserve">; (iii) </w:t>
      </w:r>
      <w:r w:rsidR="002B075C" w:rsidRPr="0087581E">
        <w:rPr>
          <w:b/>
          <w:i/>
          <w:sz w:val="22"/>
          <w:szCs w:val="22"/>
        </w:rPr>
        <w:t>determinar que a concessionária realize o ressarcimento ao consumidor dos custos de operação e manutenção</w:t>
      </w:r>
      <w:r w:rsidR="002B075C" w:rsidRPr="00815D49">
        <w:rPr>
          <w:i/>
          <w:sz w:val="22"/>
          <w:szCs w:val="22"/>
        </w:rPr>
        <w:t xml:space="preserve"> definidos no item (ii); e (iv) decidir pela </w:t>
      </w:r>
      <w:r w:rsidR="002B075C" w:rsidRPr="0087581E">
        <w:rPr>
          <w:b/>
          <w:i/>
          <w:sz w:val="22"/>
          <w:szCs w:val="22"/>
        </w:rPr>
        <w:t>incorporação onerosa, por parte da concessionária, da subestação de propriedade do consumidor ou, em caso de recusa do condomínio, pela instalação de subestação própria para o fornecimento de energia elétrica à edificação</w:t>
      </w:r>
      <w:r>
        <w:rPr>
          <w:i/>
          <w:sz w:val="22"/>
          <w:szCs w:val="22"/>
        </w:rPr>
        <w:t>”</w:t>
      </w:r>
      <w:r w:rsidR="0087581E">
        <w:rPr>
          <w:rStyle w:val="Refdenotaderodap"/>
          <w:sz w:val="22"/>
          <w:szCs w:val="22"/>
        </w:rPr>
        <w:footnoteReference w:id="12"/>
      </w:r>
      <w:r w:rsidR="001F0086">
        <w:rPr>
          <w:i/>
          <w:sz w:val="22"/>
          <w:szCs w:val="22"/>
        </w:rPr>
        <w:t xml:space="preserve"> </w:t>
      </w:r>
      <w:r>
        <w:rPr>
          <w:sz w:val="22"/>
          <w:szCs w:val="22"/>
        </w:rPr>
        <w:t>(grifou-se).</w:t>
      </w:r>
    </w:p>
    <w:p w:rsidR="002B075C" w:rsidRDefault="002B075C" w:rsidP="001744CB">
      <w:pPr>
        <w:pStyle w:val="Default"/>
        <w:spacing w:line="360" w:lineRule="exact"/>
        <w:jc w:val="both"/>
        <w:rPr>
          <w:color w:val="auto"/>
        </w:rPr>
      </w:pPr>
    </w:p>
    <w:p w:rsidR="00F72F2B" w:rsidRDefault="00BB193C" w:rsidP="001744CB">
      <w:pPr>
        <w:pStyle w:val="Default"/>
        <w:spacing w:line="360" w:lineRule="exact"/>
        <w:jc w:val="both"/>
        <w:rPr>
          <w:color w:val="auto"/>
        </w:rPr>
      </w:pPr>
      <w:r>
        <w:rPr>
          <w:color w:val="auto"/>
        </w:rPr>
        <w:t>No caso</w:t>
      </w:r>
      <w:r w:rsidR="00F72F2B">
        <w:rPr>
          <w:color w:val="auto"/>
        </w:rPr>
        <w:t xml:space="preserve"> de </w:t>
      </w:r>
      <w:r w:rsidR="00920164">
        <w:rPr>
          <w:color w:val="auto"/>
        </w:rPr>
        <w:t xml:space="preserve">insucesso na via administrativa, seria também possível a utilização da via judicial, inclusive – </w:t>
      </w:r>
      <w:r w:rsidR="00F9014E">
        <w:rPr>
          <w:color w:val="auto"/>
        </w:rPr>
        <w:t xml:space="preserve">repita-se, </w:t>
      </w:r>
      <w:r w:rsidR="00920164">
        <w:rPr>
          <w:color w:val="auto"/>
        </w:rPr>
        <w:t xml:space="preserve">a depender da caracterização de situações </w:t>
      </w:r>
      <w:r w:rsidR="00920164">
        <w:rPr>
          <w:color w:val="auto"/>
        </w:rPr>
        <w:lastRenderedPageBreak/>
        <w:t xml:space="preserve">concretas, documentadas, em número </w:t>
      </w:r>
      <w:r w:rsidR="00CB343A">
        <w:rPr>
          <w:color w:val="auto"/>
        </w:rPr>
        <w:t>significativo – a impetração de mandado de segurança coletivo pela ABRAINC.</w:t>
      </w:r>
    </w:p>
    <w:p w:rsidR="00CB343A" w:rsidRDefault="00CB343A" w:rsidP="001744CB">
      <w:pPr>
        <w:pStyle w:val="Default"/>
        <w:spacing w:line="360" w:lineRule="exact"/>
        <w:jc w:val="both"/>
        <w:rPr>
          <w:color w:val="auto"/>
        </w:rPr>
      </w:pPr>
    </w:p>
    <w:p w:rsidR="00CB343A" w:rsidRDefault="00CB343A" w:rsidP="001744CB">
      <w:pPr>
        <w:pStyle w:val="Default"/>
        <w:spacing w:line="360" w:lineRule="exact"/>
        <w:jc w:val="both"/>
        <w:rPr>
          <w:color w:val="auto"/>
        </w:rPr>
      </w:pPr>
      <w:r>
        <w:rPr>
          <w:color w:val="auto"/>
        </w:rPr>
        <w:t xml:space="preserve">O mandado de segurança coletivo está previsto no artigo 21 da Lei Federal nº 12.016/2009, e pode ser impetrado por </w:t>
      </w:r>
      <w:r w:rsidRPr="00AB1D47">
        <w:rPr>
          <w:color w:val="auto"/>
          <w:u w:val="single"/>
        </w:rPr>
        <w:t>entidade de classe</w:t>
      </w:r>
      <w:r w:rsidR="00B50F5A">
        <w:rPr>
          <w:color w:val="auto"/>
        </w:rPr>
        <w:t xml:space="preserve">, </w:t>
      </w:r>
      <w:r w:rsidR="00B50F5A">
        <w:rPr>
          <w:i/>
          <w:color w:val="auto"/>
        </w:rPr>
        <w:t>“em defesa de direitos líquidos e certos da totalidade, ou de parte, de seus membros ou associados”</w:t>
      </w:r>
      <w:r w:rsidR="00B50F5A">
        <w:rPr>
          <w:color w:val="auto"/>
        </w:rPr>
        <w:t>.</w:t>
      </w:r>
    </w:p>
    <w:p w:rsidR="00B50F5A" w:rsidRDefault="00B50F5A" w:rsidP="001744CB">
      <w:pPr>
        <w:pStyle w:val="Default"/>
        <w:spacing w:line="360" w:lineRule="exact"/>
        <w:jc w:val="both"/>
        <w:rPr>
          <w:color w:val="auto"/>
        </w:rPr>
      </w:pPr>
    </w:p>
    <w:p w:rsidR="00B50F5A" w:rsidRPr="00B50F5A" w:rsidRDefault="00B50F5A" w:rsidP="001744CB">
      <w:pPr>
        <w:pStyle w:val="Default"/>
        <w:spacing w:line="360" w:lineRule="exact"/>
        <w:jc w:val="both"/>
        <w:rPr>
          <w:smallCaps/>
          <w:color w:val="auto"/>
        </w:rPr>
      </w:pPr>
      <w:r>
        <w:rPr>
          <w:color w:val="auto"/>
        </w:rPr>
        <w:t xml:space="preserve">Nessa hipótese, seria buscada tutela jurisdicional que </w:t>
      </w:r>
      <w:r w:rsidR="007E22AA">
        <w:rPr>
          <w:color w:val="auto"/>
        </w:rPr>
        <w:t>garantisse o direito líquido e certo dos associados da ABRAINC obterem o fornecimento de energia em baixa ou média tensão</w:t>
      </w:r>
      <w:r w:rsidR="00951EB4">
        <w:rPr>
          <w:color w:val="auto"/>
        </w:rPr>
        <w:t xml:space="preserve"> a seus empreendimentos comerciais</w:t>
      </w:r>
      <w:r w:rsidR="007E22AA">
        <w:rPr>
          <w:color w:val="auto"/>
        </w:rPr>
        <w:t xml:space="preserve">, quando dotados de múltiplas unidades </w:t>
      </w:r>
      <w:r w:rsidR="00951EB4">
        <w:rPr>
          <w:color w:val="auto"/>
        </w:rPr>
        <w:t>autônomas.</w:t>
      </w:r>
    </w:p>
    <w:p w:rsidR="00920164" w:rsidRDefault="00920164" w:rsidP="001744CB">
      <w:pPr>
        <w:pStyle w:val="Default"/>
        <w:spacing w:line="360" w:lineRule="exact"/>
        <w:jc w:val="both"/>
        <w:rPr>
          <w:color w:val="auto"/>
        </w:rPr>
      </w:pPr>
    </w:p>
    <w:p w:rsidR="00B50F5A" w:rsidRDefault="00B50F5A" w:rsidP="001744CB">
      <w:pPr>
        <w:pStyle w:val="Default"/>
        <w:spacing w:line="360" w:lineRule="exact"/>
        <w:jc w:val="both"/>
        <w:rPr>
          <w:color w:val="auto"/>
        </w:rPr>
      </w:pPr>
    </w:p>
    <w:p w:rsidR="00BB193C" w:rsidRPr="00D274C3" w:rsidRDefault="00BB193C" w:rsidP="00BB193C">
      <w:pPr>
        <w:pStyle w:val="Default"/>
        <w:spacing w:line="360" w:lineRule="exact"/>
        <w:jc w:val="both"/>
        <w:rPr>
          <w:b/>
          <w:color w:val="auto"/>
        </w:rPr>
      </w:pPr>
      <w:r>
        <w:rPr>
          <w:b/>
          <w:color w:val="auto"/>
        </w:rPr>
        <w:t xml:space="preserve">II.2. Direito adquirido em vista do posicionamento adotado até o momento – princípios da isonomia, irretroatividade de posicionamento, vedação ao comportamento contraditório e </w:t>
      </w:r>
      <w:r w:rsidR="00967398">
        <w:rPr>
          <w:b/>
          <w:color w:val="auto"/>
        </w:rPr>
        <w:t>segurança jurídica.</w:t>
      </w:r>
    </w:p>
    <w:p w:rsidR="00B50F5A" w:rsidRDefault="00B50F5A" w:rsidP="001744CB">
      <w:pPr>
        <w:pStyle w:val="Default"/>
        <w:spacing w:line="360" w:lineRule="exact"/>
        <w:jc w:val="both"/>
        <w:rPr>
          <w:color w:val="auto"/>
        </w:rPr>
      </w:pPr>
    </w:p>
    <w:p w:rsidR="008A13DA" w:rsidRDefault="002F5173" w:rsidP="001744CB">
      <w:pPr>
        <w:pStyle w:val="Default"/>
        <w:spacing w:line="360" w:lineRule="exact"/>
        <w:jc w:val="both"/>
        <w:rPr>
          <w:color w:val="auto"/>
        </w:rPr>
      </w:pPr>
      <w:r>
        <w:rPr>
          <w:color w:val="auto"/>
        </w:rPr>
        <w:t xml:space="preserve">Ultrapassado o primeiro caminho indicado no item anterior, seria importante também verificar eventual direito </w:t>
      </w:r>
      <w:r w:rsidR="00AB6226">
        <w:rPr>
          <w:color w:val="auto"/>
        </w:rPr>
        <w:t xml:space="preserve">dos incorporadores, baseado no fato de que a </w:t>
      </w:r>
      <w:r w:rsidR="00AB6226">
        <w:rPr>
          <w:smallCaps/>
          <w:color w:val="auto"/>
        </w:rPr>
        <w:t xml:space="preserve">Eletropaulo </w:t>
      </w:r>
      <w:r w:rsidR="0074528B">
        <w:rPr>
          <w:rFonts w:ascii="Arial Negrito" w:hAnsi="Arial Negrito"/>
          <w:b/>
          <w:color w:val="auto"/>
        </w:rPr>
        <w:t>alterou sua posição sobre a matéria</w:t>
      </w:r>
      <w:r w:rsidR="008A13DA">
        <w:rPr>
          <w:rFonts w:ascii="Arial Negrito" w:hAnsi="Arial Negrito"/>
          <w:color w:val="auto"/>
        </w:rPr>
        <w:t>.</w:t>
      </w:r>
      <w:r w:rsidR="0074528B" w:rsidRPr="0074528B">
        <w:rPr>
          <w:color w:val="auto"/>
        </w:rPr>
        <w:t xml:space="preserve"> </w:t>
      </w:r>
    </w:p>
    <w:p w:rsidR="008A13DA" w:rsidRDefault="008A13DA" w:rsidP="001744CB">
      <w:pPr>
        <w:pStyle w:val="Default"/>
        <w:spacing w:line="360" w:lineRule="exact"/>
        <w:jc w:val="both"/>
        <w:rPr>
          <w:color w:val="auto"/>
        </w:rPr>
      </w:pPr>
    </w:p>
    <w:p w:rsidR="008B1764" w:rsidRDefault="008A13DA" w:rsidP="001744CB">
      <w:pPr>
        <w:pStyle w:val="Default"/>
        <w:spacing w:line="360" w:lineRule="exact"/>
        <w:jc w:val="both"/>
        <w:rPr>
          <w:color w:val="auto"/>
        </w:rPr>
      </w:pPr>
      <w:r>
        <w:rPr>
          <w:color w:val="auto"/>
        </w:rPr>
        <w:t>Ou seja, como a Concessionária,</w:t>
      </w:r>
      <w:r w:rsidR="0074528B">
        <w:rPr>
          <w:color w:val="auto"/>
        </w:rPr>
        <w:t xml:space="preserve"> antes, fornecia </w:t>
      </w:r>
      <w:r w:rsidR="00321A3B">
        <w:rPr>
          <w:color w:val="auto"/>
        </w:rPr>
        <w:t xml:space="preserve">energia em baixa ou média tensão aos empreendimentos comerciais </w:t>
      </w:r>
      <w:r w:rsidR="008B1764">
        <w:rPr>
          <w:color w:val="auto"/>
        </w:rPr>
        <w:t>que demandassem mais de 2</w:t>
      </w:r>
      <w:r>
        <w:rPr>
          <w:color w:val="auto"/>
        </w:rPr>
        <w:t>.500 kW)</w:t>
      </w:r>
      <w:r w:rsidR="008B1764">
        <w:rPr>
          <w:color w:val="auto"/>
        </w:rPr>
        <w:t>, seria de se investigar se essa circunstância hoje geraria direitos sólidos à ABRAINC e a seus associados.</w:t>
      </w:r>
    </w:p>
    <w:p w:rsidR="008B1764" w:rsidRDefault="008B1764" w:rsidP="001744CB">
      <w:pPr>
        <w:pStyle w:val="Default"/>
        <w:spacing w:line="360" w:lineRule="exact"/>
        <w:jc w:val="both"/>
        <w:rPr>
          <w:color w:val="auto"/>
        </w:rPr>
      </w:pPr>
    </w:p>
    <w:p w:rsidR="003326A7" w:rsidRDefault="003326A7" w:rsidP="001744CB">
      <w:pPr>
        <w:pStyle w:val="Default"/>
        <w:spacing w:line="360" w:lineRule="exact"/>
        <w:jc w:val="both"/>
        <w:rPr>
          <w:color w:val="auto"/>
        </w:rPr>
      </w:pPr>
      <w:r>
        <w:rPr>
          <w:color w:val="auto"/>
        </w:rPr>
        <w:t>De saída, verifica-se que o princípio da isonomia norteia toda a regulação do sistema elétrico nacional, bastando mencionar os seguintes dispositivos:</w:t>
      </w:r>
    </w:p>
    <w:p w:rsidR="003326A7" w:rsidRDefault="003326A7" w:rsidP="001744CB">
      <w:pPr>
        <w:pStyle w:val="Default"/>
        <w:spacing w:line="360" w:lineRule="exact"/>
        <w:jc w:val="both"/>
        <w:rPr>
          <w:color w:val="auto"/>
        </w:rPr>
      </w:pPr>
    </w:p>
    <w:p w:rsidR="00D11794" w:rsidRPr="003A0123" w:rsidRDefault="003A0123" w:rsidP="003A0123">
      <w:pPr>
        <w:pStyle w:val="NormalWeb"/>
        <w:shd w:val="clear" w:color="auto" w:fill="FFFFFF"/>
        <w:spacing w:before="0" w:beforeAutospacing="0" w:after="0" w:afterAutospacing="0"/>
        <w:ind w:left="1134" w:right="1134"/>
        <w:jc w:val="both"/>
        <w:rPr>
          <w:rFonts w:ascii="Arial" w:hAnsi="Arial" w:cs="Arial"/>
          <w:i/>
          <w:sz w:val="22"/>
          <w:szCs w:val="22"/>
        </w:rPr>
      </w:pPr>
      <w:r>
        <w:rPr>
          <w:rFonts w:ascii="Arial" w:hAnsi="Arial" w:cs="Arial"/>
          <w:i/>
          <w:sz w:val="22"/>
          <w:szCs w:val="22"/>
        </w:rPr>
        <w:t>“</w:t>
      </w:r>
      <w:r w:rsidR="00D11794" w:rsidRPr="003A0123">
        <w:rPr>
          <w:rFonts w:ascii="Arial" w:hAnsi="Arial" w:cs="Arial"/>
          <w:i/>
          <w:sz w:val="22"/>
          <w:szCs w:val="22"/>
        </w:rPr>
        <w:t>Art</w:t>
      </w:r>
      <w:r>
        <w:rPr>
          <w:rFonts w:ascii="Arial" w:hAnsi="Arial" w:cs="Arial"/>
          <w:i/>
          <w:sz w:val="22"/>
          <w:szCs w:val="22"/>
        </w:rPr>
        <w:t>.</w:t>
      </w:r>
      <w:r w:rsidR="00D11794" w:rsidRPr="003A0123">
        <w:rPr>
          <w:rFonts w:ascii="Arial" w:hAnsi="Arial" w:cs="Arial"/>
          <w:i/>
          <w:sz w:val="22"/>
          <w:szCs w:val="22"/>
        </w:rPr>
        <w:t xml:space="preserve"> 7º </w:t>
      </w:r>
      <w:r w:rsidR="00D11794" w:rsidRPr="00191263">
        <w:rPr>
          <w:rFonts w:ascii="Arial" w:hAnsi="Arial" w:cs="Arial"/>
          <w:b/>
          <w:i/>
          <w:sz w:val="22"/>
          <w:szCs w:val="22"/>
        </w:rPr>
        <w:t xml:space="preserve">A ANEEL estabelecerá as condições gerais do acesso aos sistemas </w:t>
      </w:r>
      <w:r w:rsidR="00D11794" w:rsidRPr="00191263">
        <w:rPr>
          <w:rFonts w:ascii="Arial" w:hAnsi="Arial" w:cs="Arial"/>
          <w:i/>
          <w:sz w:val="22"/>
          <w:szCs w:val="22"/>
        </w:rPr>
        <w:t>de transmissão e</w:t>
      </w:r>
      <w:r w:rsidR="00D11794" w:rsidRPr="00191263">
        <w:rPr>
          <w:rFonts w:ascii="Arial" w:hAnsi="Arial" w:cs="Arial"/>
          <w:b/>
          <w:i/>
          <w:sz w:val="22"/>
          <w:szCs w:val="22"/>
        </w:rPr>
        <w:t xml:space="preserve"> de distribuição</w:t>
      </w:r>
      <w:r w:rsidR="00D11794" w:rsidRPr="003A0123">
        <w:rPr>
          <w:rFonts w:ascii="Arial" w:hAnsi="Arial" w:cs="Arial"/>
          <w:i/>
          <w:sz w:val="22"/>
          <w:szCs w:val="22"/>
        </w:rPr>
        <w:t>, compreendendo o uso e a conexão, e regulará as tarifas correspondentes, com vistas a:</w:t>
      </w:r>
    </w:p>
    <w:p w:rsidR="003326A7" w:rsidRPr="00191263" w:rsidRDefault="00D11794" w:rsidP="00191263">
      <w:pPr>
        <w:pStyle w:val="NormalWeb"/>
        <w:shd w:val="clear" w:color="auto" w:fill="FFFFFF"/>
        <w:spacing w:before="0" w:beforeAutospacing="0" w:after="0" w:afterAutospacing="0"/>
        <w:ind w:left="1134" w:right="1134"/>
        <w:jc w:val="both"/>
        <w:rPr>
          <w:rFonts w:ascii="Arial" w:hAnsi="Arial" w:cs="Arial"/>
          <w:sz w:val="22"/>
          <w:szCs w:val="22"/>
        </w:rPr>
      </w:pPr>
      <w:r w:rsidRPr="003A0123">
        <w:rPr>
          <w:rFonts w:ascii="Arial" w:hAnsi="Arial" w:cs="Arial"/>
          <w:i/>
          <w:sz w:val="22"/>
          <w:szCs w:val="22"/>
        </w:rPr>
        <w:t xml:space="preserve">I </w:t>
      </w:r>
      <w:r w:rsidR="00191263">
        <w:rPr>
          <w:rFonts w:ascii="Arial" w:hAnsi="Arial" w:cs="Arial"/>
          <w:i/>
          <w:sz w:val="22"/>
          <w:szCs w:val="22"/>
        </w:rPr>
        <w:t>–</w:t>
      </w:r>
      <w:r w:rsidRPr="003A0123">
        <w:rPr>
          <w:rFonts w:ascii="Arial" w:hAnsi="Arial" w:cs="Arial"/>
          <w:i/>
          <w:sz w:val="22"/>
          <w:szCs w:val="22"/>
        </w:rPr>
        <w:t xml:space="preserve"> </w:t>
      </w:r>
      <w:proofErr w:type="gramStart"/>
      <w:r w:rsidRPr="00191263">
        <w:rPr>
          <w:rFonts w:ascii="Arial" w:hAnsi="Arial" w:cs="Arial"/>
          <w:b/>
          <w:i/>
          <w:sz w:val="22"/>
          <w:szCs w:val="22"/>
        </w:rPr>
        <w:t>assegurar</w:t>
      </w:r>
      <w:proofErr w:type="gramEnd"/>
      <w:r w:rsidRPr="00191263">
        <w:rPr>
          <w:rFonts w:ascii="Arial" w:hAnsi="Arial" w:cs="Arial"/>
          <w:b/>
          <w:i/>
          <w:sz w:val="22"/>
          <w:szCs w:val="22"/>
        </w:rPr>
        <w:t xml:space="preserve"> tratamento não discriminatório a todos os usuários</w:t>
      </w:r>
      <w:r w:rsidRPr="003A0123">
        <w:rPr>
          <w:rFonts w:ascii="Arial" w:hAnsi="Arial" w:cs="Arial"/>
          <w:i/>
          <w:sz w:val="22"/>
          <w:szCs w:val="22"/>
        </w:rPr>
        <w:t xml:space="preserve"> dos sistemas de transmissão e de distribuição, ressalvado o disposto no</w:t>
      </w:r>
      <w:r w:rsidRPr="003A0123">
        <w:rPr>
          <w:rStyle w:val="apple-converted-space"/>
          <w:rFonts w:ascii="Arial" w:hAnsi="Arial" w:cs="Arial"/>
          <w:i/>
          <w:sz w:val="22"/>
          <w:szCs w:val="22"/>
        </w:rPr>
        <w:t> </w:t>
      </w:r>
      <w:hyperlink r:id="rId13" w:anchor="art26§1" w:history="1">
        <w:r w:rsidRPr="003A0123">
          <w:rPr>
            <w:rStyle w:val="Hyperlink"/>
            <w:rFonts w:ascii="Arial" w:hAnsi="Arial" w:cs="Arial"/>
            <w:i/>
            <w:color w:val="auto"/>
            <w:sz w:val="22"/>
            <w:szCs w:val="22"/>
            <w:u w:val="none"/>
          </w:rPr>
          <w:t>§ 1º do art. 26 da Lei nº 9.427, de 1996</w:t>
        </w:r>
      </w:hyperlink>
      <w:r w:rsidRPr="003A0123">
        <w:rPr>
          <w:rFonts w:ascii="Arial" w:hAnsi="Arial" w:cs="Arial"/>
          <w:i/>
          <w:sz w:val="22"/>
          <w:szCs w:val="22"/>
        </w:rPr>
        <w:t>, com a redação dada pelo</w:t>
      </w:r>
      <w:r w:rsidRPr="003A0123">
        <w:rPr>
          <w:rStyle w:val="apple-converted-space"/>
          <w:rFonts w:ascii="Arial" w:hAnsi="Arial" w:cs="Arial"/>
          <w:i/>
          <w:sz w:val="22"/>
          <w:szCs w:val="22"/>
        </w:rPr>
        <w:t> </w:t>
      </w:r>
      <w:hyperlink r:id="rId14" w:anchor="art4" w:history="1">
        <w:r w:rsidRPr="003A0123">
          <w:rPr>
            <w:rStyle w:val="Hyperlink"/>
            <w:rFonts w:ascii="Arial" w:hAnsi="Arial" w:cs="Arial"/>
            <w:i/>
            <w:color w:val="auto"/>
            <w:sz w:val="22"/>
            <w:szCs w:val="22"/>
            <w:u w:val="none"/>
          </w:rPr>
          <w:t>art. 4º da Lei nº 9.648, de 1998</w:t>
        </w:r>
      </w:hyperlink>
      <w:r w:rsidR="00191263" w:rsidRPr="00191263">
        <w:rPr>
          <w:rFonts w:ascii="Arial" w:hAnsi="Arial" w:cs="Arial"/>
          <w:i/>
          <w:sz w:val="22"/>
          <w:szCs w:val="22"/>
        </w:rPr>
        <w:t xml:space="preserve">” </w:t>
      </w:r>
      <w:r w:rsidR="00191263" w:rsidRPr="00191263">
        <w:rPr>
          <w:rFonts w:ascii="Arial" w:hAnsi="Arial" w:cs="Arial"/>
          <w:sz w:val="22"/>
          <w:szCs w:val="22"/>
        </w:rPr>
        <w:t>(</w:t>
      </w:r>
      <w:r w:rsidR="003326A7" w:rsidRPr="00191263">
        <w:rPr>
          <w:rFonts w:ascii="Arial" w:eastAsia="Calibri" w:hAnsi="Arial" w:cs="Arial"/>
          <w:sz w:val="22"/>
          <w:szCs w:val="22"/>
        </w:rPr>
        <w:t>Decreto</w:t>
      </w:r>
      <w:r w:rsidR="00191263">
        <w:rPr>
          <w:rFonts w:ascii="Arial" w:eastAsia="Calibri" w:hAnsi="Arial" w:cs="Arial"/>
          <w:sz w:val="22"/>
          <w:szCs w:val="22"/>
        </w:rPr>
        <w:t xml:space="preserve"> Federal nº </w:t>
      </w:r>
      <w:r w:rsidR="003326A7" w:rsidRPr="00191263">
        <w:rPr>
          <w:rFonts w:ascii="Arial" w:eastAsia="Calibri" w:hAnsi="Arial" w:cs="Arial"/>
          <w:sz w:val="22"/>
          <w:szCs w:val="22"/>
        </w:rPr>
        <w:t>2.655/1998</w:t>
      </w:r>
      <w:r w:rsidR="00191263">
        <w:rPr>
          <w:rFonts w:ascii="Arial" w:eastAsia="Calibri" w:hAnsi="Arial" w:cs="Arial"/>
          <w:sz w:val="22"/>
          <w:szCs w:val="22"/>
        </w:rPr>
        <w:t xml:space="preserve"> – grifou-se).</w:t>
      </w:r>
    </w:p>
    <w:p w:rsidR="003326A7" w:rsidRPr="00191263" w:rsidRDefault="003326A7" w:rsidP="003A0123">
      <w:pPr>
        <w:ind w:left="1134" w:right="1134"/>
        <w:rPr>
          <w:rFonts w:eastAsia="Calibri" w:cs="Arial"/>
          <w:i/>
          <w:sz w:val="22"/>
          <w:szCs w:val="22"/>
        </w:rPr>
      </w:pPr>
    </w:p>
    <w:p w:rsidR="003326A7" w:rsidRPr="00191263" w:rsidRDefault="003326A7" w:rsidP="003A0123">
      <w:pPr>
        <w:ind w:left="1134" w:right="1134"/>
        <w:rPr>
          <w:rFonts w:eastAsia="Calibri" w:cs="Arial"/>
          <w:i/>
          <w:sz w:val="22"/>
          <w:szCs w:val="22"/>
        </w:rPr>
      </w:pPr>
    </w:p>
    <w:p w:rsidR="00191263" w:rsidRDefault="00D11794" w:rsidP="003A0123">
      <w:pPr>
        <w:ind w:left="1134" w:right="1134"/>
        <w:rPr>
          <w:rFonts w:cs="Arial"/>
          <w:i/>
          <w:sz w:val="22"/>
          <w:szCs w:val="22"/>
        </w:rPr>
      </w:pPr>
      <w:r w:rsidRPr="003A0123">
        <w:rPr>
          <w:rFonts w:cs="Arial"/>
          <w:i/>
          <w:sz w:val="22"/>
          <w:szCs w:val="22"/>
        </w:rPr>
        <w:lastRenderedPageBreak/>
        <w:t>“3.3 As principais responsabilidades, de caráter geral, das distribuido</w:t>
      </w:r>
      <w:r w:rsidR="00191263">
        <w:rPr>
          <w:rFonts w:cs="Arial"/>
          <w:i/>
          <w:sz w:val="22"/>
          <w:szCs w:val="22"/>
        </w:rPr>
        <w:t>ras com relação ao PRODIST são:</w:t>
      </w:r>
    </w:p>
    <w:p w:rsidR="005F4EE6" w:rsidRDefault="00D11794" w:rsidP="003A0123">
      <w:pPr>
        <w:ind w:left="1134" w:right="1134"/>
        <w:rPr>
          <w:rFonts w:cs="Arial"/>
          <w:i/>
          <w:sz w:val="22"/>
          <w:szCs w:val="22"/>
        </w:rPr>
      </w:pPr>
      <w:r w:rsidRPr="003A0123">
        <w:rPr>
          <w:rFonts w:cs="Arial"/>
          <w:i/>
          <w:sz w:val="22"/>
          <w:szCs w:val="22"/>
        </w:rPr>
        <w:t>a) manter nas agências de atendimento, em local de fácil visualização e acesso, exemplares do PRODIST para conhecimento e consulta dos interessados, ou disponibilizá-los por meio de mídias eletrônicas (CD) ou po</w:t>
      </w:r>
      <w:r w:rsidR="005F4EE6">
        <w:rPr>
          <w:rFonts w:cs="Arial"/>
          <w:i/>
          <w:sz w:val="22"/>
          <w:szCs w:val="22"/>
        </w:rPr>
        <w:t>r meio de correio eletrônico; e</w:t>
      </w:r>
    </w:p>
    <w:p w:rsidR="00D11794" w:rsidRPr="003A0123" w:rsidRDefault="00D11794" w:rsidP="003A0123">
      <w:pPr>
        <w:ind w:left="1134" w:right="1134"/>
        <w:rPr>
          <w:rFonts w:cs="Arial"/>
          <w:i/>
          <w:sz w:val="22"/>
          <w:szCs w:val="22"/>
        </w:rPr>
      </w:pPr>
      <w:r w:rsidRPr="003A0123">
        <w:rPr>
          <w:rFonts w:cs="Arial"/>
          <w:i/>
          <w:sz w:val="22"/>
          <w:szCs w:val="22"/>
        </w:rPr>
        <w:t xml:space="preserve">b) </w:t>
      </w:r>
      <w:r w:rsidRPr="003A0123">
        <w:rPr>
          <w:rFonts w:cs="Arial"/>
          <w:b/>
          <w:i/>
          <w:sz w:val="22"/>
          <w:szCs w:val="22"/>
        </w:rPr>
        <w:t>observar o princípio da isonomia</w:t>
      </w:r>
      <w:r w:rsidRPr="003A0123">
        <w:rPr>
          <w:rFonts w:cs="Arial"/>
          <w:i/>
          <w:sz w:val="22"/>
          <w:szCs w:val="22"/>
        </w:rPr>
        <w:t xml:space="preserve"> para todas as decisões que lhe forem facultados no PRODIST, </w:t>
      </w:r>
      <w:r w:rsidRPr="005F4EE6">
        <w:rPr>
          <w:rFonts w:cs="Arial"/>
          <w:b/>
          <w:i/>
          <w:sz w:val="22"/>
          <w:szCs w:val="22"/>
        </w:rPr>
        <w:t>adotando procedimento único para tod</w:t>
      </w:r>
      <w:r w:rsidR="005F4EE6" w:rsidRPr="005F4EE6">
        <w:rPr>
          <w:rFonts w:cs="Arial"/>
          <w:b/>
          <w:i/>
          <w:sz w:val="22"/>
          <w:szCs w:val="22"/>
        </w:rPr>
        <w:t>a a área de concessão outorgada</w:t>
      </w:r>
      <w:r w:rsidR="007E1B15">
        <w:rPr>
          <w:rFonts w:cs="Arial"/>
          <w:i/>
          <w:sz w:val="22"/>
          <w:szCs w:val="22"/>
        </w:rPr>
        <w:t>.</w:t>
      </w:r>
    </w:p>
    <w:p w:rsidR="00D11794" w:rsidRPr="003A0123" w:rsidRDefault="00D11794" w:rsidP="003A0123">
      <w:pPr>
        <w:ind w:left="1134" w:right="1134"/>
        <w:rPr>
          <w:rFonts w:cs="Arial"/>
          <w:i/>
          <w:sz w:val="22"/>
          <w:szCs w:val="22"/>
        </w:rPr>
      </w:pPr>
    </w:p>
    <w:p w:rsidR="00D11794" w:rsidRPr="003A0123" w:rsidRDefault="00D11794" w:rsidP="003A0123">
      <w:pPr>
        <w:ind w:left="1134" w:right="1134"/>
        <w:rPr>
          <w:rFonts w:eastAsia="Calibri" w:cs="Arial"/>
          <w:i/>
          <w:sz w:val="22"/>
          <w:szCs w:val="22"/>
        </w:rPr>
      </w:pPr>
      <w:r w:rsidRPr="003A0123">
        <w:rPr>
          <w:rFonts w:cs="Arial"/>
          <w:i/>
          <w:sz w:val="22"/>
          <w:szCs w:val="22"/>
        </w:rPr>
        <w:t xml:space="preserve">4.3 </w:t>
      </w:r>
      <w:r w:rsidRPr="005F4EE6">
        <w:rPr>
          <w:rFonts w:cs="Arial"/>
          <w:b/>
          <w:i/>
          <w:sz w:val="22"/>
          <w:szCs w:val="22"/>
        </w:rPr>
        <w:t>A distribuidora deve observar o princípio da isonomia em todas as de</w:t>
      </w:r>
      <w:r w:rsidR="005F4EE6" w:rsidRPr="005F4EE6">
        <w:rPr>
          <w:rFonts w:cs="Arial"/>
          <w:b/>
          <w:i/>
          <w:sz w:val="22"/>
          <w:szCs w:val="22"/>
        </w:rPr>
        <w:t>cisões que lhe forem facultadas</w:t>
      </w:r>
      <w:r w:rsidR="005F4EE6">
        <w:rPr>
          <w:rFonts w:cs="Arial"/>
          <w:i/>
          <w:sz w:val="22"/>
          <w:szCs w:val="22"/>
        </w:rPr>
        <w:t>”</w:t>
      </w:r>
      <w:r w:rsidR="005F4EE6">
        <w:rPr>
          <w:rFonts w:cs="Arial"/>
          <w:sz w:val="22"/>
          <w:szCs w:val="22"/>
        </w:rPr>
        <w:t xml:space="preserve"> (grifou-se).</w:t>
      </w:r>
    </w:p>
    <w:p w:rsidR="00D11794" w:rsidRDefault="00D11794" w:rsidP="005F4EE6">
      <w:pPr>
        <w:spacing w:line="360" w:lineRule="exact"/>
        <w:rPr>
          <w:rFonts w:eastAsia="Calibri"/>
        </w:rPr>
      </w:pPr>
    </w:p>
    <w:p w:rsidR="00A077C9" w:rsidRDefault="00D26C49" w:rsidP="00A077C9">
      <w:pPr>
        <w:spacing w:line="360" w:lineRule="exact"/>
        <w:rPr>
          <w:rFonts w:cs="Arial"/>
          <w:szCs w:val="24"/>
        </w:rPr>
      </w:pPr>
      <w:r>
        <w:rPr>
          <w:rFonts w:eastAsia="Calibri"/>
        </w:rPr>
        <w:t>Além do dever de isonomia (tratar igualm</w:t>
      </w:r>
      <w:r w:rsidR="00482607">
        <w:rPr>
          <w:rFonts w:eastAsia="Calibri"/>
        </w:rPr>
        <w:t>ente os iguais), a modificação de posicionamentos formais anteriores poderia, em tese, violar os mencionados</w:t>
      </w:r>
      <w:r w:rsidR="00D11794" w:rsidRPr="005F4EE6">
        <w:rPr>
          <w:rFonts w:cs="Arial"/>
          <w:szCs w:val="24"/>
        </w:rPr>
        <w:t xml:space="preserve"> princípios da segurança jurídica, da confiança legítima e da vedação ao comportamento contraditório.</w:t>
      </w:r>
    </w:p>
    <w:p w:rsidR="00A077C9" w:rsidRDefault="00A077C9" w:rsidP="00A077C9">
      <w:pPr>
        <w:spacing w:line="360" w:lineRule="exact"/>
        <w:rPr>
          <w:rFonts w:cs="Arial"/>
          <w:szCs w:val="24"/>
        </w:rPr>
      </w:pPr>
    </w:p>
    <w:p w:rsidR="00A077C9" w:rsidRDefault="00482607" w:rsidP="00A077C9">
      <w:pPr>
        <w:spacing w:line="360" w:lineRule="exact"/>
        <w:rPr>
          <w:rFonts w:cs="Arial"/>
          <w:szCs w:val="24"/>
        </w:rPr>
      </w:pPr>
      <w:r>
        <w:rPr>
          <w:rFonts w:cs="Arial"/>
          <w:szCs w:val="24"/>
        </w:rPr>
        <w:t>O</w:t>
      </w:r>
      <w:r w:rsidR="00D11794" w:rsidRPr="005F4EE6">
        <w:rPr>
          <w:rFonts w:cs="Arial"/>
          <w:szCs w:val="24"/>
        </w:rPr>
        <w:t xml:space="preserve"> artigo 2º da Lei de Processos Administrativos (Lei </w:t>
      </w:r>
      <w:r>
        <w:rPr>
          <w:rFonts w:cs="Arial"/>
          <w:szCs w:val="24"/>
        </w:rPr>
        <w:t xml:space="preserve">Federal </w:t>
      </w:r>
      <w:r w:rsidR="00D11794" w:rsidRPr="005F4EE6">
        <w:rPr>
          <w:rFonts w:cs="Arial"/>
          <w:szCs w:val="24"/>
        </w:rPr>
        <w:t xml:space="preserve">nº 9.784/99) dispõe que a </w:t>
      </w:r>
      <w:r w:rsidR="00D11794" w:rsidRPr="005F4EE6">
        <w:rPr>
          <w:rFonts w:cs="Arial"/>
          <w:i/>
          <w:szCs w:val="24"/>
        </w:rPr>
        <w:t>“</w:t>
      </w:r>
      <w:r w:rsidR="00D11794" w:rsidRPr="005F4EE6">
        <w:rPr>
          <w:rFonts w:cs="Arial"/>
          <w:b/>
          <w:i/>
          <w:szCs w:val="24"/>
        </w:rPr>
        <w:t>Administração Pública obedecerá</w:t>
      </w:r>
      <w:r w:rsidR="00D11794" w:rsidRPr="005F4EE6">
        <w:rPr>
          <w:rFonts w:cs="Arial"/>
          <w:i/>
          <w:szCs w:val="24"/>
        </w:rPr>
        <w:t xml:space="preserve">, dentre outros, aos princípios da legalidade, finalidade, motivação, razoabilidade, proporcionalidade, moralidade, ampla defesa, contraditório, </w:t>
      </w:r>
      <w:r w:rsidR="00D11794" w:rsidRPr="005F4EE6">
        <w:rPr>
          <w:rFonts w:cs="Arial"/>
          <w:b/>
          <w:i/>
          <w:szCs w:val="24"/>
        </w:rPr>
        <w:t>segurança jurídica</w:t>
      </w:r>
      <w:r w:rsidR="00D11794" w:rsidRPr="005F4EE6">
        <w:rPr>
          <w:rFonts w:cs="Arial"/>
          <w:i/>
          <w:szCs w:val="24"/>
        </w:rPr>
        <w:t xml:space="preserve">, interesse público e eficiência. Parágrafo único. Nos processos administrativos serão observados, entre outros, os critérios de: </w:t>
      </w:r>
      <w:r w:rsidR="00D11794" w:rsidRPr="005F4EE6">
        <w:rPr>
          <w:rFonts w:cs="Arial"/>
          <w:szCs w:val="24"/>
        </w:rPr>
        <w:t>(...)</w:t>
      </w:r>
      <w:r w:rsidR="00D11794" w:rsidRPr="005F4EE6">
        <w:rPr>
          <w:rFonts w:cs="Arial"/>
          <w:i/>
          <w:szCs w:val="24"/>
        </w:rPr>
        <w:t xml:space="preserve"> </w:t>
      </w:r>
      <w:r w:rsidR="00D11794" w:rsidRPr="005F4EE6">
        <w:rPr>
          <w:rFonts w:cs="Arial"/>
          <w:bCs/>
          <w:i/>
          <w:szCs w:val="24"/>
        </w:rPr>
        <w:t xml:space="preserve">XIII - interpretação da norma administrativa da forma que melhor garanta o atendimento do fim público a que se dirige, </w:t>
      </w:r>
      <w:r w:rsidR="00D11794" w:rsidRPr="005F4EE6">
        <w:rPr>
          <w:rFonts w:cs="Arial"/>
          <w:b/>
          <w:bCs/>
          <w:i/>
          <w:szCs w:val="24"/>
          <w:u w:val="single"/>
        </w:rPr>
        <w:t>vedada aplicação retroativa de nova interpretação</w:t>
      </w:r>
      <w:r w:rsidR="00D11794" w:rsidRPr="005F4EE6">
        <w:rPr>
          <w:rFonts w:cs="Arial"/>
          <w:i/>
          <w:szCs w:val="24"/>
        </w:rPr>
        <w:t xml:space="preserve">” </w:t>
      </w:r>
      <w:r w:rsidR="00D11794" w:rsidRPr="005F4EE6">
        <w:rPr>
          <w:rFonts w:cs="Arial"/>
          <w:szCs w:val="24"/>
        </w:rPr>
        <w:t>(grifou-se).</w:t>
      </w:r>
    </w:p>
    <w:p w:rsidR="00A077C9" w:rsidRDefault="00A077C9" w:rsidP="00A077C9">
      <w:pPr>
        <w:spacing w:line="360" w:lineRule="exact"/>
        <w:rPr>
          <w:rFonts w:cs="Arial"/>
          <w:szCs w:val="24"/>
        </w:rPr>
      </w:pPr>
    </w:p>
    <w:p w:rsidR="00A077C9" w:rsidRDefault="00D11794" w:rsidP="00A077C9">
      <w:pPr>
        <w:spacing w:line="360" w:lineRule="exact"/>
        <w:rPr>
          <w:rFonts w:cs="Arial"/>
          <w:szCs w:val="24"/>
        </w:rPr>
      </w:pPr>
      <w:r w:rsidRPr="005F4EE6">
        <w:rPr>
          <w:rFonts w:cs="Arial"/>
          <w:szCs w:val="24"/>
        </w:rPr>
        <w:t xml:space="preserve">Portanto, verifica-se que a legislação de regência consagra também </w:t>
      </w:r>
      <w:r w:rsidRPr="005F4EE6">
        <w:rPr>
          <w:rFonts w:cs="Arial"/>
          <w:b/>
          <w:szCs w:val="24"/>
        </w:rPr>
        <w:t>a impossibilidade de nova interpretação retroativa</w:t>
      </w:r>
      <w:r w:rsidRPr="005F4EE6">
        <w:rPr>
          <w:rFonts w:cs="Arial"/>
          <w:szCs w:val="24"/>
        </w:rPr>
        <w:t>, por parte da Administração.</w:t>
      </w:r>
    </w:p>
    <w:p w:rsidR="00A077C9" w:rsidRDefault="00A077C9" w:rsidP="00A077C9">
      <w:pPr>
        <w:spacing w:line="360" w:lineRule="exact"/>
        <w:rPr>
          <w:rFonts w:cs="Arial"/>
          <w:szCs w:val="24"/>
        </w:rPr>
      </w:pPr>
    </w:p>
    <w:p w:rsidR="00D11794" w:rsidRPr="00A077C9" w:rsidRDefault="00D11794" w:rsidP="00A077C9">
      <w:pPr>
        <w:spacing w:line="360" w:lineRule="exact"/>
        <w:rPr>
          <w:rFonts w:eastAsia="Calibri" w:cs="Arial"/>
        </w:rPr>
      </w:pPr>
      <w:r w:rsidRPr="005F4EE6">
        <w:rPr>
          <w:rFonts w:cs="Arial"/>
          <w:szCs w:val="24"/>
        </w:rPr>
        <w:t xml:space="preserve">Comentando o dispositivo em questão, </w:t>
      </w:r>
      <w:r w:rsidRPr="005F4EE6">
        <w:rPr>
          <w:rFonts w:cs="Arial"/>
          <w:smallCaps/>
          <w:szCs w:val="24"/>
        </w:rPr>
        <w:t xml:space="preserve">Luciano Ferraz </w:t>
      </w:r>
      <w:r w:rsidRPr="005F4EE6">
        <w:rPr>
          <w:rFonts w:cs="Arial"/>
          <w:szCs w:val="24"/>
        </w:rPr>
        <w:t>registra:</w:t>
      </w:r>
    </w:p>
    <w:p w:rsidR="00D11794" w:rsidRPr="005F4EE6" w:rsidRDefault="00D11794" w:rsidP="00D11794">
      <w:pPr>
        <w:pStyle w:val="PetioF9"/>
        <w:rPr>
          <w:rFonts w:cs="Arial"/>
          <w:szCs w:val="24"/>
        </w:rPr>
      </w:pPr>
    </w:p>
    <w:p w:rsidR="00D11794" w:rsidRPr="005F4EE6" w:rsidRDefault="00D11794" w:rsidP="00A077C9">
      <w:pPr>
        <w:pStyle w:val="Textodenotaderodap"/>
        <w:ind w:left="1134" w:right="1134"/>
        <w:rPr>
          <w:rFonts w:cs="Arial"/>
          <w:sz w:val="22"/>
          <w:szCs w:val="22"/>
        </w:rPr>
      </w:pPr>
      <w:r w:rsidRPr="005F4EE6">
        <w:rPr>
          <w:rFonts w:cs="Arial"/>
          <w:i/>
          <w:sz w:val="22"/>
          <w:szCs w:val="22"/>
        </w:rPr>
        <w:t xml:space="preserve">“A disposição constante do inciso XIII do parágrafo único do art. 2º da Lei nº 9.784/99 aproxima-se, em grande medida, da regra constitucional que veda a retroatividade da lei e cuja inspiração </w:t>
      </w:r>
      <w:r w:rsidRPr="005F4EE6">
        <w:rPr>
          <w:rFonts w:cs="Arial"/>
          <w:b/>
          <w:i/>
          <w:sz w:val="22"/>
          <w:szCs w:val="22"/>
        </w:rPr>
        <w:t>advém do aspecto objetivo do principio da segurança jurídica</w:t>
      </w:r>
      <w:r w:rsidRPr="005F4EE6">
        <w:rPr>
          <w:rFonts w:cs="Arial"/>
          <w:i/>
          <w:sz w:val="22"/>
          <w:szCs w:val="22"/>
        </w:rPr>
        <w:t xml:space="preserve">. </w:t>
      </w:r>
      <w:r w:rsidRPr="005F4EE6">
        <w:rPr>
          <w:rFonts w:cs="Arial"/>
          <w:sz w:val="22"/>
          <w:szCs w:val="22"/>
        </w:rPr>
        <w:t>(...)</w:t>
      </w:r>
      <w:r w:rsidRPr="005F4EE6">
        <w:rPr>
          <w:rFonts w:cs="Arial"/>
          <w:b/>
          <w:i/>
          <w:sz w:val="22"/>
          <w:szCs w:val="22"/>
        </w:rPr>
        <w:t xml:space="preserve"> </w:t>
      </w:r>
      <w:r w:rsidRPr="005F4EE6">
        <w:rPr>
          <w:rFonts w:cs="Arial"/>
          <w:i/>
          <w:sz w:val="22"/>
          <w:szCs w:val="22"/>
        </w:rPr>
        <w:t>não é exagerado afirmar que interpretar uma norma é praticamente a determinação do seu sentido;</w:t>
      </w:r>
      <w:r w:rsidRPr="005F4EE6">
        <w:rPr>
          <w:rFonts w:cs="Arial"/>
          <w:b/>
          <w:i/>
          <w:sz w:val="22"/>
          <w:szCs w:val="22"/>
        </w:rPr>
        <w:t xml:space="preserve"> interpretá-la novamente, noutro giro, não deixa de ser medida equivalente à edição de norma nova, cuja </w:t>
      </w:r>
      <w:r w:rsidRPr="005F4EE6">
        <w:rPr>
          <w:rFonts w:cs="Arial"/>
          <w:b/>
          <w:i/>
          <w:sz w:val="22"/>
          <w:szCs w:val="22"/>
        </w:rPr>
        <w:lastRenderedPageBreak/>
        <w:t>aplicação, em respeito ao aspecto objetivo da segurança jurídica, deve se projetar para o futuro e não retroagir ao momento da edição da norma interpretada</w:t>
      </w:r>
      <w:r w:rsidRPr="005F4EE6">
        <w:rPr>
          <w:rFonts w:cs="Arial"/>
          <w:i/>
          <w:sz w:val="22"/>
          <w:szCs w:val="22"/>
        </w:rPr>
        <w:t>”</w:t>
      </w:r>
      <w:r w:rsidRPr="005F4EE6">
        <w:rPr>
          <w:rStyle w:val="Refdenotaderodap"/>
          <w:rFonts w:cs="Arial"/>
          <w:sz w:val="22"/>
          <w:szCs w:val="22"/>
        </w:rPr>
        <w:footnoteReference w:id="13"/>
      </w:r>
      <w:r w:rsidRPr="005F4EE6">
        <w:rPr>
          <w:rFonts w:cs="Arial"/>
          <w:i/>
          <w:sz w:val="22"/>
          <w:szCs w:val="22"/>
        </w:rPr>
        <w:t xml:space="preserve"> </w:t>
      </w:r>
      <w:r w:rsidRPr="005F4EE6">
        <w:rPr>
          <w:rFonts w:cs="Arial"/>
          <w:sz w:val="22"/>
          <w:szCs w:val="22"/>
        </w:rPr>
        <w:t>(grifou-se).</w:t>
      </w:r>
    </w:p>
    <w:p w:rsidR="00D11794" w:rsidRPr="005F4EE6" w:rsidRDefault="00D11794" w:rsidP="00422A96">
      <w:pPr>
        <w:pStyle w:val="PetioF9"/>
        <w:spacing w:line="360" w:lineRule="exact"/>
        <w:rPr>
          <w:rFonts w:cs="Arial"/>
          <w:szCs w:val="24"/>
        </w:rPr>
      </w:pPr>
    </w:p>
    <w:p w:rsidR="00D11794" w:rsidRPr="005F4EE6" w:rsidRDefault="00422A96" w:rsidP="00422A96">
      <w:pPr>
        <w:pStyle w:val="PetioF9"/>
        <w:spacing w:line="360" w:lineRule="exact"/>
        <w:ind w:firstLine="0"/>
        <w:rPr>
          <w:rFonts w:cs="Arial"/>
          <w:szCs w:val="24"/>
        </w:rPr>
      </w:pPr>
      <w:r>
        <w:rPr>
          <w:rFonts w:cs="Arial"/>
          <w:szCs w:val="24"/>
        </w:rPr>
        <w:t>E c</w:t>
      </w:r>
      <w:r w:rsidR="00D11794" w:rsidRPr="005F4EE6">
        <w:rPr>
          <w:rFonts w:cs="Arial"/>
          <w:szCs w:val="24"/>
        </w:rPr>
        <w:t xml:space="preserve">omo bem apontam </w:t>
      </w:r>
      <w:r w:rsidR="00D11794" w:rsidRPr="005F4EE6">
        <w:rPr>
          <w:rFonts w:cs="Arial"/>
          <w:smallCaps/>
          <w:szCs w:val="24"/>
        </w:rPr>
        <w:t xml:space="preserve">Adilson de Abreu Dallari </w:t>
      </w:r>
      <w:r w:rsidR="00D11794" w:rsidRPr="005F4EE6">
        <w:rPr>
          <w:rFonts w:cs="Arial"/>
          <w:szCs w:val="24"/>
        </w:rPr>
        <w:t xml:space="preserve">e </w:t>
      </w:r>
      <w:r w:rsidR="00D11794" w:rsidRPr="005F4EE6">
        <w:rPr>
          <w:rFonts w:cs="Arial"/>
          <w:smallCaps/>
          <w:szCs w:val="24"/>
        </w:rPr>
        <w:t>Sérgio Ferraz</w:t>
      </w:r>
      <w:r w:rsidR="00D11794" w:rsidRPr="005F4EE6">
        <w:rPr>
          <w:rFonts w:cs="Arial"/>
          <w:szCs w:val="24"/>
        </w:rPr>
        <w:t>:</w:t>
      </w:r>
    </w:p>
    <w:p w:rsidR="00D11794" w:rsidRPr="005F4EE6" w:rsidRDefault="00D11794" w:rsidP="004D18A1">
      <w:pPr>
        <w:tabs>
          <w:tab w:val="clear" w:pos="8505"/>
        </w:tabs>
        <w:spacing w:line="360" w:lineRule="exact"/>
        <w:ind w:right="1083"/>
        <w:rPr>
          <w:rFonts w:cs="Arial"/>
          <w:szCs w:val="24"/>
        </w:rPr>
      </w:pPr>
    </w:p>
    <w:p w:rsidR="00D11794" w:rsidRPr="005F4EE6" w:rsidRDefault="00D11794" w:rsidP="00422A96">
      <w:pPr>
        <w:tabs>
          <w:tab w:val="clear" w:pos="8505"/>
        </w:tabs>
        <w:ind w:left="1134" w:right="1134"/>
        <w:rPr>
          <w:rFonts w:cs="Arial"/>
          <w:sz w:val="22"/>
          <w:szCs w:val="22"/>
        </w:rPr>
      </w:pPr>
      <w:r w:rsidRPr="005F4EE6">
        <w:rPr>
          <w:rFonts w:cs="Arial"/>
          <w:i/>
          <w:sz w:val="22"/>
          <w:szCs w:val="22"/>
        </w:rPr>
        <w:t>“</w:t>
      </w:r>
      <w:r w:rsidRPr="005F4EE6">
        <w:rPr>
          <w:rFonts w:cs="Arial"/>
          <w:b/>
          <w:i/>
          <w:sz w:val="22"/>
          <w:szCs w:val="22"/>
          <w:u w:val="single"/>
        </w:rPr>
        <w:t>A Administração não pode ser volúvel, errática em suas opiniões</w:t>
      </w:r>
      <w:r w:rsidRPr="005F4EE6">
        <w:rPr>
          <w:rFonts w:cs="Arial"/>
          <w:i/>
          <w:sz w:val="22"/>
          <w:szCs w:val="22"/>
        </w:rPr>
        <w:t xml:space="preserve">. </w:t>
      </w:r>
      <w:r w:rsidRPr="005F4EE6">
        <w:rPr>
          <w:rFonts w:cs="Arial"/>
          <w:sz w:val="22"/>
          <w:szCs w:val="22"/>
        </w:rPr>
        <w:t xml:space="preserve">La donna è mobile </w:t>
      </w:r>
      <w:r w:rsidRPr="005F4EE6">
        <w:rPr>
          <w:rFonts w:cs="Arial"/>
          <w:i/>
          <w:sz w:val="22"/>
          <w:szCs w:val="22"/>
        </w:rPr>
        <w:t xml:space="preserve">– canta a ópera; </w:t>
      </w:r>
      <w:r w:rsidRPr="005F4EE6">
        <w:rPr>
          <w:rFonts w:cs="Arial"/>
          <w:b/>
          <w:i/>
          <w:sz w:val="22"/>
          <w:szCs w:val="22"/>
          <w:u w:val="single"/>
        </w:rPr>
        <w:t>à Administração não se confere, porém, o atributo da leviandade</w:t>
      </w:r>
      <w:r w:rsidRPr="005F4EE6">
        <w:rPr>
          <w:rFonts w:cs="Arial"/>
          <w:i/>
          <w:sz w:val="22"/>
          <w:szCs w:val="22"/>
        </w:rPr>
        <w:t>”</w:t>
      </w:r>
      <w:r w:rsidRPr="005F4EE6">
        <w:rPr>
          <w:rStyle w:val="Refdenotaderodap"/>
          <w:rFonts w:cs="Arial"/>
          <w:sz w:val="22"/>
          <w:szCs w:val="22"/>
        </w:rPr>
        <w:footnoteReference w:id="14"/>
      </w:r>
      <w:r w:rsidRPr="005F4EE6">
        <w:rPr>
          <w:rFonts w:cs="Arial"/>
          <w:sz w:val="22"/>
          <w:szCs w:val="22"/>
        </w:rPr>
        <w:t xml:space="preserve"> (grifou-se).</w:t>
      </w:r>
    </w:p>
    <w:p w:rsidR="00D11794" w:rsidRPr="005F4EE6" w:rsidRDefault="00D11794" w:rsidP="004D18A1">
      <w:pPr>
        <w:pStyle w:val="PetioF9"/>
        <w:spacing w:line="360" w:lineRule="exact"/>
        <w:rPr>
          <w:rFonts w:cs="Arial"/>
          <w:szCs w:val="24"/>
        </w:rPr>
      </w:pPr>
    </w:p>
    <w:p w:rsidR="00D11794" w:rsidRPr="005F4EE6" w:rsidRDefault="004F7C45" w:rsidP="004D18A1">
      <w:pPr>
        <w:pStyle w:val="PetioF9"/>
        <w:spacing w:line="360" w:lineRule="exact"/>
        <w:ind w:firstLine="0"/>
        <w:rPr>
          <w:rFonts w:cs="Arial"/>
          <w:szCs w:val="24"/>
        </w:rPr>
      </w:pPr>
      <w:r>
        <w:rPr>
          <w:rFonts w:cs="Arial"/>
          <w:szCs w:val="24"/>
        </w:rPr>
        <w:t>Em resumo, à Administração é vedado gerar</w:t>
      </w:r>
      <w:r w:rsidR="00D11794" w:rsidRPr="005F4EE6">
        <w:rPr>
          <w:rFonts w:cs="Arial"/>
          <w:szCs w:val="24"/>
        </w:rPr>
        <w:t xml:space="preserve"> insegurança jurídica e </w:t>
      </w:r>
      <w:r>
        <w:rPr>
          <w:rFonts w:cs="Arial"/>
          <w:szCs w:val="24"/>
        </w:rPr>
        <w:t xml:space="preserve">praticar atos que impliquem a </w:t>
      </w:r>
      <w:r w:rsidR="00D11794" w:rsidRPr="005F4EE6">
        <w:rPr>
          <w:rFonts w:cs="Arial"/>
          <w:szCs w:val="24"/>
        </w:rPr>
        <w:t>quebra da expectativa legítima a que fazem jus seus administrados.</w:t>
      </w:r>
    </w:p>
    <w:p w:rsidR="00D11794" w:rsidRDefault="00D11794" w:rsidP="004D18A1">
      <w:pPr>
        <w:pStyle w:val="PetioF9"/>
        <w:spacing w:line="360" w:lineRule="exact"/>
        <w:ind w:firstLine="0"/>
        <w:rPr>
          <w:rFonts w:cs="Arial"/>
          <w:szCs w:val="24"/>
        </w:rPr>
      </w:pPr>
    </w:p>
    <w:p w:rsidR="00D11794" w:rsidRDefault="004F7C45" w:rsidP="004F7C45">
      <w:pPr>
        <w:pStyle w:val="PetioF9"/>
        <w:spacing w:line="360" w:lineRule="exact"/>
        <w:ind w:firstLine="0"/>
        <w:rPr>
          <w:rFonts w:cs="Arial"/>
          <w:szCs w:val="24"/>
        </w:rPr>
      </w:pPr>
      <w:r>
        <w:rPr>
          <w:rFonts w:cs="Arial"/>
          <w:szCs w:val="24"/>
        </w:rPr>
        <w:t xml:space="preserve">Neste caso específico, poderia ser alegado que os incorporadores </w:t>
      </w:r>
      <w:r w:rsidR="003C5E69">
        <w:rPr>
          <w:rFonts w:cs="Arial"/>
          <w:szCs w:val="24"/>
        </w:rPr>
        <w:t>tinham direito</w:t>
      </w:r>
      <w:r>
        <w:rPr>
          <w:rFonts w:cs="Arial"/>
          <w:szCs w:val="24"/>
        </w:rPr>
        <w:t xml:space="preserve"> a uma expectativa legítima quanto ao fornecimento de energia nas condições (e tensões) antes praticadas. E, como ressalta</w:t>
      </w:r>
      <w:r w:rsidR="00D11794" w:rsidRPr="005F4EE6">
        <w:rPr>
          <w:rFonts w:cs="Arial"/>
          <w:szCs w:val="24"/>
        </w:rPr>
        <w:t xml:space="preserve"> J</w:t>
      </w:r>
      <w:r w:rsidR="00D11794" w:rsidRPr="005F4EE6">
        <w:rPr>
          <w:rFonts w:cs="Arial"/>
          <w:smallCaps/>
          <w:szCs w:val="24"/>
        </w:rPr>
        <w:t>udith Martins-Costa</w:t>
      </w:r>
      <w:r>
        <w:rPr>
          <w:rFonts w:cs="Arial"/>
          <w:szCs w:val="24"/>
        </w:rPr>
        <w:t xml:space="preserve">, </w:t>
      </w:r>
      <w:r w:rsidR="00D11794" w:rsidRPr="005F4EE6">
        <w:rPr>
          <w:rStyle w:val="textochar"/>
          <w:rFonts w:cs="Arial"/>
          <w:i/>
          <w:szCs w:val="24"/>
        </w:rPr>
        <w:t>“</w:t>
      </w:r>
      <w:r w:rsidR="00D11794" w:rsidRPr="005F4EE6">
        <w:rPr>
          <w:rFonts w:cs="Arial"/>
          <w:i/>
          <w:szCs w:val="24"/>
        </w:rPr>
        <w:t>no direito público se amalgamam (ora sob a denominação ‘boa-fé’, ora sob o nome ‘confiança’) os deveres positivos de lealdade e honestidade e os deveres negativos de não frustrar (ou de não suscitar levianamente) as legítimas expectativas do administrado”</w:t>
      </w:r>
      <w:r w:rsidR="00D11794" w:rsidRPr="005F4EE6">
        <w:rPr>
          <w:rStyle w:val="Refdenotaderodap"/>
          <w:rFonts w:cs="Arial"/>
          <w:szCs w:val="24"/>
        </w:rPr>
        <w:footnoteReference w:id="15"/>
      </w:r>
      <w:r w:rsidR="00D11794" w:rsidRPr="005F4EE6">
        <w:rPr>
          <w:rFonts w:cs="Arial"/>
          <w:szCs w:val="24"/>
        </w:rPr>
        <w:t>.</w:t>
      </w:r>
    </w:p>
    <w:p w:rsidR="004F7C45" w:rsidRDefault="004F7C45" w:rsidP="004F7C45">
      <w:pPr>
        <w:pStyle w:val="PetioF9"/>
        <w:spacing w:line="360" w:lineRule="exact"/>
        <w:ind w:firstLine="0"/>
        <w:rPr>
          <w:rFonts w:cs="Arial"/>
          <w:szCs w:val="24"/>
        </w:rPr>
      </w:pPr>
    </w:p>
    <w:p w:rsidR="004F7C45" w:rsidRDefault="004F7C45" w:rsidP="004F7C45">
      <w:pPr>
        <w:pStyle w:val="PetioF9"/>
        <w:spacing w:line="360" w:lineRule="exact"/>
        <w:ind w:firstLine="0"/>
        <w:rPr>
          <w:rFonts w:cs="Arial"/>
          <w:szCs w:val="24"/>
        </w:rPr>
      </w:pPr>
      <w:r>
        <w:rPr>
          <w:rFonts w:cs="Arial"/>
          <w:szCs w:val="24"/>
        </w:rPr>
        <w:t xml:space="preserve">No entanto, </w:t>
      </w:r>
      <w:r w:rsidRPr="008010FC">
        <w:rPr>
          <w:rFonts w:cs="Arial"/>
          <w:b/>
          <w:szCs w:val="24"/>
          <w:u w:val="single"/>
        </w:rPr>
        <w:t xml:space="preserve">neste caso prático, SMJ, não </w:t>
      </w:r>
      <w:r w:rsidR="009A379A" w:rsidRPr="008010FC">
        <w:rPr>
          <w:rFonts w:cs="Arial"/>
          <w:b/>
          <w:szCs w:val="24"/>
          <w:u w:val="single"/>
        </w:rPr>
        <w:t xml:space="preserve">haveria fundamento sólido e eficaz para se </w:t>
      </w:r>
      <w:r w:rsidR="00FC5E40" w:rsidRPr="008010FC">
        <w:rPr>
          <w:rFonts w:cs="Arial"/>
          <w:b/>
          <w:szCs w:val="24"/>
          <w:u w:val="single"/>
        </w:rPr>
        <w:t>invocar eventual violação dos princípios acima mencionados</w:t>
      </w:r>
      <w:r w:rsidR="00FC5E40">
        <w:rPr>
          <w:rFonts w:cs="Arial"/>
          <w:szCs w:val="24"/>
        </w:rPr>
        <w:t>.</w:t>
      </w:r>
    </w:p>
    <w:p w:rsidR="00FC5E40" w:rsidRDefault="00FC5E40" w:rsidP="004F7C45">
      <w:pPr>
        <w:pStyle w:val="PetioF9"/>
        <w:spacing w:line="360" w:lineRule="exact"/>
        <w:ind w:firstLine="0"/>
        <w:rPr>
          <w:rFonts w:cs="Arial"/>
          <w:szCs w:val="24"/>
        </w:rPr>
      </w:pPr>
    </w:p>
    <w:p w:rsidR="008010FC" w:rsidRDefault="00FC5E40" w:rsidP="004F7C45">
      <w:pPr>
        <w:pStyle w:val="PetioF9"/>
        <w:spacing w:line="360" w:lineRule="exact"/>
        <w:ind w:firstLine="0"/>
        <w:rPr>
          <w:rFonts w:cs="Arial"/>
          <w:szCs w:val="24"/>
        </w:rPr>
      </w:pPr>
      <w:r>
        <w:rPr>
          <w:rFonts w:cs="Arial"/>
          <w:szCs w:val="24"/>
        </w:rPr>
        <w:t xml:space="preserve">E isso porque, aparentemente, a </w:t>
      </w:r>
      <w:r>
        <w:rPr>
          <w:rFonts w:cs="Arial"/>
          <w:smallCaps/>
          <w:szCs w:val="24"/>
        </w:rPr>
        <w:t xml:space="preserve">Eletropaulo </w:t>
      </w:r>
      <w:r w:rsidRPr="008010FC">
        <w:rPr>
          <w:rFonts w:cs="Arial"/>
          <w:b/>
          <w:szCs w:val="24"/>
        </w:rPr>
        <w:t>não modificou sua interpretação ou passou a agir de maneira contraditória e anti-isonômica</w:t>
      </w:r>
      <w:r w:rsidR="008010FC">
        <w:rPr>
          <w:rFonts w:cs="Arial"/>
          <w:szCs w:val="24"/>
        </w:rPr>
        <w:t>.</w:t>
      </w:r>
    </w:p>
    <w:p w:rsidR="008010FC" w:rsidRDefault="008010FC" w:rsidP="004F7C45">
      <w:pPr>
        <w:pStyle w:val="PetioF9"/>
        <w:spacing w:line="360" w:lineRule="exact"/>
        <w:ind w:firstLine="0"/>
        <w:rPr>
          <w:rFonts w:cs="Arial"/>
          <w:szCs w:val="24"/>
        </w:rPr>
      </w:pPr>
    </w:p>
    <w:p w:rsidR="00FC5E40" w:rsidRDefault="008010FC" w:rsidP="004F7C45">
      <w:pPr>
        <w:pStyle w:val="PetioF9"/>
        <w:spacing w:line="360" w:lineRule="exact"/>
        <w:ind w:firstLine="0"/>
        <w:rPr>
          <w:rFonts w:cs="Arial"/>
          <w:szCs w:val="24"/>
        </w:rPr>
      </w:pPr>
      <w:r>
        <w:rPr>
          <w:rFonts w:cs="Arial"/>
          <w:szCs w:val="24"/>
        </w:rPr>
        <w:t>De fato, não se pode esquecer que</w:t>
      </w:r>
      <w:r w:rsidR="008A3D06">
        <w:rPr>
          <w:rFonts w:cs="Arial"/>
          <w:szCs w:val="24"/>
        </w:rPr>
        <w:t xml:space="preserve"> a prática pretérita configurava </w:t>
      </w:r>
      <w:r>
        <w:rPr>
          <w:rFonts w:cs="Arial"/>
          <w:szCs w:val="24"/>
        </w:rPr>
        <w:t xml:space="preserve">apenas </w:t>
      </w:r>
      <w:r w:rsidR="008A3D06">
        <w:rPr>
          <w:rFonts w:cs="Arial"/>
          <w:szCs w:val="24"/>
        </w:rPr>
        <w:t xml:space="preserve">a aplicação normatizada de exceções à regra geral, </w:t>
      </w:r>
      <w:r w:rsidR="008A3D06">
        <w:rPr>
          <w:rFonts w:cs="Arial"/>
          <w:b/>
          <w:szCs w:val="24"/>
        </w:rPr>
        <w:t>condicionada à viabilidade técnica</w:t>
      </w:r>
      <w:r w:rsidR="008A3D06">
        <w:rPr>
          <w:rFonts w:cs="Arial"/>
          <w:szCs w:val="24"/>
        </w:rPr>
        <w:t>.</w:t>
      </w:r>
    </w:p>
    <w:p w:rsidR="008A3D06" w:rsidRDefault="008A3D06" w:rsidP="004F7C45">
      <w:pPr>
        <w:pStyle w:val="PetioF9"/>
        <w:spacing w:line="360" w:lineRule="exact"/>
        <w:ind w:firstLine="0"/>
        <w:rPr>
          <w:rFonts w:cs="Arial"/>
          <w:szCs w:val="24"/>
        </w:rPr>
      </w:pPr>
    </w:p>
    <w:p w:rsidR="008A3D06" w:rsidRDefault="008A3D06" w:rsidP="004F7C45">
      <w:pPr>
        <w:pStyle w:val="PetioF9"/>
        <w:spacing w:line="360" w:lineRule="exact"/>
        <w:ind w:firstLine="0"/>
        <w:rPr>
          <w:rFonts w:cs="Arial"/>
          <w:szCs w:val="24"/>
        </w:rPr>
      </w:pPr>
      <w:r>
        <w:rPr>
          <w:rFonts w:cs="Arial"/>
          <w:szCs w:val="24"/>
        </w:rPr>
        <w:lastRenderedPageBreak/>
        <w:t>Vale dizer: na verdade, não foi o posicionamento da Concessionária que se alterou, mas</w:t>
      </w:r>
      <w:r w:rsidR="009F4D3B">
        <w:rPr>
          <w:rFonts w:cs="Arial"/>
          <w:szCs w:val="24"/>
        </w:rPr>
        <w:t>, supostamente,</w:t>
      </w:r>
      <w:r>
        <w:rPr>
          <w:rFonts w:cs="Arial"/>
          <w:szCs w:val="24"/>
        </w:rPr>
        <w:t xml:space="preserve"> apenas as condições técnicas do subsistema elétrico da região metropolitana de São Paulo.</w:t>
      </w:r>
      <w:r w:rsidR="00427618">
        <w:rPr>
          <w:rFonts w:cs="Arial"/>
          <w:szCs w:val="24"/>
        </w:rPr>
        <w:t xml:space="preserve"> Assim, é </w:t>
      </w:r>
      <w:r w:rsidR="00427618" w:rsidRPr="009F4D3B">
        <w:rPr>
          <w:rFonts w:cs="Arial"/>
          <w:b/>
          <w:szCs w:val="24"/>
        </w:rPr>
        <w:t>essa circunstância peculiar – estabelecida na própria regulação</w:t>
      </w:r>
      <w:r w:rsidR="00427618">
        <w:rPr>
          <w:rFonts w:cs="Arial"/>
          <w:szCs w:val="24"/>
        </w:rPr>
        <w:t xml:space="preserve"> – que impede a continuidade da aplicação de uma exceção.</w:t>
      </w:r>
    </w:p>
    <w:p w:rsidR="00427618" w:rsidRDefault="00427618" w:rsidP="004F7C45">
      <w:pPr>
        <w:pStyle w:val="PetioF9"/>
        <w:spacing w:line="360" w:lineRule="exact"/>
        <w:ind w:firstLine="0"/>
        <w:rPr>
          <w:rFonts w:cs="Arial"/>
          <w:szCs w:val="24"/>
        </w:rPr>
      </w:pPr>
    </w:p>
    <w:p w:rsidR="00427618" w:rsidRDefault="009F4D3B" w:rsidP="004F7C45">
      <w:pPr>
        <w:pStyle w:val="PetioF9"/>
        <w:spacing w:line="360" w:lineRule="exact"/>
        <w:ind w:firstLine="0"/>
        <w:rPr>
          <w:rFonts w:cs="Arial"/>
          <w:szCs w:val="24"/>
        </w:rPr>
      </w:pPr>
      <w:r>
        <w:rPr>
          <w:rFonts w:cs="Arial"/>
          <w:szCs w:val="24"/>
        </w:rPr>
        <w:t>Portanto</w:t>
      </w:r>
      <w:r w:rsidR="00427618">
        <w:rPr>
          <w:rFonts w:cs="Arial"/>
          <w:szCs w:val="24"/>
        </w:rPr>
        <w:t>, se não houve modificação da regra</w:t>
      </w:r>
      <w:r>
        <w:rPr>
          <w:rFonts w:cs="Arial"/>
          <w:szCs w:val="24"/>
        </w:rPr>
        <w:t xml:space="preserve"> – ou mesmo de interpretações –</w:t>
      </w:r>
      <w:r w:rsidR="00427618">
        <w:rPr>
          <w:rFonts w:cs="Arial"/>
          <w:szCs w:val="24"/>
        </w:rPr>
        <w:t>, mas apenas das condições técnicas</w:t>
      </w:r>
      <w:r w:rsidR="0006347B">
        <w:rPr>
          <w:rFonts w:cs="Arial"/>
          <w:szCs w:val="24"/>
        </w:rPr>
        <w:t xml:space="preserve"> incidentes</w:t>
      </w:r>
      <w:r w:rsidR="00427618">
        <w:rPr>
          <w:rFonts w:cs="Arial"/>
          <w:szCs w:val="24"/>
        </w:rPr>
        <w:t>, entendemos que</w:t>
      </w:r>
      <w:r>
        <w:rPr>
          <w:rFonts w:cs="Arial"/>
          <w:szCs w:val="24"/>
        </w:rPr>
        <w:t>,</w:t>
      </w:r>
      <w:r w:rsidR="00427618">
        <w:rPr>
          <w:rFonts w:cs="Arial"/>
          <w:szCs w:val="24"/>
        </w:rPr>
        <w:t xml:space="preserve"> SMJ, não seria viável invocar a violação dos princípios da isonomia, segurança jurídica,</w:t>
      </w:r>
      <w:r w:rsidR="0006347B">
        <w:rPr>
          <w:rFonts w:cs="Arial"/>
          <w:szCs w:val="24"/>
        </w:rPr>
        <w:t xml:space="preserve"> irretroatividade e vedação ao posicionamento contraditório,</w:t>
      </w:r>
      <w:r w:rsidR="00427618">
        <w:rPr>
          <w:rFonts w:cs="Arial"/>
          <w:szCs w:val="24"/>
        </w:rPr>
        <w:t xml:space="preserve"> em suporte aos direitos buscados pela ABRAINC.</w:t>
      </w:r>
    </w:p>
    <w:p w:rsidR="0006347B" w:rsidRDefault="0006347B" w:rsidP="004F7C45">
      <w:pPr>
        <w:pStyle w:val="PetioF9"/>
        <w:spacing w:line="360" w:lineRule="exact"/>
        <w:ind w:firstLine="0"/>
        <w:rPr>
          <w:rFonts w:cs="Arial"/>
          <w:szCs w:val="24"/>
        </w:rPr>
      </w:pPr>
    </w:p>
    <w:p w:rsidR="0006347B" w:rsidRDefault="0006347B" w:rsidP="004F7C45">
      <w:pPr>
        <w:pStyle w:val="PetioF9"/>
        <w:spacing w:line="360" w:lineRule="exact"/>
        <w:ind w:firstLine="0"/>
        <w:rPr>
          <w:rFonts w:cs="Arial"/>
          <w:szCs w:val="24"/>
        </w:rPr>
      </w:pPr>
    </w:p>
    <w:p w:rsidR="0006347B" w:rsidRPr="00D274C3" w:rsidRDefault="0006347B" w:rsidP="0006347B">
      <w:pPr>
        <w:pStyle w:val="Default"/>
        <w:spacing w:line="360" w:lineRule="exact"/>
        <w:jc w:val="both"/>
        <w:rPr>
          <w:b/>
          <w:color w:val="auto"/>
        </w:rPr>
      </w:pPr>
      <w:r>
        <w:rPr>
          <w:b/>
          <w:color w:val="auto"/>
        </w:rPr>
        <w:t>II.3. Questionamento à suposta inviabilidade técnica</w:t>
      </w:r>
    </w:p>
    <w:p w:rsidR="0006347B" w:rsidRDefault="0006347B" w:rsidP="004F7C45">
      <w:pPr>
        <w:pStyle w:val="PetioF9"/>
        <w:spacing w:line="360" w:lineRule="exact"/>
        <w:ind w:firstLine="0"/>
        <w:rPr>
          <w:rFonts w:cs="Arial"/>
          <w:szCs w:val="24"/>
        </w:rPr>
      </w:pPr>
    </w:p>
    <w:p w:rsidR="008D556C" w:rsidRDefault="008D556C" w:rsidP="004F7C45">
      <w:pPr>
        <w:pStyle w:val="PetioF9"/>
        <w:spacing w:line="360" w:lineRule="exact"/>
        <w:ind w:firstLine="0"/>
        <w:rPr>
          <w:rFonts w:cs="Arial"/>
          <w:szCs w:val="24"/>
        </w:rPr>
      </w:pPr>
      <w:r>
        <w:rPr>
          <w:rFonts w:cs="Arial"/>
          <w:szCs w:val="24"/>
        </w:rPr>
        <w:t xml:space="preserve">Na sequência, é importante também aventar a possibilidade de que sejam questionadas </w:t>
      </w:r>
      <w:r w:rsidR="00D46371">
        <w:rPr>
          <w:rFonts w:cs="Arial"/>
          <w:szCs w:val="24"/>
        </w:rPr>
        <w:t>as mencionadas alegações de inviabilidade técnica de atendimento dos empreendimentos em tensão diferenciada, diante do esgotamento da capacidade dos subsistemas elétricos da região metropolitana de São Paulo.</w:t>
      </w:r>
    </w:p>
    <w:p w:rsidR="00D46371" w:rsidRDefault="00D46371" w:rsidP="004F7C45">
      <w:pPr>
        <w:pStyle w:val="PetioF9"/>
        <w:spacing w:line="360" w:lineRule="exact"/>
        <w:ind w:firstLine="0"/>
        <w:rPr>
          <w:rFonts w:cs="Arial"/>
          <w:szCs w:val="24"/>
        </w:rPr>
      </w:pPr>
    </w:p>
    <w:p w:rsidR="00D46371" w:rsidRPr="005825FD" w:rsidRDefault="00D46371" w:rsidP="004F7C45">
      <w:pPr>
        <w:pStyle w:val="PetioF9"/>
        <w:spacing w:line="360" w:lineRule="exact"/>
        <w:ind w:firstLine="0"/>
        <w:rPr>
          <w:rFonts w:cs="Arial"/>
          <w:szCs w:val="24"/>
        </w:rPr>
      </w:pPr>
      <w:r>
        <w:rPr>
          <w:rFonts w:cs="Arial"/>
          <w:szCs w:val="24"/>
        </w:rPr>
        <w:t>Como analisado,</w:t>
      </w:r>
      <w:r w:rsidR="005825FD">
        <w:rPr>
          <w:rFonts w:cs="Arial"/>
          <w:szCs w:val="24"/>
        </w:rPr>
        <w:t xml:space="preserve"> nos termos do que permitia a regulação,</w:t>
      </w:r>
      <w:r>
        <w:rPr>
          <w:rFonts w:cs="Arial"/>
          <w:szCs w:val="24"/>
        </w:rPr>
        <w:t xml:space="preserve"> </w:t>
      </w:r>
      <w:r w:rsidR="005825FD">
        <w:rPr>
          <w:rFonts w:cs="Arial"/>
          <w:szCs w:val="24"/>
        </w:rPr>
        <w:t xml:space="preserve">a </w:t>
      </w:r>
      <w:r w:rsidR="005825FD">
        <w:rPr>
          <w:rFonts w:cs="Arial"/>
          <w:smallCaps/>
          <w:szCs w:val="24"/>
        </w:rPr>
        <w:t>Eletropaulo</w:t>
      </w:r>
      <w:r w:rsidR="005825FD">
        <w:rPr>
          <w:rFonts w:cs="Arial"/>
          <w:szCs w:val="24"/>
        </w:rPr>
        <w:t xml:space="preserve"> vinha atendendo norm</w:t>
      </w:r>
      <w:r w:rsidR="008663E8">
        <w:rPr>
          <w:rFonts w:cs="Arial"/>
          <w:szCs w:val="24"/>
        </w:rPr>
        <w:t>almente os empreendimentos co</w:t>
      </w:r>
      <w:r w:rsidR="00097E7B">
        <w:rPr>
          <w:rFonts w:cs="Arial"/>
          <w:szCs w:val="24"/>
        </w:rPr>
        <w:t xml:space="preserve">merciais em tensão diferenciada, mas hoje alega a impossibilidade de continuar a fazê-lo, com base na inviabilidade de que sua infraestrutura suporte </w:t>
      </w:r>
      <w:r w:rsidR="00986CED">
        <w:rPr>
          <w:rFonts w:cs="Arial"/>
          <w:szCs w:val="24"/>
        </w:rPr>
        <w:t>as cargas correspondentes.</w:t>
      </w:r>
    </w:p>
    <w:p w:rsidR="00427618" w:rsidRDefault="00427618" w:rsidP="004F7C45">
      <w:pPr>
        <w:pStyle w:val="PetioF9"/>
        <w:spacing w:line="360" w:lineRule="exact"/>
        <w:ind w:firstLine="0"/>
        <w:rPr>
          <w:rFonts w:cs="Arial"/>
          <w:szCs w:val="24"/>
        </w:rPr>
      </w:pPr>
    </w:p>
    <w:p w:rsidR="00986CED" w:rsidRDefault="00986CED" w:rsidP="004F7C45">
      <w:pPr>
        <w:pStyle w:val="PetioF9"/>
        <w:spacing w:line="360" w:lineRule="exact"/>
        <w:ind w:firstLine="0"/>
        <w:rPr>
          <w:rFonts w:cs="Arial"/>
          <w:szCs w:val="24"/>
        </w:rPr>
      </w:pPr>
      <w:r>
        <w:rPr>
          <w:rFonts w:cs="Arial"/>
          <w:szCs w:val="24"/>
        </w:rPr>
        <w:t xml:space="preserve">Nesse contexto, sem prejuízo da linha argumentativa prevista no item “II.1.”, seria prudente investigar tecnicamente, com o auxílio de consultorias técnicas especializadas, se de fato </w:t>
      </w:r>
      <w:r w:rsidR="00956ECC">
        <w:rPr>
          <w:rFonts w:cs="Arial"/>
          <w:szCs w:val="24"/>
        </w:rPr>
        <w:t>é verdade (i) que o subsistema encontra-se esgotado; (ii) que não há viabilidade técnica para fornecimento de energia em baixa ou média tensão; e (iii)</w:t>
      </w:r>
      <w:r w:rsidR="007A7562">
        <w:rPr>
          <w:rFonts w:cs="Arial"/>
          <w:szCs w:val="24"/>
        </w:rPr>
        <w:t xml:space="preserve"> que, se assim for, o fato não é imputável à própria Concessionária, especialmente quanto à manutenção e expansão adequada da infraestrutura, nos termos das exigências de seu Contrato de Concessão.</w:t>
      </w:r>
    </w:p>
    <w:p w:rsidR="007A7562" w:rsidRDefault="007A7562" w:rsidP="004F7C45">
      <w:pPr>
        <w:pStyle w:val="PetioF9"/>
        <w:spacing w:line="360" w:lineRule="exact"/>
        <w:ind w:firstLine="0"/>
        <w:rPr>
          <w:rFonts w:cs="Arial"/>
          <w:szCs w:val="24"/>
        </w:rPr>
      </w:pPr>
    </w:p>
    <w:p w:rsidR="00FA026B" w:rsidRDefault="007A7562" w:rsidP="00FA026B">
      <w:pPr>
        <w:pStyle w:val="PetioF9"/>
        <w:spacing w:line="360" w:lineRule="exact"/>
        <w:ind w:firstLine="0"/>
        <w:rPr>
          <w:rFonts w:cs="Arial"/>
          <w:szCs w:val="24"/>
        </w:rPr>
      </w:pPr>
      <w:r>
        <w:rPr>
          <w:rFonts w:cs="Arial"/>
          <w:szCs w:val="24"/>
        </w:rPr>
        <w:t xml:space="preserve">Caso </w:t>
      </w:r>
      <w:r w:rsidR="00657DD6">
        <w:rPr>
          <w:rFonts w:cs="Arial"/>
          <w:szCs w:val="24"/>
        </w:rPr>
        <w:t>venha a ser constatada</w:t>
      </w:r>
      <w:r>
        <w:rPr>
          <w:rFonts w:cs="Arial"/>
          <w:szCs w:val="24"/>
        </w:rPr>
        <w:t xml:space="preserve"> a </w:t>
      </w:r>
      <w:r w:rsidR="00D15D76">
        <w:rPr>
          <w:rFonts w:cs="Arial"/>
          <w:szCs w:val="24"/>
        </w:rPr>
        <w:t>inexatidão</w:t>
      </w:r>
      <w:r>
        <w:rPr>
          <w:rFonts w:cs="Arial"/>
          <w:szCs w:val="24"/>
        </w:rPr>
        <w:t xml:space="preserve"> </w:t>
      </w:r>
      <w:r w:rsidR="005D6604">
        <w:rPr>
          <w:rFonts w:cs="Arial"/>
          <w:szCs w:val="24"/>
        </w:rPr>
        <w:t xml:space="preserve">dos argumentos técnicos suscitados pela </w:t>
      </w:r>
      <w:r w:rsidR="005D6604">
        <w:rPr>
          <w:rFonts w:cs="Arial"/>
          <w:smallCaps/>
          <w:szCs w:val="24"/>
        </w:rPr>
        <w:t>Eletropaulo</w:t>
      </w:r>
      <w:r w:rsidR="005D6604">
        <w:rPr>
          <w:rFonts w:cs="Arial"/>
          <w:szCs w:val="24"/>
        </w:rPr>
        <w:t xml:space="preserve">, </w:t>
      </w:r>
      <w:r w:rsidR="00657DD6">
        <w:rPr>
          <w:rFonts w:cs="Arial"/>
          <w:szCs w:val="24"/>
        </w:rPr>
        <w:t xml:space="preserve">seria possível exigir administrativa </w:t>
      </w:r>
      <w:r w:rsidR="00D15D76">
        <w:rPr>
          <w:rFonts w:cs="Arial"/>
          <w:szCs w:val="24"/>
        </w:rPr>
        <w:t xml:space="preserve">(inclusive perante </w:t>
      </w:r>
      <w:r w:rsidR="00D15D76">
        <w:rPr>
          <w:rFonts w:cs="Arial"/>
          <w:szCs w:val="24"/>
        </w:rPr>
        <w:lastRenderedPageBreak/>
        <w:t xml:space="preserve">ARSESP e ANEEL) ou judicialmente que os empreendimentos comerciais passem a ser atendidos em baixa tensão – independente ou complementarmente à questão das </w:t>
      </w:r>
      <w:r w:rsidR="00FA026B">
        <w:rPr>
          <w:rFonts w:cs="Arial"/>
          <w:szCs w:val="24"/>
        </w:rPr>
        <w:t>unidades múltiplas (item “</w:t>
      </w:r>
      <w:proofErr w:type="gramStart"/>
      <w:r w:rsidR="00FA026B">
        <w:rPr>
          <w:rFonts w:cs="Arial"/>
          <w:szCs w:val="24"/>
        </w:rPr>
        <w:t>II.1.”</w:t>
      </w:r>
      <w:proofErr w:type="gramEnd"/>
      <w:r w:rsidR="00FA026B">
        <w:rPr>
          <w:rFonts w:cs="Arial"/>
          <w:szCs w:val="24"/>
        </w:rPr>
        <w:t xml:space="preserve"> </w:t>
      </w:r>
      <w:proofErr w:type="gramStart"/>
      <w:r w:rsidR="00FA026B">
        <w:rPr>
          <w:rFonts w:cs="Arial"/>
          <w:szCs w:val="24"/>
        </w:rPr>
        <w:t>acima</w:t>
      </w:r>
      <w:proofErr w:type="gramEnd"/>
      <w:r w:rsidR="00FA026B">
        <w:rPr>
          <w:rFonts w:cs="Arial"/>
          <w:szCs w:val="24"/>
        </w:rPr>
        <w:t>).</w:t>
      </w:r>
    </w:p>
    <w:p w:rsidR="00FA026B" w:rsidRDefault="00FA026B" w:rsidP="00FA026B">
      <w:pPr>
        <w:pStyle w:val="PetioF9"/>
        <w:spacing w:line="360" w:lineRule="exact"/>
        <w:ind w:firstLine="0"/>
        <w:rPr>
          <w:rFonts w:cs="Arial"/>
          <w:szCs w:val="24"/>
        </w:rPr>
      </w:pPr>
    </w:p>
    <w:p w:rsidR="00FA026B" w:rsidRDefault="00FA026B" w:rsidP="00FA026B">
      <w:pPr>
        <w:pStyle w:val="PetioF9"/>
        <w:spacing w:line="360" w:lineRule="exact"/>
        <w:ind w:firstLine="0"/>
        <w:rPr>
          <w:rFonts w:cs="Arial"/>
          <w:szCs w:val="24"/>
        </w:rPr>
      </w:pPr>
    </w:p>
    <w:p w:rsidR="00FA026B" w:rsidRDefault="008D556C" w:rsidP="00FA026B">
      <w:pPr>
        <w:pStyle w:val="PetioF9"/>
        <w:spacing w:line="360" w:lineRule="exact"/>
        <w:ind w:firstLine="0"/>
        <w:rPr>
          <w:rFonts w:eastAsia="Calibri"/>
          <w:b/>
        </w:rPr>
      </w:pPr>
      <w:r>
        <w:rPr>
          <w:rFonts w:eastAsia="Calibri"/>
          <w:b/>
        </w:rPr>
        <w:t>II</w:t>
      </w:r>
      <w:r w:rsidR="00D11794" w:rsidRPr="007B28C3">
        <w:rPr>
          <w:rFonts w:eastAsia="Calibri"/>
          <w:b/>
        </w:rPr>
        <w:t>.4.</w:t>
      </w:r>
      <w:r w:rsidR="00FA026B">
        <w:rPr>
          <w:rFonts w:eastAsia="Calibri"/>
          <w:b/>
        </w:rPr>
        <w:t xml:space="preserve"> Impugnação das próprias normas regulamentares</w:t>
      </w:r>
    </w:p>
    <w:p w:rsidR="00FA026B" w:rsidRDefault="00FA026B" w:rsidP="00FA026B">
      <w:pPr>
        <w:pStyle w:val="PetioF9"/>
        <w:spacing w:line="360" w:lineRule="exact"/>
        <w:ind w:firstLine="0"/>
        <w:rPr>
          <w:rFonts w:eastAsia="Calibri"/>
        </w:rPr>
      </w:pPr>
    </w:p>
    <w:p w:rsidR="00FA026B" w:rsidRPr="00FA026B" w:rsidRDefault="00FA026B" w:rsidP="00FA026B">
      <w:pPr>
        <w:pStyle w:val="PetioF9"/>
        <w:spacing w:line="360" w:lineRule="exact"/>
        <w:ind w:firstLine="0"/>
        <w:rPr>
          <w:rFonts w:eastAsia="Calibri"/>
        </w:rPr>
      </w:pPr>
      <w:r>
        <w:rPr>
          <w:rFonts w:eastAsia="Calibri"/>
        </w:rPr>
        <w:t xml:space="preserve">Finalmente, </w:t>
      </w:r>
      <w:r w:rsidR="00B62DE6">
        <w:rPr>
          <w:rFonts w:eastAsia="Calibri"/>
        </w:rPr>
        <w:t xml:space="preserve">é preciso também examinar a possibilidade de </w:t>
      </w:r>
      <w:r w:rsidR="004B4200">
        <w:rPr>
          <w:rFonts w:eastAsia="Calibri"/>
        </w:rPr>
        <w:t>questionar as próprias normas regulamentares</w:t>
      </w:r>
      <w:r w:rsidR="00843FB1">
        <w:rPr>
          <w:rFonts w:eastAsia="Calibri"/>
        </w:rPr>
        <w:t xml:space="preserve"> aplicáveis à espécie, seja (i) quanto </w:t>
      </w:r>
      <w:r w:rsidR="00D27D89">
        <w:rPr>
          <w:rFonts w:eastAsia="Calibri"/>
        </w:rPr>
        <w:t>à tensão de fornecimento, seja (ii) quanto ao compartilhamento das subestações.</w:t>
      </w:r>
    </w:p>
    <w:p w:rsidR="00FA026B" w:rsidRDefault="00FA026B" w:rsidP="00FA026B">
      <w:pPr>
        <w:pStyle w:val="PetioF9"/>
        <w:spacing w:line="360" w:lineRule="exact"/>
        <w:ind w:firstLine="0"/>
        <w:rPr>
          <w:rFonts w:eastAsia="Calibri"/>
        </w:rPr>
      </w:pPr>
    </w:p>
    <w:p w:rsidR="00FB211D" w:rsidRDefault="00D27D89" w:rsidP="00FB211D">
      <w:pPr>
        <w:pStyle w:val="PetioF9"/>
        <w:spacing w:line="360" w:lineRule="exact"/>
        <w:ind w:firstLine="0"/>
        <w:rPr>
          <w:rFonts w:eastAsia="Calibri"/>
        </w:rPr>
      </w:pPr>
      <w:r>
        <w:rPr>
          <w:rFonts w:eastAsia="Calibri"/>
        </w:rPr>
        <w:t xml:space="preserve">De saída, o único caminho que vislumbramos </w:t>
      </w:r>
      <w:r w:rsidR="004F519B">
        <w:rPr>
          <w:rFonts w:eastAsia="Calibri"/>
        </w:rPr>
        <w:t>viável – ainda que em tese – seria apontar eventual afronta aos princípios da proporcionalidade e da razoabilidade, inquinando de inconstitucionalidade a regulação.</w:t>
      </w:r>
    </w:p>
    <w:p w:rsidR="00FB211D" w:rsidRDefault="00FB211D" w:rsidP="00FB211D">
      <w:pPr>
        <w:pStyle w:val="PetioF9"/>
        <w:spacing w:line="360" w:lineRule="exact"/>
        <w:ind w:firstLine="0"/>
        <w:rPr>
          <w:rFonts w:eastAsia="Calibri"/>
        </w:rPr>
      </w:pPr>
    </w:p>
    <w:p w:rsidR="00762FE8" w:rsidRDefault="00FB211D" w:rsidP="00762FE8">
      <w:pPr>
        <w:pStyle w:val="PetioF9"/>
        <w:spacing w:line="360" w:lineRule="exact"/>
        <w:ind w:firstLine="0"/>
      </w:pPr>
      <w:r>
        <w:t>Neste ponto, vale aqui esclarecer que</w:t>
      </w:r>
      <w:r w:rsidR="00D11794">
        <w:t xml:space="preserve"> o sistema jurídico brasileiro comporta basicamente duas vias de controle de constitucionalidade das normas: a </w:t>
      </w:r>
      <w:r w:rsidR="00D11794" w:rsidRPr="00EC4963">
        <w:rPr>
          <w:i/>
        </w:rPr>
        <w:t>concentrada</w:t>
      </w:r>
      <w:r w:rsidR="00D11794">
        <w:t xml:space="preserve"> e a </w:t>
      </w:r>
      <w:r w:rsidR="00D11794">
        <w:rPr>
          <w:i/>
        </w:rPr>
        <w:t>difusa</w:t>
      </w:r>
      <w:r w:rsidR="006F2506">
        <w:t>.</w:t>
      </w:r>
    </w:p>
    <w:p w:rsidR="00762FE8" w:rsidRDefault="00762FE8" w:rsidP="00762FE8">
      <w:pPr>
        <w:pStyle w:val="PetioF9"/>
        <w:spacing w:line="360" w:lineRule="exact"/>
        <w:ind w:firstLine="0"/>
      </w:pPr>
    </w:p>
    <w:p w:rsidR="00EC4963" w:rsidRDefault="00EC4963" w:rsidP="00762FE8">
      <w:pPr>
        <w:pStyle w:val="PetioF9"/>
        <w:spacing w:line="360" w:lineRule="exact"/>
        <w:ind w:firstLine="0"/>
      </w:pPr>
      <w:r>
        <w:t xml:space="preserve">A primeira remete ao ajuizamento de Ações Diretas de Inconstitucionalidade, prerrogativa de certos agentes </w:t>
      </w:r>
      <w:r w:rsidR="007D5886">
        <w:t>e de entidades de classe de abrangência nacional, com requisitos de legitimação extremamente rígidos e restritos.</w:t>
      </w:r>
    </w:p>
    <w:p w:rsidR="00EC4963" w:rsidRDefault="00EC4963" w:rsidP="00762FE8">
      <w:pPr>
        <w:pStyle w:val="PetioF9"/>
        <w:spacing w:line="360" w:lineRule="exact"/>
        <w:ind w:firstLine="0"/>
      </w:pPr>
    </w:p>
    <w:p w:rsidR="00D11794" w:rsidRDefault="00762FE8" w:rsidP="00762FE8">
      <w:pPr>
        <w:pStyle w:val="PetioF9"/>
        <w:spacing w:line="360" w:lineRule="exact"/>
        <w:ind w:firstLine="0"/>
      </w:pPr>
      <w:proofErr w:type="gramStart"/>
      <w:r>
        <w:t xml:space="preserve">Tratando </w:t>
      </w:r>
      <w:r w:rsidR="00EC4963">
        <w:t xml:space="preserve"> </w:t>
      </w:r>
      <w:r w:rsidR="007D5886">
        <w:t>da</w:t>
      </w:r>
      <w:proofErr w:type="gramEnd"/>
      <w:r w:rsidR="007D5886">
        <w:t xml:space="preserve"> </w:t>
      </w:r>
      <w:r w:rsidR="00EC4963">
        <w:t>segunda</w:t>
      </w:r>
      <w:r w:rsidR="007D5886">
        <w:t xml:space="preserve"> hipótese (controle difuso)</w:t>
      </w:r>
      <w:r>
        <w:t xml:space="preserve">, </w:t>
      </w:r>
      <w:r w:rsidR="00D11794">
        <w:rPr>
          <w:smallCaps/>
        </w:rPr>
        <w:t xml:space="preserve">José </w:t>
      </w:r>
      <w:r w:rsidR="00D11794" w:rsidRPr="00AC7588">
        <w:rPr>
          <w:smallCaps/>
        </w:rPr>
        <w:t>Afonso da Silva</w:t>
      </w:r>
      <w:r w:rsidR="00D11794" w:rsidRPr="00AC7588">
        <w:t xml:space="preserve"> </w:t>
      </w:r>
      <w:r w:rsidRPr="00AC7588">
        <w:t xml:space="preserve">ensina que </w:t>
      </w:r>
      <w:r w:rsidR="00D11794" w:rsidRPr="00AC7588">
        <w:rPr>
          <w:i/>
        </w:rPr>
        <w:t>“</w:t>
      </w:r>
      <w:r w:rsidR="00D11794" w:rsidRPr="00AC7588">
        <w:rPr>
          <w:b/>
          <w:i/>
        </w:rPr>
        <w:t>qualquer interessado poderá suscitar a questão de inconstitucionalidade</w:t>
      </w:r>
      <w:r w:rsidR="00D11794" w:rsidRPr="00AC7588">
        <w:rPr>
          <w:i/>
        </w:rPr>
        <w:t>, em qualquer processo, seja de que natureza for, qualquer que seja o juízo.</w:t>
      </w:r>
      <w:r w:rsidR="00D11794" w:rsidRPr="00AC7588">
        <w:t xml:space="preserve"> </w:t>
      </w:r>
      <w:proofErr w:type="gramStart"/>
      <w:r w:rsidR="00D11794" w:rsidRPr="00AC7588">
        <w:t xml:space="preserve">(...) </w:t>
      </w:r>
      <w:r w:rsidR="00D11794" w:rsidRPr="00AC7588">
        <w:rPr>
          <w:i/>
        </w:rPr>
        <w:t>Nesse</w:t>
      </w:r>
      <w:proofErr w:type="gramEnd"/>
      <w:r w:rsidR="00D11794" w:rsidRPr="00AC7588">
        <w:rPr>
          <w:i/>
        </w:rPr>
        <w:t xml:space="preserve"> caso, </w:t>
      </w:r>
      <w:r w:rsidR="00FB211D" w:rsidRPr="00AC7588">
        <w:rPr>
          <w:i/>
        </w:rPr>
        <w:t>a argu</w:t>
      </w:r>
      <w:r w:rsidR="00D11794" w:rsidRPr="00AC7588">
        <w:rPr>
          <w:i/>
        </w:rPr>
        <w:t>ição da inconstitucionalidade</w:t>
      </w:r>
      <w:r w:rsidR="00D11794">
        <w:rPr>
          <w:i/>
        </w:rPr>
        <w:t xml:space="preserve"> é questão prejudicial e gera um procedimento </w:t>
      </w:r>
      <w:r w:rsidR="00D11794">
        <w:t>incidenter tantum</w:t>
      </w:r>
      <w:r w:rsidR="00D11794">
        <w:rPr>
          <w:i/>
        </w:rPr>
        <w:t>, que busca a simples verificação da existência ou não do vício alegado. E a sentença é declaratória. Faz coisa julgada no caso e entre as partes”</w:t>
      </w:r>
      <w:r w:rsidR="00D11794">
        <w:rPr>
          <w:rStyle w:val="Refdenotaderodap"/>
        </w:rPr>
        <w:footnoteReference w:id="16"/>
      </w:r>
      <w:r w:rsidR="00D11794">
        <w:rPr>
          <w:i/>
        </w:rPr>
        <w:t xml:space="preserve"> </w:t>
      </w:r>
      <w:r w:rsidR="00D11794">
        <w:t>(grifou-se).</w:t>
      </w:r>
    </w:p>
    <w:p w:rsidR="00326B32" w:rsidRDefault="00326B32" w:rsidP="00762FE8">
      <w:pPr>
        <w:pStyle w:val="PetioF9"/>
        <w:spacing w:line="360" w:lineRule="exact"/>
        <w:ind w:firstLine="0"/>
      </w:pPr>
    </w:p>
    <w:p w:rsidR="008D7E07" w:rsidRPr="008D7E07" w:rsidRDefault="008D7E07" w:rsidP="008D7E07">
      <w:pPr>
        <w:pStyle w:val="PetioF9"/>
        <w:spacing w:line="360" w:lineRule="exact"/>
        <w:ind w:firstLine="0"/>
        <w:rPr>
          <w:rFonts w:eastAsia="Calibri"/>
        </w:rPr>
      </w:pPr>
      <w:r>
        <w:t xml:space="preserve">Em outras palavras, </w:t>
      </w:r>
      <w:r>
        <w:rPr>
          <w:i/>
        </w:rPr>
        <w:t xml:space="preserve">“qualquer juiz pode declarar a inconstitucionalidade, </w:t>
      </w:r>
      <w:r>
        <w:t>incidenter</w:t>
      </w:r>
      <w:r>
        <w:rPr>
          <w:i/>
        </w:rPr>
        <w:t xml:space="preserve">, de qualquer ato normativo do Poder Público, </w:t>
      </w:r>
      <w:r>
        <w:rPr>
          <w:i/>
          <w:u w:val="single"/>
        </w:rPr>
        <w:t>valendo a decisão somente para as partes</w:t>
      </w:r>
      <w:r>
        <w:rPr>
          <w:i/>
        </w:rPr>
        <w:t xml:space="preserve"> </w:t>
      </w:r>
      <w:r>
        <w:t>(...)</w:t>
      </w:r>
      <w:r>
        <w:rPr>
          <w:i/>
        </w:rPr>
        <w:t>”</w:t>
      </w:r>
      <w:r>
        <w:rPr>
          <w:rStyle w:val="Refdenotaderodap"/>
        </w:rPr>
        <w:footnoteReference w:id="17"/>
      </w:r>
      <w:r>
        <w:t xml:space="preserve"> (grifou-se).</w:t>
      </w:r>
    </w:p>
    <w:p w:rsidR="008D7E07" w:rsidRDefault="008D7E07" w:rsidP="00762FE8">
      <w:pPr>
        <w:pStyle w:val="PetioF9"/>
        <w:spacing w:line="360" w:lineRule="exact"/>
        <w:ind w:firstLine="0"/>
      </w:pPr>
    </w:p>
    <w:p w:rsidR="008D7E07" w:rsidRDefault="00326B32" w:rsidP="008D7E07">
      <w:pPr>
        <w:pStyle w:val="PetioF9"/>
        <w:spacing w:line="360" w:lineRule="exact"/>
        <w:ind w:firstLine="0"/>
        <w:rPr>
          <w:rFonts w:eastAsia="Calibri"/>
        </w:rPr>
      </w:pPr>
      <w:r>
        <w:t xml:space="preserve">Nesse contexto, é sempre possível o ajuizamento de demanda judicial que tenha por objeto </w:t>
      </w:r>
      <w:r w:rsidRPr="00AC7588">
        <w:rPr>
          <w:b/>
        </w:rPr>
        <w:t xml:space="preserve">desobrigar </w:t>
      </w:r>
      <w:r w:rsidR="00855C90" w:rsidRPr="00AC7588">
        <w:rPr>
          <w:b/>
        </w:rPr>
        <w:t>o respectivo autor</w:t>
      </w:r>
      <w:r w:rsidRPr="00AC7588">
        <w:rPr>
          <w:b/>
        </w:rPr>
        <w:t xml:space="preserve"> do cumprimento de determinada norma</w:t>
      </w:r>
      <w:r>
        <w:t xml:space="preserve">, sob a alegação de </w:t>
      </w:r>
      <w:r w:rsidR="00855C90">
        <w:t>sua inconstitucionalidade (controle difuso e incidental)</w:t>
      </w:r>
      <w:r w:rsidR="00855C90">
        <w:rPr>
          <w:rStyle w:val="Refdenotaderodap"/>
        </w:rPr>
        <w:footnoteReference w:id="18"/>
      </w:r>
      <w:r w:rsidR="00855C90">
        <w:t>.</w:t>
      </w:r>
    </w:p>
    <w:p w:rsidR="008D7E07" w:rsidRDefault="008D7E07" w:rsidP="008D7E07">
      <w:pPr>
        <w:pStyle w:val="PetioF9"/>
        <w:spacing w:line="360" w:lineRule="exact"/>
        <w:ind w:firstLine="0"/>
        <w:rPr>
          <w:rFonts w:eastAsia="Calibri"/>
        </w:rPr>
      </w:pPr>
    </w:p>
    <w:p w:rsidR="008760C8" w:rsidRDefault="00BD4F85" w:rsidP="002B4A17">
      <w:pPr>
        <w:pStyle w:val="PetioF9"/>
        <w:spacing w:line="360" w:lineRule="exact"/>
        <w:ind w:firstLine="0"/>
        <w:rPr>
          <w:rFonts w:eastAsia="Calibri"/>
        </w:rPr>
      </w:pPr>
      <w:r>
        <w:rPr>
          <w:rFonts w:eastAsia="Calibri"/>
        </w:rPr>
        <w:t>Ultrapassado</w:t>
      </w:r>
      <w:r w:rsidR="00B37EB5">
        <w:rPr>
          <w:rFonts w:eastAsia="Calibri"/>
        </w:rPr>
        <w:t>s</w:t>
      </w:r>
      <w:r>
        <w:rPr>
          <w:rFonts w:eastAsia="Calibri"/>
        </w:rPr>
        <w:t xml:space="preserve"> esse</w:t>
      </w:r>
      <w:r w:rsidR="00F80169">
        <w:rPr>
          <w:rFonts w:eastAsia="Calibri"/>
        </w:rPr>
        <w:t>s</w:t>
      </w:r>
      <w:r>
        <w:rPr>
          <w:rFonts w:eastAsia="Calibri"/>
        </w:rPr>
        <w:t xml:space="preserve"> aspecto</w:t>
      </w:r>
      <w:r w:rsidR="00F80169">
        <w:rPr>
          <w:rFonts w:eastAsia="Calibri"/>
        </w:rPr>
        <w:t>s</w:t>
      </w:r>
      <w:r w:rsidR="00F21CCF">
        <w:rPr>
          <w:rFonts w:eastAsia="Calibri"/>
        </w:rPr>
        <w:t>, é necessário verificar se, d</w:t>
      </w:r>
      <w:r>
        <w:rPr>
          <w:rFonts w:eastAsia="Calibri"/>
        </w:rPr>
        <w:t xml:space="preserve">e fato, a regulação acima </w:t>
      </w:r>
      <w:r w:rsidR="00F21CCF">
        <w:rPr>
          <w:rFonts w:eastAsia="Calibri"/>
        </w:rPr>
        <w:t>examinada viola o princípio da proporcionalidade e da razoabilidade</w:t>
      </w:r>
      <w:r w:rsidR="008760C8">
        <w:rPr>
          <w:rFonts w:eastAsia="Calibri"/>
        </w:rPr>
        <w:t>.</w:t>
      </w:r>
    </w:p>
    <w:p w:rsidR="008760C8" w:rsidRDefault="008760C8" w:rsidP="002B4A17">
      <w:pPr>
        <w:pStyle w:val="PetioF9"/>
        <w:spacing w:line="360" w:lineRule="exact"/>
        <w:ind w:firstLine="0"/>
        <w:rPr>
          <w:rFonts w:eastAsia="Calibri"/>
        </w:rPr>
      </w:pPr>
    </w:p>
    <w:p w:rsidR="002B4A17" w:rsidRDefault="008760C8" w:rsidP="002B4A17">
      <w:pPr>
        <w:pStyle w:val="PetioF9"/>
        <w:spacing w:line="360" w:lineRule="exact"/>
        <w:ind w:firstLine="0"/>
        <w:rPr>
          <w:rFonts w:eastAsia="Calibri"/>
        </w:rPr>
      </w:pPr>
      <w:r>
        <w:rPr>
          <w:rFonts w:eastAsia="Calibri"/>
        </w:rPr>
        <w:t xml:space="preserve">Esse princípio </w:t>
      </w:r>
      <w:r w:rsidR="00742708">
        <w:rPr>
          <w:rFonts w:eastAsia="Calibri"/>
        </w:rPr>
        <w:t xml:space="preserve">constitucional está </w:t>
      </w:r>
      <w:r w:rsidR="00D11794">
        <w:t xml:space="preserve">diretamente ligado à </w:t>
      </w:r>
      <w:r w:rsidR="00D11794" w:rsidRPr="00F21CCF">
        <w:t>proibição do excesso do poder de legislar, conjugado ao dever de se proceder a um juízo seguro acerca da adequação e necessidade da imposição legal, bem como da proporção entre os ônus impostos aos particulares e os fins almejados pela norma.</w:t>
      </w:r>
    </w:p>
    <w:p w:rsidR="002B4A17" w:rsidRDefault="002B4A17" w:rsidP="002B4A17">
      <w:pPr>
        <w:pStyle w:val="PetioF9"/>
        <w:spacing w:line="360" w:lineRule="exact"/>
        <w:ind w:firstLine="0"/>
        <w:rPr>
          <w:rFonts w:eastAsia="Calibri"/>
        </w:rPr>
      </w:pPr>
    </w:p>
    <w:p w:rsidR="00621FE6" w:rsidRDefault="00621FE6" w:rsidP="00621FE6">
      <w:pPr>
        <w:pStyle w:val="PetioF9"/>
        <w:spacing w:line="360" w:lineRule="exact"/>
        <w:ind w:firstLine="0"/>
        <w:rPr>
          <w:rFonts w:eastAsia="Calibri"/>
        </w:rPr>
      </w:pPr>
      <w:r>
        <w:t>C</w:t>
      </w:r>
      <w:r w:rsidR="00D11794">
        <w:t xml:space="preserve">omo bem ensina o Min. </w:t>
      </w:r>
      <w:r w:rsidR="00D11794">
        <w:rPr>
          <w:smallCaps/>
        </w:rPr>
        <w:t>Gilmar Ferreira Mendes</w:t>
      </w:r>
      <w:r w:rsidR="00D11794">
        <w:t>, o princípio tem sua sede material na própria disposição constitucional sobre o devido processo legal (art. 5º, LIV, da Constituição Federal)</w:t>
      </w:r>
      <w:r w:rsidR="00D11794">
        <w:rPr>
          <w:rStyle w:val="Refdenotaderodap"/>
        </w:rPr>
        <w:footnoteReference w:id="19"/>
      </w:r>
      <w:r>
        <w:t xml:space="preserve">, e vem desenhando-se nas modernas tendências doutrinárias, diante da feliz constatação de que </w:t>
      </w:r>
      <w:r>
        <w:rPr>
          <w:i/>
        </w:rPr>
        <w:t>apenas o que é adequado pode ser necessário, mas o que é necessário não pode ser inadequado</w:t>
      </w:r>
      <w:r>
        <w:rPr>
          <w:rStyle w:val="Refdenotaderodap"/>
        </w:rPr>
        <w:footnoteReference w:id="20"/>
      </w:r>
      <w:r>
        <w:t>.</w:t>
      </w:r>
    </w:p>
    <w:p w:rsidR="00F62EF7" w:rsidRDefault="00F62EF7" w:rsidP="00F62EF7">
      <w:pPr>
        <w:pStyle w:val="PetioF9"/>
        <w:spacing w:line="360" w:lineRule="exact"/>
        <w:ind w:firstLine="0"/>
        <w:rPr>
          <w:rFonts w:eastAsia="Calibri"/>
        </w:rPr>
      </w:pPr>
    </w:p>
    <w:p w:rsidR="00865F82" w:rsidRDefault="00621FE6" w:rsidP="00865F82">
      <w:pPr>
        <w:pStyle w:val="PetioF9"/>
        <w:spacing w:line="360" w:lineRule="exact"/>
        <w:ind w:firstLine="0"/>
        <w:rPr>
          <w:rFonts w:eastAsia="Calibri"/>
        </w:rPr>
      </w:pPr>
      <w:r>
        <w:t>O</w:t>
      </w:r>
      <w:r w:rsidR="00D11794">
        <w:t xml:space="preserve"> </w:t>
      </w:r>
      <w:r w:rsidR="00D11794">
        <w:rPr>
          <w:smallCaps/>
        </w:rPr>
        <w:t>Supremo Tribunal Federal</w:t>
      </w:r>
      <w:r w:rsidR="00D11794">
        <w:t xml:space="preserve"> conceitua-o</w:t>
      </w:r>
      <w:r w:rsidR="00F62EF7">
        <w:t xml:space="preserve"> como </w:t>
      </w:r>
      <w:r w:rsidR="00D11794">
        <w:rPr>
          <w:i/>
        </w:rPr>
        <w:t>“</w:t>
      </w:r>
      <w:r w:rsidR="00D11794" w:rsidRPr="0053700F">
        <w:rPr>
          <w:i/>
        </w:rPr>
        <w:t>postulado básico de contenção dos excessos do Poder Público.</w:t>
      </w:r>
      <w:r w:rsidR="00D11794" w:rsidRPr="0053700F">
        <w:t xml:space="preserve"> (...)</w:t>
      </w:r>
      <w:r w:rsidR="00D11794" w:rsidRPr="0053700F">
        <w:rPr>
          <w:i/>
        </w:rPr>
        <w:t xml:space="preserve"> O princípio da proporcionalidade visa a inibir e a neutralizar o abuso do Poder Público no exercício das funções que lhe são inerentes, notadamente no desempenho da atividade de caráter legislativo e regulamentar. Dentro dessa perspectiva, o postulado em questão, enquanto categoria fundamental de limitação dos excessos emanados do Estado, atua como verdadeiro parâmetro de aferição da própria constitucionalidade material dos atos estatais</w:t>
      </w:r>
      <w:r w:rsidR="00D11794">
        <w:rPr>
          <w:i/>
        </w:rPr>
        <w:t>”</w:t>
      </w:r>
      <w:r w:rsidR="00D11794">
        <w:rPr>
          <w:rStyle w:val="Refdenotaderodap"/>
        </w:rPr>
        <w:footnoteReference w:id="21"/>
      </w:r>
      <w:r w:rsidR="00D11794">
        <w:t>.</w:t>
      </w:r>
    </w:p>
    <w:p w:rsidR="00865F82" w:rsidRDefault="00865F82" w:rsidP="00865F82">
      <w:pPr>
        <w:pStyle w:val="PetioF9"/>
        <w:spacing w:line="360" w:lineRule="exact"/>
        <w:ind w:firstLine="0"/>
        <w:rPr>
          <w:rFonts w:eastAsia="Calibri"/>
        </w:rPr>
      </w:pPr>
    </w:p>
    <w:p w:rsidR="00D11794" w:rsidRDefault="0053700F" w:rsidP="00865F82">
      <w:pPr>
        <w:pStyle w:val="PetioF9"/>
        <w:spacing w:line="360" w:lineRule="exact"/>
        <w:ind w:firstLine="0"/>
      </w:pPr>
      <w:r>
        <w:t>Assim, é</w:t>
      </w:r>
      <w:r w:rsidR="00D11794">
        <w:t xml:space="preserve"> justamente nesse contexto </w:t>
      </w:r>
      <w:r>
        <w:t xml:space="preserve">doutrinário e jurisprudencial </w:t>
      </w:r>
      <w:r w:rsidR="00D11794">
        <w:t xml:space="preserve">que </w:t>
      </w:r>
      <w:r w:rsidR="00EA54CA">
        <w:t xml:space="preserve">seria importante </w:t>
      </w:r>
      <w:r w:rsidR="003E71F5">
        <w:t>verificar</w:t>
      </w:r>
      <w:r w:rsidR="00EA54CA">
        <w:t xml:space="preserve"> a possibilidade </w:t>
      </w:r>
      <w:r w:rsidR="00865F82">
        <w:t>de enquadrar a regulação aqui tratada como violadora do princípio da proporcionalidade e da razoabilidade.</w:t>
      </w:r>
    </w:p>
    <w:p w:rsidR="00DA3C3A" w:rsidRDefault="00DA3C3A" w:rsidP="00865F82">
      <w:pPr>
        <w:pStyle w:val="PetioF9"/>
        <w:spacing w:line="360" w:lineRule="exact"/>
        <w:ind w:firstLine="0"/>
      </w:pPr>
    </w:p>
    <w:p w:rsidR="00DA3C3A" w:rsidRDefault="00B26455" w:rsidP="00865F82">
      <w:pPr>
        <w:pStyle w:val="PetioF9"/>
        <w:spacing w:line="360" w:lineRule="exact"/>
        <w:ind w:firstLine="0"/>
      </w:pPr>
      <w:r>
        <w:t xml:space="preserve">No que toca à </w:t>
      </w:r>
      <w:r w:rsidRPr="0053700F">
        <w:rPr>
          <w:b/>
          <w:u w:val="single"/>
        </w:rPr>
        <w:t>tensão de fornecimento</w:t>
      </w:r>
      <w:r>
        <w:t xml:space="preserve">, salvo melhor juízo ou análise técnica, parece-nos que a resposta é </w:t>
      </w:r>
      <w:r w:rsidRPr="0053700F">
        <w:rPr>
          <w:b/>
          <w:u w:val="single"/>
        </w:rPr>
        <w:t>negativa</w:t>
      </w:r>
      <w:r>
        <w:t>.</w:t>
      </w:r>
    </w:p>
    <w:p w:rsidR="00DA3C3A" w:rsidRDefault="00DA3C3A" w:rsidP="00865F82">
      <w:pPr>
        <w:pStyle w:val="PetioF9"/>
        <w:spacing w:line="360" w:lineRule="exact"/>
        <w:ind w:firstLine="0"/>
      </w:pPr>
    </w:p>
    <w:p w:rsidR="00B26455" w:rsidRDefault="00B26455" w:rsidP="00865F82">
      <w:pPr>
        <w:pStyle w:val="PetioF9"/>
        <w:spacing w:line="360" w:lineRule="exact"/>
        <w:ind w:firstLine="0"/>
      </w:pPr>
      <w:r>
        <w:t xml:space="preserve">E isso porque a legislação parece </w:t>
      </w:r>
      <w:r w:rsidR="0053700F">
        <w:t>guardar extrema razoabilidade</w:t>
      </w:r>
      <w:r w:rsidR="007E6889">
        <w:t xml:space="preserve"> </w:t>
      </w:r>
      <w:r w:rsidR="0053700F">
        <w:t>ao prever</w:t>
      </w:r>
      <w:r w:rsidR="007E6889">
        <w:t xml:space="preserve"> critérios concretos de fornecimento,</w:t>
      </w:r>
      <w:r w:rsidR="000268E7">
        <w:t xml:space="preserve"> mas</w:t>
      </w:r>
      <w:r w:rsidR="007E6889">
        <w:t xml:space="preserve"> </w:t>
      </w:r>
      <w:r w:rsidR="007E6889" w:rsidRPr="0053700F">
        <w:rPr>
          <w:u w:val="single"/>
        </w:rPr>
        <w:t>que podem ser flexibilizados</w:t>
      </w:r>
      <w:r w:rsidR="007E6889">
        <w:t xml:space="preserve"> a pedido do interessado, quando houver viabilidade técnica do subsistema elétrico.</w:t>
      </w:r>
    </w:p>
    <w:p w:rsidR="007E6889" w:rsidRDefault="007E6889" w:rsidP="00865F82">
      <w:pPr>
        <w:pStyle w:val="PetioF9"/>
        <w:spacing w:line="360" w:lineRule="exact"/>
        <w:ind w:firstLine="0"/>
      </w:pPr>
    </w:p>
    <w:p w:rsidR="007E6889" w:rsidRDefault="007E6889" w:rsidP="00865F82">
      <w:pPr>
        <w:pStyle w:val="PetioF9"/>
        <w:spacing w:line="360" w:lineRule="exact"/>
        <w:ind w:firstLine="0"/>
      </w:pPr>
      <w:r>
        <w:t xml:space="preserve">Assim, </w:t>
      </w:r>
      <w:r w:rsidR="00C75A45">
        <w:t xml:space="preserve">em princípio, </w:t>
      </w:r>
      <w:r>
        <w:t xml:space="preserve">seria difícil questionar a razoabilidade ou </w:t>
      </w:r>
      <w:r w:rsidR="00C75A45">
        <w:t xml:space="preserve">a </w:t>
      </w:r>
      <w:r>
        <w:t xml:space="preserve">proporcionalidade do postulado normativo </w:t>
      </w:r>
      <w:r w:rsidR="000268E7">
        <w:t xml:space="preserve">respectivo, que garante ao administrado direito a exceções concretas, apenas condicionadas a uma </w:t>
      </w:r>
      <w:r w:rsidR="00645C28">
        <w:t>efetiva possibilidade técnica.</w:t>
      </w:r>
    </w:p>
    <w:p w:rsidR="00DA3C3A" w:rsidRDefault="00DA3C3A" w:rsidP="00865F82">
      <w:pPr>
        <w:pStyle w:val="PetioF9"/>
        <w:spacing w:line="360" w:lineRule="exact"/>
        <w:ind w:firstLine="0"/>
      </w:pPr>
    </w:p>
    <w:p w:rsidR="003A2C3C" w:rsidRDefault="00645C28" w:rsidP="00B0266E">
      <w:pPr>
        <w:pStyle w:val="PetioF9"/>
        <w:spacing w:line="360" w:lineRule="exact"/>
        <w:ind w:firstLine="0"/>
      </w:pPr>
      <w:r>
        <w:t>D</w:t>
      </w:r>
      <w:r w:rsidR="00C75A45">
        <w:t xml:space="preserve">e outro lado, e embora a questão também dependa de um embasamento técnico específico, </w:t>
      </w:r>
      <w:r w:rsidR="0047258A" w:rsidRPr="00645C28">
        <w:rPr>
          <w:u w:val="double"/>
        </w:rPr>
        <w:t>não seria impossível questionar as restrições impostas quanto ao compartilhamento d</w:t>
      </w:r>
      <w:r w:rsidR="00B0266E" w:rsidRPr="00645C28">
        <w:rPr>
          <w:u w:val="double"/>
        </w:rPr>
        <w:t>e subestações</w:t>
      </w:r>
      <w:r w:rsidR="00B0266E">
        <w:t>, especi</w:t>
      </w:r>
      <w:r w:rsidR="00A15476">
        <w:t>alm</w:t>
      </w:r>
      <w:r w:rsidR="00B0266E">
        <w:t xml:space="preserve">ente, a obrigatoriedade de que </w:t>
      </w:r>
      <w:r w:rsidR="003A2C3C">
        <w:t>as unidades compartilhadoras estejam no mesmo imóvel ou em imóveis contíguos, vedando-se a utilização de vias públicas ou propriedades de terceiros.</w:t>
      </w:r>
    </w:p>
    <w:p w:rsidR="0047258A" w:rsidRDefault="0047258A" w:rsidP="00865F82">
      <w:pPr>
        <w:pStyle w:val="PetioF9"/>
        <w:spacing w:line="360" w:lineRule="exact"/>
        <w:ind w:firstLine="0"/>
      </w:pPr>
    </w:p>
    <w:p w:rsidR="00D11794" w:rsidRDefault="00B0266E" w:rsidP="0049428D">
      <w:pPr>
        <w:pStyle w:val="PetioF9"/>
        <w:spacing w:line="360" w:lineRule="exact"/>
        <w:ind w:firstLine="0"/>
        <w:rPr>
          <w:rFonts w:cs="Arial"/>
          <w:color w:val="000000"/>
          <w:szCs w:val="24"/>
        </w:rPr>
      </w:pPr>
      <w:r w:rsidRPr="0049428D">
        <w:rPr>
          <w:rFonts w:cs="Arial"/>
          <w:szCs w:val="24"/>
        </w:rPr>
        <w:t xml:space="preserve">O Decreto Federal nº 2.655/1998 </w:t>
      </w:r>
      <w:r w:rsidR="0049428D" w:rsidRPr="0049428D">
        <w:rPr>
          <w:rFonts w:cs="Arial"/>
          <w:szCs w:val="24"/>
        </w:rPr>
        <w:t xml:space="preserve">prevê que </w:t>
      </w:r>
      <w:r w:rsidR="0049428D">
        <w:rPr>
          <w:rFonts w:cs="Arial"/>
          <w:szCs w:val="24"/>
        </w:rPr>
        <w:t>a</w:t>
      </w:r>
      <w:r w:rsidR="00D11794" w:rsidRPr="0049428D">
        <w:rPr>
          <w:rFonts w:cs="Arial"/>
          <w:color w:val="000000"/>
          <w:szCs w:val="24"/>
        </w:rPr>
        <w:t xml:space="preserve"> </w:t>
      </w:r>
      <w:r w:rsidR="0049428D">
        <w:rPr>
          <w:rFonts w:cs="Arial"/>
          <w:i/>
          <w:color w:val="000000"/>
          <w:szCs w:val="24"/>
        </w:rPr>
        <w:t>“</w:t>
      </w:r>
      <w:r w:rsidR="00D11794" w:rsidRPr="0049428D">
        <w:rPr>
          <w:rFonts w:cs="Arial"/>
          <w:i/>
          <w:color w:val="000000"/>
          <w:szCs w:val="24"/>
        </w:rPr>
        <w:t>ANEEL estabelecerá as condições gerais do acesso aos sistemas de transmissão e de distribuição, compreendendo o uso e a conexão, e regulará as tarifas correspondentes, com vistas a</w:t>
      </w:r>
      <w:r w:rsidR="0049428D">
        <w:rPr>
          <w:rFonts w:cs="Arial"/>
          <w:i/>
          <w:color w:val="000000"/>
          <w:szCs w:val="24"/>
        </w:rPr>
        <w:t xml:space="preserve">: </w:t>
      </w:r>
      <w:r w:rsidR="0049428D">
        <w:rPr>
          <w:rFonts w:cs="Arial"/>
          <w:color w:val="000000"/>
          <w:szCs w:val="24"/>
        </w:rPr>
        <w:t xml:space="preserve">(...) </w:t>
      </w:r>
      <w:r w:rsidR="00D11794" w:rsidRPr="0049428D">
        <w:rPr>
          <w:rFonts w:cs="Arial"/>
          <w:i/>
          <w:color w:val="000000"/>
          <w:szCs w:val="24"/>
        </w:rPr>
        <w:t xml:space="preserve">IV </w:t>
      </w:r>
      <w:r w:rsidR="0049428D">
        <w:rPr>
          <w:rFonts w:cs="Arial"/>
          <w:i/>
          <w:color w:val="000000"/>
          <w:szCs w:val="24"/>
        </w:rPr>
        <w:t>–</w:t>
      </w:r>
      <w:r w:rsidR="00D11794" w:rsidRPr="0049428D">
        <w:rPr>
          <w:rFonts w:cs="Arial"/>
          <w:i/>
          <w:color w:val="000000"/>
          <w:szCs w:val="24"/>
        </w:rPr>
        <w:t xml:space="preserve"> </w:t>
      </w:r>
      <w:r w:rsidR="00D11794" w:rsidRPr="0049428D">
        <w:rPr>
          <w:rFonts w:cs="Arial"/>
          <w:b/>
          <w:i/>
          <w:color w:val="000000"/>
          <w:szCs w:val="24"/>
        </w:rPr>
        <w:t>induzir a utilização racional dos sistemas</w:t>
      </w:r>
      <w:r w:rsidR="0049428D">
        <w:rPr>
          <w:rFonts w:cs="Arial"/>
          <w:i/>
          <w:color w:val="000000"/>
          <w:szCs w:val="24"/>
        </w:rPr>
        <w:t>”</w:t>
      </w:r>
      <w:r w:rsidR="0049428D">
        <w:rPr>
          <w:rFonts w:cs="Arial"/>
          <w:color w:val="000000"/>
          <w:szCs w:val="24"/>
        </w:rPr>
        <w:t xml:space="preserve"> (grifou-se).</w:t>
      </w:r>
    </w:p>
    <w:p w:rsidR="007F2593" w:rsidRDefault="007F2593" w:rsidP="0049428D">
      <w:pPr>
        <w:pStyle w:val="PetioF9"/>
        <w:spacing w:line="360" w:lineRule="exact"/>
        <w:ind w:firstLine="0"/>
        <w:rPr>
          <w:rFonts w:cs="Arial"/>
          <w:color w:val="000000"/>
          <w:szCs w:val="24"/>
        </w:rPr>
      </w:pPr>
    </w:p>
    <w:p w:rsidR="00D11794" w:rsidRDefault="007F2593" w:rsidP="007F2593">
      <w:pPr>
        <w:pStyle w:val="PetioF9"/>
        <w:spacing w:line="360" w:lineRule="exact"/>
        <w:ind w:firstLine="0"/>
        <w:rPr>
          <w:rFonts w:cs="Arial"/>
          <w:szCs w:val="24"/>
        </w:rPr>
      </w:pPr>
      <w:r>
        <w:rPr>
          <w:rFonts w:cs="Arial"/>
          <w:color w:val="000000"/>
          <w:szCs w:val="24"/>
        </w:rPr>
        <w:t>Assim também, o PRODIST estabelece que as</w:t>
      </w:r>
      <w:r w:rsidR="00D11794" w:rsidRPr="0049428D">
        <w:rPr>
          <w:rFonts w:cs="Arial"/>
          <w:i/>
          <w:szCs w:val="24"/>
        </w:rPr>
        <w:t xml:space="preserve"> </w:t>
      </w:r>
      <w:r>
        <w:rPr>
          <w:rFonts w:cs="Arial"/>
          <w:i/>
          <w:szCs w:val="24"/>
        </w:rPr>
        <w:t>“</w:t>
      </w:r>
      <w:r w:rsidR="00D11794" w:rsidRPr="0049428D">
        <w:rPr>
          <w:rFonts w:cs="Arial"/>
          <w:i/>
          <w:szCs w:val="24"/>
        </w:rPr>
        <w:t xml:space="preserve">responsabilidades e obrigações para a implementação do acesso são estabelecidas para a adoção de alternativas que privilegiem </w:t>
      </w:r>
      <w:r w:rsidR="00D11794" w:rsidRPr="0049428D">
        <w:rPr>
          <w:rFonts w:cs="Arial"/>
          <w:b/>
          <w:i/>
          <w:szCs w:val="24"/>
        </w:rPr>
        <w:t>a racionalização da expansão dos sistemas de distribuição</w:t>
      </w:r>
      <w:r w:rsidR="00D11794" w:rsidRPr="0049428D">
        <w:rPr>
          <w:rFonts w:cs="Arial"/>
          <w:i/>
          <w:szCs w:val="24"/>
        </w:rPr>
        <w:t xml:space="preserve"> e transmissão, </w:t>
      </w:r>
      <w:r w:rsidR="00D11794" w:rsidRPr="008B623F">
        <w:rPr>
          <w:rFonts w:cs="Arial"/>
          <w:i/>
          <w:szCs w:val="24"/>
        </w:rPr>
        <w:t>com base no menor custo global</w:t>
      </w:r>
      <w:r>
        <w:rPr>
          <w:rFonts w:cs="Arial"/>
          <w:i/>
          <w:szCs w:val="24"/>
        </w:rPr>
        <w:t>”</w:t>
      </w:r>
      <w:r>
        <w:rPr>
          <w:rFonts w:cs="Arial"/>
          <w:szCs w:val="24"/>
        </w:rPr>
        <w:t xml:space="preserve"> (item 4.6. </w:t>
      </w:r>
      <w:proofErr w:type="gramStart"/>
      <w:r>
        <w:rPr>
          <w:rFonts w:cs="Arial"/>
          <w:szCs w:val="24"/>
        </w:rPr>
        <w:t>da</w:t>
      </w:r>
      <w:proofErr w:type="gramEnd"/>
      <w:r>
        <w:rPr>
          <w:rFonts w:cs="Arial"/>
          <w:szCs w:val="24"/>
        </w:rPr>
        <w:t xml:space="preserve"> seção 3.0. </w:t>
      </w:r>
      <w:proofErr w:type="gramStart"/>
      <w:r>
        <w:rPr>
          <w:rFonts w:cs="Arial"/>
          <w:szCs w:val="24"/>
        </w:rPr>
        <w:t>do</w:t>
      </w:r>
      <w:proofErr w:type="gramEnd"/>
      <w:r>
        <w:rPr>
          <w:rFonts w:cs="Arial"/>
          <w:szCs w:val="24"/>
        </w:rPr>
        <w:t xml:space="preserve"> Módulo 3 – grifou-se).</w:t>
      </w:r>
    </w:p>
    <w:p w:rsidR="008B623F" w:rsidRDefault="008B623F" w:rsidP="007F2593">
      <w:pPr>
        <w:pStyle w:val="PetioF9"/>
        <w:spacing w:line="360" w:lineRule="exact"/>
        <w:ind w:firstLine="0"/>
        <w:rPr>
          <w:rFonts w:cs="Arial"/>
          <w:szCs w:val="24"/>
        </w:rPr>
      </w:pPr>
    </w:p>
    <w:p w:rsidR="008B623F" w:rsidRDefault="00645C28" w:rsidP="007F2593">
      <w:pPr>
        <w:pStyle w:val="PetioF9"/>
        <w:spacing w:line="360" w:lineRule="exact"/>
        <w:ind w:firstLine="0"/>
        <w:rPr>
          <w:rFonts w:cs="Arial"/>
          <w:szCs w:val="24"/>
        </w:rPr>
      </w:pPr>
      <w:r>
        <w:rPr>
          <w:rFonts w:cs="Arial"/>
          <w:szCs w:val="24"/>
        </w:rPr>
        <w:lastRenderedPageBreak/>
        <w:t>Portanto, c</w:t>
      </w:r>
      <w:r w:rsidR="008B623F">
        <w:rPr>
          <w:rFonts w:cs="Arial"/>
          <w:szCs w:val="24"/>
        </w:rPr>
        <w:t>aso haja justificativas técnicas suficientes – o que escapa do objeto deste es</w:t>
      </w:r>
      <w:r w:rsidR="00624E95">
        <w:rPr>
          <w:rFonts w:cs="Arial"/>
          <w:szCs w:val="24"/>
        </w:rPr>
        <w:t>tudo –, entendemos que seria possível questionar a razoabilidade das restrições</w:t>
      </w:r>
      <w:r w:rsidR="00D02A88">
        <w:rPr>
          <w:rFonts w:cs="Arial"/>
          <w:szCs w:val="24"/>
        </w:rPr>
        <w:t xml:space="preserve"> quanto ao compartilhamento de subestações.</w:t>
      </w:r>
    </w:p>
    <w:p w:rsidR="00D02A88" w:rsidRDefault="00D02A88" w:rsidP="007F2593">
      <w:pPr>
        <w:pStyle w:val="PetioF9"/>
        <w:spacing w:line="360" w:lineRule="exact"/>
        <w:ind w:firstLine="0"/>
        <w:rPr>
          <w:rFonts w:cs="Arial"/>
          <w:szCs w:val="24"/>
        </w:rPr>
      </w:pPr>
    </w:p>
    <w:p w:rsidR="004E58FE" w:rsidRDefault="00D02A88" w:rsidP="007F2593">
      <w:pPr>
        <w:pStyle w:val="PetioF9"/>
        <w:spacing w:line="360" w:lineRule="exact"/>
        <w:ind w:firstLine="0"/>
        <w:rPr>
          <w:rFonts w:cs="Arial"/>
          <w:szCs w:val="24"/>
        </w:rPr>
      </w:pPr>
      <w:r>
        <w:rPr>
          <w:rFonts w:cs="Arial"/>
          <w:szCs w:val="24"/>
        </w:rPr>
        <w:t>Pa</w:t>
      </w:r>
      <w:r w:rsidR="00FD782F">
        <w:rPr>
          <w:rFonts w:cs="Arial"/>
          <w:szCs w:val="24"/>
        </w:rPr>
        <w:t xml:space="preserve">ra além de questões ambientais incidentes sobre a multiplicação de subestações elétricas </w:t>
      </w:r>
      <w:r w:rsidR="004C4F32">
        <w:rPr>
          <w:rFonts w:cs="Arial"/>
          <w:szCs w:val="24"/>
        </w:rPr>
        <w:t xml:space="preserve">em cada empreendimento comercial da região metropolitana, </w:t>
      </w:r>
      <w:r w:rsidR="004E58FE">
        <w:rPr>
          <w:rFonts w:cs="Arial"/>
          <w:szCs w:val="24"/>
        </w:rPr>
        <w:t xml:space="preserve">a questão está também pautada pelo princípio da eficiência, previsto no artigo 37, </w:t>
      </w:r>
      <w:r w:rsidR="004E58FE">
        <w:rPr>
          <w:rFonts w:cs="Arial"/>
          <w:i/>
          <w:szCs w:val="24"/>
        </w:rPr>
        <w:t>caput</w:t>
      </w:r>
      <w:r w:rsidR="004E58FE">
        <w:rPr>
          <w:rFonts w:cs="Arial"/>
          <w:szCs w:val="24"/>
        </w:rPr>
        <w:t>, da Constituição Federal.</w:t>
      </w:r>
      <w:r w:rsidR="004C4F32">
        <w:rPr>
          <w:rFonts w:cs="Arial"/>
          <w:szCs w:val="24"/>
        </w:rPr>
        <w:t xml:space="preserve"> </w:t>
      </w:r>
    </w:p>
    <w:p w:rsidR="004E58FE" w:rsidRDefault="004E58FE" w:rsidP="007F2593">
      <w:pPr>
        <w:pStyle w:val="PetioF9"/>
        <w:spacing w:line="360" w:lineRule="exact"/>
        <w:ind w:firstLine="0"/>
        <w:rPr>
          <w:rFonts w:cs="Arial"/>
          <w:szCs w:val="24"/>
        </w:rPr>
      </w:pPr>
    </w:p>
    <w:p w:rsidR="00D02A88" w:rsidRDefault="004E58FE" w:rsidP="007F2593">
      <w:pPr>
        <w:pStyle w:val="PetioF9"/>
        <w:spacing w:line="360" w:lineRule="exact"/>
        <w:ind w:firstLine="0"/>
        <w:rPr>
          <w:rFonts w:cs="Arial"/>
          <w:szCs w:val="24"/>
        </w:rPr>
      </w:pPr>
      <w:r>
        <w:rPr>
          <w:rFonts w:cs="Arial"/>
          <w:szCs w:val="24"/>
        </w:rPr>
        <w:t xml:space="preserve">Nesse passo, a </w:t>
      </w:r>
      <w:r w:rsidR="004C4F32">
        <w:rPr>
          <w:rFonts w:cs="Arial"/>
          <w:szCs w:val="24"/>
        </w:rPr>
        <w:t xml:space="preserve">legislação regulatória tem tornado regra o compartilhamento de infraestrutura de serviços públicos, justamente em atenção a uma necessária racionalização </w:t>
      </w:r>
      <w:r w:rsidR="0010479A">
        <w:rPr>
          <w:rFonts w:cs="Arial"/>
          <w:szCs w:val="24"/>
        </w:rPr>
        <w:t>dos recursos.</w:t>
      </w:r>
    </w:p>
    <w:p w:rsidR="0010479A" w:rsidRDefault="0010479A" w:rsidP="007F2593">
      <w:pPr>
        <w:pStyle w:val="PetioF9"/>
        <w:spacing w:line="360" w:lineRule="exact"/>
        <w:ind w:firstLine="0"/>
        <w:rPr>
          <w:rFonts w:cs="Arial"/>
          <w:szCs w:val="24"/>
        </w:rPr>
      </w:pPr>
    </w:p>
    <w:p w:rsidR="0010479A" w:rsidRDefault="0010479A" w:rsidP="007F2593">
      <w:pPr>
        <w:pStyle w:val="PetioF9"/>
        <w:spacing w:line="360" w:lineRule="exact"/>
        <w:ind w:firstLine="0"/>
        <w:rPr>
          <w:rFonts w:cs="Arial"/>
          <w:szCs w:val="24"/>
        </w:rPr>
      </w:pPr>
      <w:r>
        <w:rPr>
          <w:rFonts w:cs="Arial"/>
          <w:szCs w:val="24"/>
        </w:rPr>
        <w:t>A esse respeito, vale</w:t>
      </w:r>
      <w:r w:rsidR="004E58FE">
        <w:rPr>
          <w:rFonts w:cs="Arial"/>
          <w:szCs w:val="24"/>
        </w:rPr>
        <w:t xml:space="preserve"> aqui lembrar </w:t>
      </w:r>
      <w:r>
        <w:rPr>
          <w:rFonts w:cs="Arial"/>
          <w:szCs w:val="24"/>
        </w:rPr>
        <w:t>a recente “Lei Geral de Antenas” (Lei Federal nº 13.116/2015):</w:t>
      </w:r>
    </w:p>
    <w:p w:rsidR="0010479A" w:rsidRDefault="0010479A" w:rsidP="007F2593">
      <w:pPr>
        <w:pStyle w:val="PetioF9"/>
        <w:spacing w:line="360" w:lineRule="exact"/>
        <w:ind w:firstLine="0"/>
        <w:rPr>
          <w:rFonts w:cs="Arial"/>
          <w:szCs w:val="24"/>
        </w:rPr>
      </w:pPr>
    </w:p>
    <w:p w:rsidR="001B2961" w:rsidRPr="001B2961" w:rsidRDefault="001B2961" w:rsidP="001B2961">
      <w:pPr>
        <w:pStyle w:val="artigo"/>
        <w:spacing w:before="0" w:beforeAutospacing="0" w:after="0" w:afterAutospacing="0"/>
        <w:ind w:left="1134" w:right="1134"/>
        <w:jc w:val="both"/>
        <w:rPr>
          <w:rFonts w:ascii="Arial" w:hAnsi="Arial" w:cs="Arial"/>
          <w:i/>
          <w:color w:val="000000"/>
          <w:sz w:val="22"/>
          <w:szCs w:val="22"/>
        </w:rPr>
      </w:pPr>
      <w:r>
        <w:rPr>
          <w:rFonts w:ascii="Arial" w:hAnsi="Arial" w:cs="Arial"/>
          <w:i/>
          <w:color w:val="000000"/>
          <w:sz w:val="22"/>
          <w:szCs w:val="22"/>
        </w:rPr>
        <w:t>“</w:t>
      </w:r>
      <w:r w:rsidRPr="001B2961">
        <w:rPr>
          <w:rFonts w:ascii="Arial" w:hAnsi="Arial" w:cs="Arial"/>
          <w:i/>
          <w:color w:val="000000"/>
          <w:sz w:val="22"/>
          <w:szCs w:val="22"/>
        </w:rPr>
        <w:t>Art. 2</w:t>
      </w:r>
      <w:r>
        <w:rPr>
          <w:rFonts w:ascii="Arial" w:hAnsi="Arial" w:cs="Arial"/>
          <w:i/>
          <w:color w:val="000000"/>
          <w:sz w:val="22"/>
          <w:szCs w:val="22"/>
        </w:rPr>
        <w:t xml:space="preserve">º </w:t>
      </w:r>
      <w:r w:rsidRPr="001B2961">
        <w:rPr>
          <w:rFonts w:ascii="Arial" w:hAnsi="Arial" w:cs="Arial"/>
          <w:i/>
          <w:color w:val="000000"/>
          <w:sz w:val="22"/>
          <w:szCs w:val="22"/>
        </w:rPr>
        <w:t>O disposto nesta Lei tem por objetivo promover e fomentar os investimentos em infraestrutura de redes de telecomunicações, visando, entre outros:</w:t>
      </w:r>
    </w:p>
    <w:p w:rsidR="001B2961" w:rsidRPr="001B2961" w:rsidRDefault="001B2961" w:rsidP="001B2961">
      <w:pPr>
        <w:pStyle w:val="artigo"/>
        <w:spacing w:before="0" w:beforeAutospacing="0" w:after="0" w:afterAutospacing="0"/>
        <w:ind w:left="1134" w:right="1134"/>
        <w:jc w:val="both"/>
        <w:rPr>
          <w:rFonts w:ascii="Arial" w:hAnsi="Arial" w:cs="Arial"/>
          <w:color w:val="000000"/>
          <w:sz w:val="22"/>
          <w:szCs w:val="22"/>
        </w:rPr>
      </w:pPr>
      <w:r>
        <w:rPr>
          <w:rFonts w:ascii="Arial" w:hAnsi="Arial" w:cs="Arial"/>
          <w:color w:val="000000"/>
          <w:sz w:val="22"/>
          <w:szCs w:val="22"/>
        </w:rPr>
        <w:t>(...)</w:t>
      </w:r>
    </w:p>
    <w:p w:rsidR="001B2961" w:rsidRPr="001B2961" w:rsidRDefault="001B2961" w:rsidP="001B2961">
      <w:pPr>
        <w:pStyle w:val="artigo"/>
        <w:spacing w:before="0" w:beforeAutospacing="0" w:after="0" w:afterAutospacing="0"/>
        <w:ind w:left="1134" w:right="1134"/>
        <w:jc w:val="both"/>
        <w:rPr>
          <w:rFonts w:ascii="Arial" w:hAnsi="Arial" w:cs="Arial"/>
          <w:color w:val="000000"/>
          <w:sz w:val="22"/>
          <w:szCs w:val="22"/>
        </w:rPr>
      </w:pPr>
      <w:r w:rsidRPr="001B2961">
        <w:rPr>
          <w:rFonts w:ascii="Arial" w:hAnsi="Arial" w:cs="Arial"/>
          <w:i/>
          <w:color w:val="000000"/>
          <w:sz w:val="22"/>
          <w:szCs w:val="22"/>
        </w:rPr>
        <w:t xml:space="preserve">V </w:t>
      </w:r>
      <w:r>
        <w:rPr>
          <w:rFonts w:ascii="Arial" w:hAnsi="Arial" w:cs="Arial"/>
          <w:i/>
          <w:color w:val="000000"/>
          <w:sz w:val="22"/>
          <w:szCs w:val="22"/>
        </w:rPr>
        <w:t>–</w:t>
      </w:r>
      <w:r w:rsidRPr="001B2961">
        <w:rPr>
          <w:rFonts w:ascii="Arial" w:hAnsi="Arial" w:cs="Arial"/>
          <w:i/>
          <w:color w:val="000000"/>
          <w:sz w:val="22"/>
          <w:szCs w:val="22"/>
        </w:rPr>
        <w:t xml:space="preserve"> </w:t>
      </w:r>
      <w:proofErr w:type="gramStart"/>
      <w:r w:rsidRPr="001B2961">
        <w:rPr>
          <w:rFonts w:ascii="Arial" w:hAnsi="Arial" w:cs="Arial"/>
          <w:i/>
          <w:color w:val="000000"/>
          <w:sz w:val="22"/>
          <w:szCs w:val="22"/>
        </w:rPr>
        <w:t>ao</w:t>
      </w:r>
      <w:proofErr w:type="gramEnd"/>
      <w:r w:rsidRPr="001B2961">
        <w:rPr>
          <w:rFonts w:ascii="Arial" w:hAnsi="Arial" w:cs="Arial"/>
          <w:i/>
          <w:color w:val="000000"/>
          <w:sz w:val="22"/>
          <w:szCs w:val="22"/>
        </w:rPr>
        <w:t xml:space="preserve"> </w:t>
      </w:r>
      <w:r w:rsidRPr="001B2961">
        <w:rPr>
          <w:rFonts w:ascii="Arial" w:hAnsi="Arial" w:cs="Arial"/>
          <w:b/>
          <w:i/>
          <w:color w:val="000000"/>
          <w:sz w:val="22"/>
          <w:szCs w:val="22"/>
        </w:rPr>
        <w:t>incentivo ao compartilhamento de infraestrutura de redes de telecomunicações</w:t>
      </w:r>
      <w:r>
        <w:rPr>
          <w:rFonts w:ascii="Arial" w:hAnsi="Arial" w:cs="Arial"/>
          <w:i/>
          <w:color w:val="000000"/>
          <w:sz w:val="22"/>
          <w:szCs w:val="22"/>
        </w:rPr>
        <w:t>”</w:t>
      </w:r>
      <w:r>
        <w:rPr>
          <w:rFonts w:ascii="Arial" w:hAnsi="Arial" w:cs="Arial"/>
          <w:color w:val="000000"/>
          <w:sz w:val="22"/>
          <w:szCs w:val="22"/>
        </w:rPr>
        <w:t xml:space="preserve"> (grifou-se).</w:t>
      </w:r>
    </w:p>
    <w:p w:rsidR="001B2961" w:rsidRDefault="001B2961" w:rsidP="001B2961">
      <w:pPr>
        <w:pStyle w:val="artigo"/>
        <w:spacing w:before="0" w:beforeAutospacing="0" w:after="0" w:afterAutospacing="0"/>
        <w:ind w:left="1134" w:right="1134"/>
        <w:jc w:val="both"/>
        <w:rPr>
          <w:rFonts w:ascii="Arial" w:hAnsi="Arial" w:cs="Arial"/>
          <w:i/>
          <w:color w:val="000000"/>
          <w:sz w:val="22"/>
          <w:szCs w:val="22"/>
        </w:rPr>
      </w:pPr>
    </w:p>
    <w:p w:rsidR="0010479A" w:rsidRPr="0029408C" w:rsidRDefault="00DC65B6" w:rsidP="0029408C">
      <w:pPr>
        <w:pStyle w:val="artigo"/>
        <w:spacing w:before="0" w:beforeAutospacing="0" w:after="0" w:afterAutospacing="0"/>
        <w:ind w:left="1134" w:right="1134"/>
        <w:jc w:val="both"/>
        <w:rPr>
          <w:rFonts w:ascii="Arial" w:hAnsi="Arial" w:cs="Arial"/>
          <w:color w:val="000000"/>
          <w:sz w:val="22"/>
          <w:szCs w:val="22"/>
        </w:rPr>
      </w:pPr>
      <w:r>
        <w:rPr>
          <w:rFonts w:ascii="Arial" w:hAnsi="Arial" w:cs="Arial"/>
          <w:i/>
          <w:color w:val="000000"/>
          <w:sz w:val="22"/>
          <w:szCs w:val="22"/>
        </w:rPr>
        <w:t>“</w:t>
      </w:r>
      <w:r w:rsidR="001B2961">
        <w:rPr>
          <w:rFonts w:ascii="Arial" w:hAnsi="Arial" w:cs="Arial"/>
          <w:i/>
          <w:color w:val="000000"/>
          <w:sz w:val="22"/>
          <w:szCs w:val="22"/>
        </w:rPr>
        <w:t xml:space="preserve">Art. 14. </w:t>
      </w:r>
      <w:r w:rsidR="001B2961" w:rsidRPr="001B2961">
        <w:rPr>
          <w:rFonts w:ascii="Arial" w:hAnsi="Arial" w:cs="Arial"/>
          <w:b/>
          <w:i/>
          <w:color w:val="000000"/>
          <w:sz w:val="22"/>
          <w:szCs w:val="22"/>
        </w:rPr>
        <w:t>É obrigatório o compartilhamento da capacidade excedente da infraestrutura de suporte</w:t>
      </w:r>
      <w:r w:rsidR="001B2961" w:rsidRPr="001B2961">
        <w:rPr>
          <w:rFonts w:ascii="Arial" w:hAnsi="Arial" w:cs="Arial"/>
          <w:i/>
          <w:color w:val="000000"/>
          <w:sz w:val="22"/>
          <w:szCs w:val="22"/>
        </w:rPr>
        <w:t>, exceto quando houver justificado motivo técnico</w:t>
      </w:r>
      <w:r w:rsidR="0029408C">
        <w:rPr>
          <w:rFonts w:ascii="Arial" w:hAnsi="Arial" w:cs="Arial"/>
          <w:i/>
          <w:color w:val="000000"/>
          <w:sz w:val="22"/>
          <w:szCs w:val="22"/>
        </w:rPr>
        <w:t>”</w:t>
      </w:r>
      <w:r w:rsidR="0029408C">
        <w:rPr>
          <w:rFonts w:ascii="Arial" w:hAnsi="Arial" w:cs="Arial"/>
          <w:color w:val="000000"/>
          <w:sz w:val="22"/>
          <w:szCs w:val="22"/>
        </w:rPr>
        <w:t xml:space="preserve"> (grifou-se).</w:t>
      </w:r>
    </w:p>
    <w:p w:rsidR="0010479A" w:rsidRDefault="0010479A" w:rsidP="007F2593">
      <w:pPr>
        <w:pStyle w:val="PetioF9"/>
        <w:spacing w:line="360" w:lineRule="exact"/>
        <w:ind w:firstLine="0"/>
        <w:rPr>
          <w:rFonts w:cs="Arial"/>
          <w:szCs w:val="24"/>
        </w:rPr>
      </w:pPr>
    </w:p>
    <w:p w:rsidR="0010479A" w:rsidRDefault="004E58FE" w:rsidP="007F2593">
      <w:pPr>
        <w:pStyle w:val="PetioF9"/>
        <w:spacing w:line="360" w:lineRule="exact"/>
        <w:ind w:firstLine="0"/>
        <w:rPr>
          <w:rFonts w:cs="Arial"/>
          <w:szCs w:val="24"/>
        </w:rPr>
      </w:pPr>
      <w:r>
        <w:rPr>
          <w:rFonts w:cs="Arial"/>
          <w:szCs w:val="24"/>
        </w:rPr>
        <w:t xml:space="preserve">E, no próprio setor elétrico, </w:t>
      </w:r>
      <w:r w:rsidR="005C5141">
        <w:rPr>
          <w:rFonts w:cs="Arial"/>
          <w:szCs w:val="24"/>
        </w:rPr>
        <w:t xml:space="preserve">existe a possibilidade de compartilhamento de infraestrutura física, entre concessionárias, permissionárias </w:t>
      </w:r>
      <w:r w:rsidR="00D74927">
        <w:rPr>
          <w:rFonts w:cs="Arial"/>
          <w:szCs w:val="24"/>
        </w:rPr>
        <w:t xml:space="preserve">e autorizadas, nos termos </w:t>
      </w:r>
      <w:r w:rsidR="00DC65B6">
        <w:rPr>
          <w:rFonts w:cs="Arial"/>
          <w:szCs w:val="24"/>
        </w:rPr>
        <w:t>da Resolução ANEEL nº 334/2008.</w:t>
      </w:r>
    </w:p>
    <w:p w:rsidR="00DC65B6" w:rsidRDefault="00DC65B6" w:rsidP="007F2593">
      <w:pPr>
        <w:pStyle w:val="PetioF9"/>
        <w:spacing w:line="360" w:lineRule="exact"/>
        <w:ind w:firstLine="0"/>
        <w:rPr>
          <w:rFonts w:cs="Arial"/>
          <w:szCs w:val="24"/>
        </w:rPr>
      </w:pPr>
    </w:p>
    <w:p w:rsidR="00DC65B6" w:rsidRDefault="007F32E4" w:rsidP="007F2593">
      <w:pPr>
        <w:pStyle w:val="PetioF9"/>
        <w:spacing w:line="360" w:lineRule="exact"/>
        <w:ind w:firstLine="0"/>
        <w:rPr>
          <w:rFonts w:cs="Arial"/>
          <w:szCs w:val="24"/>
        </w:rPr>
      </w:pPr>
      <w:r>
        <w:rPr>
          <w:rFonts w:cs="Arial"/>
          <w:szCs w:val="24"/>
        </w:rPr>
        <w:t xml:space="preserve">Enfim, no que toca </w:t>
      </w:r>
      <w:r w:rsidR="004541BF">
        <w:rPr>
          <w:rFonts w:cs="Arial"/>
          <w:szCs w:val="24"/>
        </w:rPr>
        <w:t>ao questionamento da legislação, em tese – e a depender de fundamentos técnicos</w:t>
      </w:r>
      <w:r w:rsidR="00B75BA6">
        <w:rPr>
          <w:rFonts w:cs="Arial"/>
          <w:szCs w:val="24"/>
        </w:rPr>
        <w:t xml:space="preserve"> específicos</w:t>
      </w:r>
      <w:r w:rsidR="004541BF">
        <w:rPr>
          <w:rFonts w:cs="Arial"/>
          <w:szCs w:val="24"/>
        </w:rPr>
        <w:t xml:space="preserve"> –</w:t>
      </w:r>
      <w:r w:rsidR="00B75BA6">
        <w:rPr>
          <w:rFonts w:cs="Arial"/>
          <w:szCs w:val="24"/>
        </w:rPr>
        <w:t>,</w:t>
      </w:r>
      <w:r w:rsidR="004541BF">
        <w:rPr>
          <w:rFonts w:cs="Arial"/>
          <w:szCs w:val="24"/>
        </w:rPr>
        <w:t xml:space="preserve"> seria possível apenas </w:t>
      </w:r>
      <w:r w:rsidR="004541BF" w:rsidRPr="00E023AE">
        <w:rPr>
          <w:rFonts w:cs="Arial"/>
          <w:b/>
          <w:szCs w:val="24"/>
          <w:u w:val="single"/>
        </w:rPr>
        <w:t>questionar a constitucionalidade das restrições ao compartilhamento das subestações</w:t>
      </w:r>
      <w:r w:rsidR="004541BF">
        <w:rPr>
          <w:rFonts w:cs="Arial"/>
          <w:szCs w:val="24"/>
        </w:rPr>
        <w:t xml:space="preserve">, </w:t>
      </w:r>
      <w:r w:rsidR="00583544">
        <w:rPr>
          <w:rFonts w:cs="Arial"/>
          <w:szCs w:val="24"/>
        </w:rPr>
        <w:t>por ofensa ao princípio da proporcionalidade e da razoabilidade.</w:t>
      </w:r>
    </w:p>
    <w:p w:rsidR="00D371D5" w:rsidRDefault="00D371D5" w:rsidP="007F2593">
      <w:pPr>
        <w:pStyle w:val="PetioF9"/>
        <w:spacing w:line="360" w:lineRule="exact"/>
        <w:ind w:firstLine="0"/>
        <w:rPr>
          <w:rFonts w:cs="Arial"/>
          <w:szCs w:val="24"/>
        </w:rPr>
      </w:pPr>
    </w:p>
    <w:p w:rsidR="00D371D5" w:rsidRDefault="00D371D5" w:rsidP="007F2593">
      <w:pPr>
        <w:pStyle w:val="PetioF9"/>
        <w:spacing w:line="360" w:lineRule="exact"/>
        <w:ind w:firstLine="0"/>
        <w:rPr>
          <w:rFonts w:cs="Arial"/>
          <w:szCs w:val="24"/>
        </w:rPr>
      </w:pPr>
      <w:r>
        <w:rPr>
          <w:rFonts w:cs="Arial"/>
          <w:szCs w:val="24"/>
        </w:rPr>
        <w:t xml:space="preserve">Aqui vale um reforço sobre a imprescindibilidade desse embasamento </w:t>
      </w:r>
      <w:r w:rsidR="001E486A">
        <w:rPr>
          <w:rFonts w:cs="Arial"/>
          <w:szCs w:val="24"/>
        </w:rPr>
        <w:t xml:space="preserve">técnico </w:t>
      </w:r>
      <w:r>
        <w:rPr>
          <w:rFonts w:cs="Arial"/>
          <w:szCs w:val="24"/>
        </w:rPr>
        <w:t>que justifique</w:t>
      </w:r>
      <w:r w:rsidR="001E486A">
        <w:rPr>
          <w:rFonts w:cs="Arial"/>
          <w:szCs w:val="24"/>
        </w:rPr>
        <w:t>, para fora de dúvidas,</w:t>
      </w:r>
      <w:r>
        <w:rPr>
          <w:rFonts w:cs="Arial"/>
          <w:szCs w:val="24"/>
        </w:rPr>
        <w:t xml:space="preserve"> a afirmação de que as regras de compartilhamento são</w:t>
      </w:r>
      <w:r w:rsidR="001E486A">
        <w:rPr>
          <w:rFonts w:cs="Arial"/>
          <w:szCs w:val="24"/>
        </w:rPr>
        <w:t xml:space="preserve"> mesmo</w:t>
      </w:r>
      <w:r>
        <w:rPr>
          <w:rFonts w:cs="Arial"/>
          <w:szCs w:val="24"/>
        </w:rPr>
        <w:t xml:space="preserve"> inadequadas.</w:t>
      </w:r>
    </w:p>
    <w:p w:rsidR="00D371D5" w:rsidRDefault="00D371D5" w:rsidP="007F2593">
      <w:pPr>
        <w:pStyle w:val="PetioF9"/>
        <w:spacing w:line="360" w:lineRule="exact"/>
        <w:ind w:firstLine="0"/>
        <w:rPr>
          <w:rFonts w:cs="Arial"/>
          <w:szCs w:val="24"/>
        </w:rPr>
      </w:pPr>
    </w:p>
    <w:p w:rsidR="00D371D5" w:rsidRDefault="00885A09" w:rsidP="007F2593">
      <w:pPr>
        <w:pStyle w:val="PetioF9"/>
        <w:spacing w:line="360" w:lineRule="exact"/>
        <w:ind w:firstLine="0"/>
        <w:rPr>
          <w:rFonts w:cs="Arial"/>
          <w:szCs w:val="24"/>
        </w:rPr>
      </w:pPr>
      <w:r>
        <w:rPr>
          <w:rFonts w:cs="Arial"/>
          <w:szCs w:val="24"/>
        </w:rPr>
        <w:lastRenderedPageBreak/>
        <w:t>E isso porque</w:t>
      </w:r>
      <w:r w:rsidR="002838C6">
        <w:rPr>
          <w:rFonts w:cs="Arial"/>
          <w:szCs w:val="24"/>
        </w:rPr>
        <w:t xml:space="preserve">, </w:t>
      </w:r>
      <w:r w:rsidR="00FA41E6">
        <w:rPr>
          <w:rFonts w:cs="Arial"/>
          <w:szCs w:val="24"/>
        </w:rPr>
        <w:t xml:space="preserve">na prática, </w:t>
      </w:r>
      <w:r w:rsidR="002838C6">
        <w:rPr>
          <w:rFonts w:cs="Arial"/>
          <w:szCs w:val="24"/>
        </w:rPr>
        <w:t xml:space="preserve">o Judiciário apenas </w:t>
      </w:r>
      <w:r w:rsidR="00FA41E6">
        <w:rPr>
          <w:rFonts w:cs="Arial"/>
          <w:szCs w:val="24"/>
        </w:rPr>
        <w:t>cogita</w:t>
      </w:r>
      <w:r>
        <w:rPr>
          <w:rFonts w:cs="Arial"/>
          <w:szCs w:val="24"/>
        </w:rPr>
        <w:t>rá</w:t>
      </w:r>
      <w:r w:rsidR="002838C6">
        <w:rPr>
          <w:rFonts w:cs="Arial"/>
          <w:szCs w:val="24"/>
        </w:rPr>
        <w:t xml:space="preserve"> o afastamento de determinada norma</w:t>
      </w:r>
      <w:r w:rsidR="00FA41E6">
        <w:rPr>
          <w:rFonts w:cs="Arial"/>
          <w:szCs w:val="24"/>
        </w:rPr>
        <w:t>, por afronta ao princípio da razoabilidade,</w:t>
      </w:r>
      <w:r w:rsidR="002838C6">
        <w:rPr>
          <w:rFonts w:cs="Arial"/>
          <w:szCs w:val="24"/>
        </w:rPr>
        <w:t xml:space="preserve"> se houver </w:t>
      </w:r>
      <w:r w:rsidR="00FA41E6">
        <w:rPr>
          <w:rFonts w:cs="Arial"/>
          <w:szCs w:val="24"/>
        </w:rPr>
        <w:t xml:space="preserve">justificativas técnicas sólidas </w:t>
      </w:r>
      <w:r>
        <w:rPr>
          <w:rFonts w:cs="Arial"/>
          <w:szCs w:val="24"/>
        </w:rPr>
        <w:t xml:space="preserve">que assim o demonstrem </w:t>
      </w:r>
      <w:r w:rsidR="00FA41E6">
        <w:rPr>
          <w:rFonts w:cs="Arial"/>
          <w:szCs w:val="24"/>
        </w:rPr>
        <w:t>(</w:t>
      </w:r>
      <w:r>
        <w:rPr>
          <w:rFonts w:cs="Arial"/>
          <w:szCs w:val="24"/>
        </w:rPr>
        <w:t>inclusive</w:t>
      </w:r>
      <w:r w:rsidR="00FA41E6">
        <w:rPr>
          <w:rFonts w:cs="Arial"/>
          <w:szCs w:val="24"/>
        </w:rPr>
        <w:t xml:space="preserve"> mediante perícia judicial).</w:t>
      </w:r>
    </w:p>
    <w:p w:rsidR="00FB2E1B" w:rsidRDefault="00FB2E1B" w:rsidP="007F2593">
      <w:pPr>
        <w:pStyle w:val="PetioF9"/>
        <w:spacing w:line="360" w:lineRule="exact"/>
        <w:ind w:firstLine="0"/>
        <w:rPr>
          <w:rFonts w:cs="Arial"/>
          <w:szCs w:val="24"/>
        </w:rPr>
      </w:pPr>
    </w:p>
    <w:p w:rsidR="00FB2E1B" w:rsidRDefault="00F06259" w:rsidP="007F2593">
      <w:pPr>
        <w:pStyle w:val="PetioF9"/>
        <w:spacing w:line="360" w:lineRule="exact"/>
        <w:ind w:firstLine="0"/>
        <w:rPr>
          <w:rFonts w:cs="Arial"/>
          <w:szCs w:val="24"/>
        </w:rPr>
      </w:pPr>
      <w:r>
        <w:rPr>
          <w:rFonts w:cs="Arial"/>
          <w:szCs w:val="24"/>
        </w:rPr>
        <w:t>N</w:t>
      </w:r>
      <w:r w:rsidR="00FB2E1B">
        <w:rPr>
          <w:rFonts w:cs="Arial"/>
          <w:szCs w:val="24"/>
        </w:rPr>
        <w:t xml:space="preserve">essa hipótese, SMJ, seria </w:t>
      </w:r>
      <w:r w:rsidR="00C55E53">
        <w:rPr>
          <w:rFonts w:cs="Arial"/>
          <w:szCs w:val="24"/>
        </w:rPr>
        <w:t xml:space="preserve">possível </w:t>
      </w:r>
      <w:r w:rsidR="00705DE7">
        <w:rPr>
          <w:rFonts w:cs="Arial"/>
          <w:szCs w:val="24"/>
        </w:rPr>
        <w:t>propor ações judiciais autônomas</w:t>
      </w:r>
      <w:r>
        <w:rPr>
          <w:rFonts w:cs="Arial"/>
          <w:szCs w:val="24"/>
        </w:rPr>
        <w:t xml:space="preserve"> (tendo cada associado </w:t>
      </w:r>
      <w:r w:rsidR="00885A09">
        <w:rPr>
          <w:rFonts w:cs="Arial"/>
          <w:szCs w:val="24"/>
        </w:rPr>
        <w:t xml:space="preserve">da ABRAINC </w:t>
      </w:r>
      <w:r>
        <w:rPr>
          <w:rFonts w:cs="Arial"/>
          <w:szCs w:val="24"/>
        </w:rPr>
        <w:t>como autor)</w:t>
      </w:r>
      <w:r w:rsidR="00705DE7">
        <w:rPr>
          <w:rFonts w:cs="Arial"/>
          <w:szCs w:val="24"/>
        </w:rPr>
        <w:t xml:space="preserve">, caso a caso, a fim de justificar </w:t>
      </w:r>
      <w:r w:rsidR="005D79AD">
        <w:rPr>
          <w:rFonts w:cs="Arial"/>
          <w:szCs w:val="24"/>
        </w:rPr>
        <w:t xml:space="preserve">– na hipótese concreta – a razoabilidade do compartilhamento pretendido com a </w:t>
      </w:r>
      <w:r w:rsidR="00B75BA6">
        <w:rPr>
          <w:rFonts w:cs="Arial"/>
          <w:szCs w:val="24"/>
        </w:rPr>
        <w:t xml:space="preserve">derrogação da norma regulatória </w:t>
      </w:r>
      <w:r w:rsidR="00F525E5">
        <w:rPr>
          <w:rFonts w:cs="Arial"/>
          <w:szCs w:val="24"/>
        </w:rPr>
        <w:t>no caso</w:t>
      </w:r>
      <w:r w:rsidR="00B75BA6">
        <w:rPr>
          <w:rFonts w:cs="Arial"/>
          <w:szCs w:val="24"/>
        </w:rPr>
        <w:t xml:space="preserve"> concret</w:t>
      </w:r>
      <w:r w:rsidR="00F525E5">
        <w:rPr>
          <w:rFonts w:cs="Arial"/>
          <w:szCs w:val="24"/>
        </w:rPr>
        <w:t>o</w:t>
      </w:r>
      <w:r w:rsidR="00B75BA6">
        <w:rPr>
          <w:rFonts w:cs="Arial"/>
          <w:szCs w:val="24"/>
        </w:rPr>
        <w:t>.</w:t>
      </w:r>
      <w:r w:rsidR="00F525E5">
        <w:rPr>
          <w:rFonts w:cs="Arial"/>
          <w:szCs w:val="24"/>
        </w:rPr>
        <w:t xml:space="preserve"> Eventual êxito beneficiaria </w:t>
      </w:r>
      <w:r w:rsidR="00F525E5">
        <w:rPr>
          <w:rFonts w:cs="Arial"/>
          <w:b/>
          <w:szCs w:val="24"/>
          <w:u w:val="single"/>
        </w:rPr>
        <w:t>apenas</w:t>
      </w:r>
      <w:r w:rsidR="00F525E5">
        <w:rPr>
          <w:rFonts w:cs="Arial"/>
          <w:szCs w:val="24"/>
        </w:rPr>
        <w:t xml:space="preserve"> o titular da ação judicial.</w:t>
      </w:r>
    </w:p>
    <w:p w:rsidR="0025574C" w:rsidRDefault="0025574C" w:rsidP="007F2593">
      <w:pPr>
        <w:pStyle w:val="PetioF9"/>
        <w:spacing w:line="360" w:lineRule="exact"/>
        <w:ind w:firstLine="0"/>
        <w:rPr>
          <w:rFonts w:cs="Arial"/>
          <w:szCs w:val="24"/>
        </w:rPr>
      </w:pPr>
    </w:p>
    <w:p w:rsidR="004E6697" w:rsidRDefault="00F525E5" w:rsidP="007F2593">
      <w:pPr>
        <w:pStyle w:val="PetioF9"/>
        <w:spacing w:line="360" w:lineRule="exact"/>
        <w:ind w:firstLine="0"/>
        <w:rPr>
          <w:rFonts w:cs="Arial"/>
          <w:szCs w:val="24"/>
        </w:rPr>
      </w:pPr>
      <w:r>
        <w:rPr>
          <w:rFonts w:cs="Arial"/>
          <w:szCs w:val="24"/>
        </w:rPr>
        <w:t>C</w:t>
      </w:r>
      <w:r w:rsidR="009E4C3F">
        <w:rPr>
          <w:rFonts w:cs="Arial"/>
          <w:szCs w:val="24"/>
        </w:rPr>
        <w:t xml:space="preserve">aso confirmada a existência de fundamento técnico robusto, </w:t>
      </w:r>
      <w:r>
        <w:rPr>
          <w:rFonts w:cs="Arial"/>
          <w:szCs w:val="24"/>
        </w:rPr>
        <w:t xml:space="preserve">na qualidade de entidade de classe nacional, </w:t>
      </w:r>
      <w:r w:rsidR="009E4C3F">
        <w:rPr>
          <w:rFonts w:cs="Arial"/>
          <w:szCs w:val="24"/>
        </w:rPr>
        <w:t xml:space="preserve">a ABRAINC poderia </w:t>
      </w:r>
      <w:r w:rsidR="002716B8">
        <w:rPr>
          <w:rFonts w:cs="Arial"/>
          <w:szCs w:val="24"/>
        </w:rPr>
        <w:t xml:space="preserve">também </w:t>
      </w:r>
      <w:r>
        <w:rPr>
          <w:rFonts w:cs="Arial"/>
          <w:szCs w:val="24"/>
        </w:rPr>
        <w:t>buscar o</w:t>
      </w:r>
      <w:r w:rsidR="009E4C3F">
        <w:rPr>
          <w:rFonts w:cs="Arial"/>
          <w:szCs w:val="24"/>
        </w:rPr>
        <w:t xml:space="preserve"> </w:t>
      </w:r>
      <w:r>
        <w:rPr>
          <w:rFonts w:cs="Arial"/>
          <w:szCs w:val="24"/>
        </w:rPr>
        <w:t>ajuizamento de Ação Direta de Inconsti</w:t>
      </w:r>
      <w:r w:rsidR="004E6697">
        <w:rPr>
          <w:rFonts w:cs="Arial"/>
          <w:szCs w:val="24"/>
        </w:rPr>
        <w:t xml:space="preserve">tucionalidade perante o </w:t>
      </w:r>
      <w:r w:rsidR="004E6697">
        <w:rPr>
          <w:rFonts w:cs="Arial"/>
          <w:smallCaps/>
          <w:szCs w:val="24"/>
        </w:rPr>
        <w:t>Supremo Tribunal Federal</w:t>
      </w:r>
      <w:r w:rsidR="002716B8">
        <w:rPr>
          <w:rFonts w:cs="Arial"/>
          <w:szCs w:val="24"/>
        </w:rPr>
        <w:t>, com efeitos gerais a toda a população.</w:t>
      </w:r>
    </w:p>
    <w:p w:rsidR="004E6697" w:rsidRDefault="004E6697" w:rsidP="007F2593">
      <w:pPr>
        <w:pStyle w:val="PetioF9"/>
        <w:spacing w:line="360" w:lineRule="exact"/>
        <w:ind w:firstLine="0"/>
        <w:rPr>
          <w:rFonts w:cs="Arial"/>
          <w:szCs w:val="24"/>
        </w:rPr>
      </w:pPr>
    </w:p>
    <w:p w:rsidR="00536902" w:rsidRDefault="004E6697" w:rsidP="007F2593">
      <w:pPr>
        <w:pStyle w:val="PetioF9"/>
        <w:spacing w:line="360" w:lineRule="exact"/>
        <w:ind w:firstLine="0"/>
        <w:rPr>
          <w:rFonts w:cs="Arial"/>
          <w:szCs w:val="24"/>
        </w:rPr>
      </w:pPr>
      <w:r>
        <w:rPr>
          <w:rFonts w:cs="Arial"/>
          <w:szCs w:val="24"/>
        </w:rPr>
        <w:t xml:space="preserve">Contudo, </w:t>
      </w:r>
      <w:r w:rsidR="0061104E">
        <w:rPr>
          <w:rFonts w:cs="Arial"/>
          <w:szCs w:val="24"/>
        </w:rPr>
        <w:t xml:space="preserve">conforme </w:t>
      </w:r>
      <w:r w:rsidR="002716B8">
        <w:rPr>
          <w:rFonts w:cs="Arial"/>
          <w:szCs w:val="24"/>
        </w:rPr>
        <w:t xml:space="preserve">já </w:t>
      </w:r>
      <w:r w:rsidR="0061104E">
        <w:rPr>
          <w:rFonts w:cs="Arial"/>
          <w:szCs w:val="24"/>
        </w:rPr>
        <w:t xml:space="preserve">acima destacado, </w:t>
      </w:r>
      <w:r>
        <w:rPr>
          <w:rFonts w:cs="Arial"/>
          <w:szCs w:val="24"/>
        </w:rPr>
        <w:t xml:space="preserve">a </w:t>
      </w:r>
      <w:r w:rsidR="0061104E">
        <w:rPr>
          <w:rFonts w:cs="Arial"/>
          <w:szCs w:val="24"/>
        </w:rPr>
        <w:t>jurisprudência</w:t>
      </w:r>
      <w:r w:rsidR="00F83EBF">
        <w:rPr>
          <w:rFonts w:cs="Arial"/>
          <w:szCs w:val="24"/>
        </w:rPr>
        <w:t xml:space="preserve"> </w:t>
      </w:r>
      <w:r w:rsidR="0061104E">
        <w:rPr>
          <w:rFonts w:cs="Arial"/>
          <w:szCs w:val="24"/>
        </w:rPr>
        <w:t>vem restringindo</w:t>
      </w:r>
      <w:r w:rsidR="0077786F">
        <w:rPr>
          <w:rFonts w:cs="Arial"/>
          <w:szCs w:val="24"/>
        </w:rPr>
        <w:t xml:space="preserve"> a legitimação das entidades de classe, exigindo (i) representantes em</w:t>
      </w:r>
      <w:r w:rsidR="002716B8">
        <w:rPr>
          <w:rFonts w:cs="Arial"/>
          <w:szCs w:val="24"/>
        </w:rPr>
        <w:t>,</w:t>
      </w:r>
      <w:r w:rsidR="0077786F">
        <w:rPr>
          <w:rFonts w:cs="Arial"/>
          <w:szCs w:val="24"/>
        </w:rPr>
        <w:t xml:space="preserve"> no mínimo</w:t>
      </w:r>
      <w:r w:rsidR="002716B8">
        <w:rPr>
          <w:rFonts w:cs="Arial"/>
          <w:szCs w:val="24"/>
        </w:rPr>
        <w:t>,</w:t>
      </w:r>
      <w:r w:rsidR="0077786F">
        <w:rPr>
          <w:rFonts w:cs="Arial"/>
          <w:szCs w:val="24"/>
        </w:rPr>
        <w:t xml:space="preserve"> nove Estados da Federação; </w:t>
      </w:r>
      <w:r w:rsidR="002716B8">
        <w:rPr>
          <w:rFonts w:cs="Arial"/>
          <w:szCs w:val="24"/>
        </w:rPr>
        <w:t xml:space="preserve">além de </w:t>
      </w:r>
      <w:r w:rsidR="0077786F">
        <w:rPr>
          <w:rFonts w:cs="Arial"/>
          <w:szCs w:val="24"/>
        </w:rPr>
        <w:t xml:space="preserve">(ii) </w:t>
      </w:r>
      <w:r w:rsidR="00536902">
        <w:rPr>
          <w:rFonts w:cs="Arial"/>
          <w:szCs w:val="24"/>
        </w:rPr>
        <w:t>objetivos estatutários específicos e diretamente relacionados à matéria legal questionada.</w:t>
      </w:r>
    </w:p>
    <w:p w:rsidR="00536902" w:rsidRDefault="00536902" w:rsidP="007F2593">
      <w:pPr>
        <w:pStyle w:val="PetioF9"/>
        <w:spacing w:line="360" w:lineRule="exact"/>
        <w:ind w:firstLine="0"/>
        <w:rPr>
          <w:rFonts w:cs="Arial"/>
          <w:szCs w:val="24"/>
        </w:rPr>
      </w:pPr>
    </w:p>
    <w:p w:rsidR="00BB2AC3" w:rsidRDefault="00BB2AC3" w:rsidP="007F2593">
      <w:pPr>
        <w:pStyle w:val="PetioF9"/>
        <w:spacing w:line="360" w:lineRule="exact"/>
        <w:ind w:firstLine="0"/>
        <w:rPr>
          <w:rFonts w:cs="Arial"/>
          <w:szCs w:val="24"/>
        </w:rPr>
      </w:pPr>
    </w:p>
    <w:p w:rsidR="00BB2AC3" w:rsidRDefault="00BB2AC3" w:rsidP="007F2593">
      <w:pPr>
        <w:pStyle w:val="PetioF9"/>
        <w:spacing w:line="360" w:lineRule="exact"/>
        <w:ind w:firstLine="0"/>
        <w:rPr>
          <w:rFonts w:cs="Arial"/>
          <w:szCs w:val="24"/>
        </w:rPr>
      </w:pPr>
    </w:p>
    <w:p w:rsidR="00BB2AC3" w:rsidRDefault="00BB2AC3" w:rsidP="007F2593">
      <w:pPr>
        <w:pStyle w:val="PetioF9"/>
        <w:spacing w:line="360" w:lineRule="exact"/>
        <w:ind w:firstLine="0"/>
        <w:rPr>
          <w:rFonts w:cs="Arial"/>
          <w:szCs w:val="24"/>
        </w:rPr>
      </w:pPr>
    </w:p>
    <w:p w:rsidR="00BB2AC3" w:rsidRDefault="00BB2AC3" w:rsidP="007F2593">
      <w:pPr>
        <w:pStyle w:val="PetioF9"/>
        <w:spacing w:line="360" w:lineRule="exact"/>
        <w:ind w:firstLine="0"/>
        <w:rPr>
          <w:rFonts w:cs="Arial"/>
          <w:szCs w:val="24"/>
        </w:rPr>
      </w:pPr>
    </w:p>
    <w:p w:rsidR="005D79AD" w:rsidRPr="005D79AD" w:rsidRDefault="005D79AD" w:rsidP="007F2593">
      <w:pPr>
        <w:pStyle w:val="PetioF9"/>
        <w:spacing w:line="360" w:lineRule="exact"/>
        <w:ind w:firstLine="0"/>
        <w:rPr>
          <w:rFonts w:ascii="Arial Negrito" w:hAnsi="Arial Negrito" w:cs="Arial"/>
          <w:b/>
          <w:smallCaps/>
          <w:szCs w:val="24"/>
          <w:u w:val="single"/>
        </w:rPr>
      </w:pPr>
      <w:r>
        <w:rPr>
          <w:rFonts w:ascii="Arial Negrito" w:hAnsi="Arial Negrito" w:cs="Arial"/>
          <w:b/>
          <w:smallCaps/>
          <w:szCs w:val="24"/>
        </w:rPr>
        <w:t xml:space="preserve">III – </w:t>
      </w:r>
      <w:r>
        <w:rPr>
          <w:rFonts w:ascii="Arial Negrito" w:hAnsi="Arial Negrito" w:cs="Arial"/>
          <w:b/>
          <w:smallCaps/>
          <w:szCs w:val="24"/>
          <w:u w:val="single"/>
        </w:rPr>
        <w:t>Conclusões</w:t>
      </w:r>
    </w:p>
    <w:p w:rsidR="00705DE7" w:rsidRDefault="00705DE7" w:rsidP="007F2593">
      <w:pPr>
        <w:pStyle w:val="PetioF9"/>
        <w:spacing w:line="360" w:lineRule="exact"/>
        <w:ind w:firstLine="0"/>
        <w:rPr>
          <w:rFonts w:cs="Arial"/>
          <w:szCs w:val="24"/>
        </w:rPr>
      </w:pPr>
    </w:p>
    <w:p w:rsidR="00016344" w:rsidRDefault="00AC3916" w:rsidP="00016344">
      <w:pPr>
        <w:pStyle w:val="PetioF9"/>
        <w:spacing w:line="360" w:lineRule="exact"/>
        <w:ind w:firstLine="0"/>
        <w:rPr>
          <w:rFonts w:cs="Arial"/>
          <w:szCs w:val="24"/>
        </w:rPr>
      </w:pPr>
      <w:r>
        <w:rPr>
          <w:rFonts w:cs="Arial"/>
          <w:szCs w:val="24"/>
        </w:rPr>
        <w:t>Diante de tudo o quant</w:t>
      </w:r>
      <w:r w:rsidR="00016344">
        <w:rPr>
          <w:rFonts w:cs="Arial"/>
          <w:szCs w:val="24"/>
        </w:rPr>
        <w:t>o acima exposto, conclui-se que</w:t>
      </w:r>
      <w:r w:rsidR="003B4FD3">
        <w:rPr>
          <w:rFonts w:cs="Arial"/>
          <w:szCs w:val="24"/>
        </w:rPr>
        <w:t>:</w:t>
      </w:r>
    </w:p>
    <w:p w:rsidR="00016344" w:rsidRDefault="00016344" w:rsidP="00016344">
      <w:pPr>
        <w:pStyle w:val="PetioF9"/>
        <w:spacing w:line="360" w:lineRule="exact"/>
        <w:ind w:firstLine="0"/>
        <w:rPr>
          <w:rFonts w:cs="Arial"/>
          <w:szCs w:val="24"/>
        </w:rPr>
      </w:pPr>
    </w:p>
    <w:p w:rsidR="00016344" w:rsidRPr="00016344" w:rsidRDefault="00016344" w:rsidP="00016344">
      <w:pPr>
        <w:pStyle w:val="PetioF9"/>
        <w:spacing w:line="360" w:lineRule="exact"/>
        <w:ind w:firstLine="0"/>
        <w:rPr>
          <w:rFonts w:cs="Arial"/>
          <w:szCs w:val="24"/>
        </w:rPr>
      </w:pPr>
      <w:r>
        <w:rPr>
          <w:rFonts w:cs="Arial"/>
          <w:szCs w:val="24"/>
        </w:rPr>
        <w:t>(i) –</w:t>
      </w:r>
      <w:r>
        <w:rPr>
          <w:rFonts w:cs="Arial"/>
          <w:szCs w:val="24"/>
        </w:rPr>
        <w:tab/>
      </w:r>
      <w:r>
        <w:rPr>
          <w:rFonts w:eastAsia="Calibri" w:cs="Arial"/>
        </w:rPr>
        <w:t xml:space="preserve">a conduta atual da </w:t>
      </w:r>
      <w:r>
        <w:rPr>
          <w:rFonts w:eastAsia="Calibri" w:cs="Arial"/>
          <w:smallCaps/>
        </w:rPr>
        <w:t xml:space="preserve">Eletropaulo </w:t>
      </w:r>
      <w:r>
        <w:rPr>
          <w:rFonts w:eastAsia="Calibri" w:cs="Arial"/>
        </w:rPr>
        <w:t>possui o seguinte respaldo normativo expresso:</w:t>
      </w:r>
    </w:p>
    <w:p w:rsidR="00016344" w:rsidRDefault="00016344" w:rsidP="00016344">
      <w:pPr>
        <w:spacing w:line="360" w:lineRule="exact"/>
        <w:rPr>
          <w:rFonts w:eastAsia="Calibri" w:cs="Arial"/>
        </w:rPr>
      </w:pPr>
    </w:p>
    <w:p w:rsidR="00016344" w:rsidRPr="00016344" w:rsidRDefault="00016344" w:rsidP="00016344">
      <w:pPr>
        <w:pStyle w:val="PargrafodaLista"/>
        <w:numPr>
          <w:ilvl w:val="0"/>
          <w:numId w:val="4"/>
        </w:numPr>
        <w:rPr>
          <w:rFonts w:eastAsia="Calibri" w:cs="Arial"/>
          <w:sz w:val="22"/>
          <w:szCs w:val="22"/>
        </w:rPr>
      </w:pPr>
      <w:proofErr w:type="gramStart"/>
      <w:r w:rsidRPr="00016344">
        <w:rPr>
          <w:rFonts w:eastAsia="Calibri" w:cs="Arial"/>
          <w:sz w:val="22"/>
          <w:szCs w:val="22"/>
        </w:rPr>
        <w:t>para</w:t>
      </w:r>
      <w:proofErr w:type="gramEnd"/>
      <w:r w:rsidRPr="00016344">
        <w:rPr>
          <w:rFonts w:eastAsia="Calibri" w:cs="Arial"/>
          <w:sz w:val="22"/>
          <w:szCs w:val="22"/>
        </w:rPr>
        <w:t xml:space="preserve"> empreendimentos que pretendam utilizar montante de energia superior a 2.500 kW, as normas dispõem que o fornecimento, de fato – e como regra –, deverá ocorrer em alta tensão;</w:t>
      </w:r>
    </w:p>
    <w:p w:rsidR="00016344" w:rsidRPr="00016344" w:rsidRDefault="00016344" w:rsidP="00016344">
      <w:pPr>
        <w:rPr>
          <w:rFonts w:eastAsia="Calibri" w:cs="Arial"/>
          <w:sz w:val="22"/>
          <w:szCs w:val="22"/>
        </w:rPr>
      </w:pPr>
    </w:p>
    <w:p w:rsidR="00016344" w:rsidRPr="00016344" w:rsidRDefault="00016344" w:rsidP="00016344">
      <w:pPr>
        <w:pStyle w:val="PargrafodaLista"/>
        <w:numPr>
          <w:ilvl w:val="0"/>
          <w:numId w:val="4"/>
        </w:numPr>
        <w:rPr>
          <w:rFonts w:eastAsia="Calibri" w:cs="Arial"/>
          <w:sz w:val="22"/>
          <w:szCs w:val="22"/>
        </w:rPr>
      </w:pPr>
      <w:proofErr w:type="gramStart"/>
      <w:r w:rsidRPr="00016344">
        <w:rPr>
          <w:rFonts w:eastAsia="Calibri" w:cs="Arial"/>
          <w:sz w:val="22"/>
          <w:szCs w:val="22"/>
        </w:rPr>
        <w:t>a</w:t>
      </w:r>
      <w:proofErr w:type="gramEnd"/>
      <w:r w:rsidRPr="00016344">
        <w:rPr>
          <w:rFonts w:eastAsia="Calibri" w:cs="Arial"/>
          <w:sz w:val="22"/>
          <w:szCs w:val="22"/>
        </w:rPr>
        <w:t xml:space="preserve"> possibilidade de atendimento em tensão diferente depende de viabilidade técnica e capacidade do subsistema elétrico da região;</w:t>
      </w:r>
    </w:p>
    <w:p w:rsidR="00016344" w:rsidRPr="00016344" w:rsidRDefault="00016344" w:rsidP="00016344">
      <w:pPr>
        <w:rPr>
          <w:rFonts w:eastAsia="Calibri" w:cs="Arial"/>
          <w:sz w:val="22"/>
          <w:szCs w:val="22"/>
        </w:rPr>
      </w:pPr>
    </w:p>
    <w:p w:rsidR="00016344" w:rsidRPr="00016344" w:rsidRDefault="00016344" w:rsidP="00016344">
      <w:pPr>
        <w:pStyle w:val="PargrafodaLista"/>
        <w:numPr>
          <w:ilvl w:val="0"/>
          <w:numId w:val="4"/>
        </w:numPr>
        <w:rPr>
          <w:rFonts w:eastAsia="Calibri" w:cs="Arial"/>
          <w:sz w:val="22"/>
          <w:szCs w:val="22"/>
        </w:rPr>
      </w:pPr>
      <w:proofErr w:type="gramStart"/>
      <w:r w:rsidRPr="00016344">
        <w:rPr>
          <w:rFonts w:eastAsia="Calibri" w:cs="Arial"/>
          <w:sz w:val="22"/>
          <w:szCs w:val="22"/>
        </w:rPr>
        <w:lastRenderedPageBreak/>
        <w:t>incumbe</w:t>
      </w:r>
      <w:proofErr w:type="gramEnd"/>
      <w:r w:rsidRPr="00016344">
        <w:rPr>
          <w:rFonts w:eastAsia="Calibri" w:cs="Arial"/>
          <w:sz w:val="22"/>
          <w:szCs w:val="22"/>
        </w:rPr>
        <w:t xml:space="preserve"> à unidade consumidora prover a infraestrutura necessária ao abaixamento da tensão (subestação transformadora); e</w:t>
      </w:r>
    </w:p>
    <w:p w:rsidR="00016344" w:rsidRPr="00016344" w:rsidRDefault="00016344" w:rsidP="00016344">
      <w:pPr>
        <w:rPr>
          <w:rFonts w:eastAsia="Calibri" w:cs="Arial"/>
          <w:sz w:val="22"/>
          <w:szCs w:val="22"/>
        </w:rPr>
      </w:pPr>
    </w:p>
    <w:p w:rsidR="00016344" w:rsidRPr="00016344" w:rsidRDefault="00016344" w:rsidP="00016344">
      <w:pPr>
        <w:pStyle w:val="PargrafodaLista"/>
        <w:numPr>
          <w:ilvl w:val="0"/>
          <w:numId w:val="4"/>
        </w:numPr>
        <w:rPr>
          <w:rFonts w:eastAsia="Calibri" w:cs="Arial"/>
          <w:sz w:val="22"/>
          <w:szCs w:val="22"/>
        </w:rPr>
      </w:pPr>
      <w:proofErr w:type="gramStart"/>
      <w:r w:rsidRPr="00016344">
        <w:rPr>
          <w:rFonts w:eastAsia="Calibri" w:cs="Arial"/>
          <w:sz w:val="22"/>
          <w:szCs w:val="22"/>
        </w:rPr>
        <w:t>são</w:t>
      </w:r>
      <w:proofErr w:type="gramEnd"/>
      <w:r w:rsidRPr="00016344">
        <w:rPr>
          <w:rFonts w:eastAsia="Calibri" w:cs="Arial"/>
          <w:sz w:val="22"/>
          <w:szCs w:val="22"/>
        </w:rPr>
        <w:t xml:space="preserve"> extremamente restritas as hipóteses de compartilhamento de subestações.</w:t>
      </w:r>
    </w:p>
    <w:p w:rsidR="00016344" w:rsidRDefault="00016344" w:rsidP="007F2593">
      <w:pPr>
        <w:pStyle w:val="PetioF9"/>
        <w:spacing w:line="360" w:lineRule="exact"/>
        <w:ind w:firstLine="0"/>
        <w:rPr>
          <w:rFonts w:cs="Arial"/>
          <w:szCs w:val="24"/>
        </w:rPr>
      </w:pPr>
    </w:p>
    <w:p w:rsidR="007B746A" w:rsidRDefault="007B746A" w:rsidP="007F2593">
      <w:pPr>
        <w:pStyle w:val="PetioF9"/>
        <w:spacing w:line="360" w:lineRule="exact"/>
        <w:ind w:firstLine="0"/>
        <w:rPr>
          <w:rFonts w:cs="Arial"/>
          <w:szCs w:val="24"/>
        </w:rPr>
      </w:pPr>
    </w:p>
    <w:p w:rsidR="006E1997" w:rsidRPr="006C46D8" w:rsidRDefault="00AC3916" w:rsidP="006C46D8">
      <w:pPr>
        <w:pStyle w:val="PetioF9"/>
        <w:spacing w:line="360" w:lineRule="exact"/>
        <w:ind w:firstLine="0"/>
        <w:rPr>
          <w:rFonts w:cs="Arial"/>
          <w:szCs w:val="24"/>
        </w:rPr>
      </w:pPr>
      <w:r>
        <w:rPr>
          <w:rFonts w:cs="Arial"/>
          <w:szCs w:val="24"/>
        </w:rPr>
        <w:t>(i</w:t>
      </w:r>
      <w:r w:rsidR="00016344">
        <w:rPr>
          <w:rFonts w:cs="Arial"/>
          <w:szCs w:val="24"/>
        </w:rPr>
        <w:t>i</w:t>
      </w:r>
      <w:r>
        <w:rPr>
          <w:rFonts w:cs="Arial"/>
          <w:szCs w:val="24"/>
        </w:rPr>
        <w:t>) –</w:t>
      </w:r>
      <w:r>
        <w:rPr>
          <w:rFonts w:cs="Arial"/>
          <w:szCs w:val="24"/>
        </w:rPr>
        <w:tab/>
      </w:r>
      <w:r w:rsidR="003B4FD3">
        <w:t xml:space="preserve">é </w:t>
      </w:r>
      <w:r w:rsidR="006E1997">
        <w:t>possível</w:t>
      </w:r>
      <w:r w:rsidR="00FF5DD3">
        <w:t xml:space="preserve">, a </w:t>
      </w:r>
      <w:r w:rsidR="00041F29">
        <w:t>cada associado da ABRAINC</w:t>
      </w:r>
      <w:r w:rsidR="00FF5DD3">
        <w:t>,</w:t>
      </w:r>
      <w:r w:rsidR="00041F29">
        <w:t xml:space="preserve"> </w:t>
      </w:r>
      <w:r w:rsidR="006E1997">
        <w:t xml:space="preserve">apresentar requerimento formal à </w:t>
      </w:r>
      <w:r w:rsidR="006E1997">
        <w:rPr>
          <w:smallCaps/>
        </w:rPr>
        <w:t>Eletropaulo</w:t>
      </w:r>
      <w:r w:rsidR="006E1997">
        <w:t xml:space="preserve">, </w:t>
      </w:r>
      <w:r w:rsidR="00041F29">
        <w:t xml:space="preserve">pleiteando </w:t>
      </w:r>
      <w:r w:rsidR="006E1997">
        <w:t xml:space="preserve">que cada fração autônoma </w:t>
      </w:r>
      <w:r w:rsidR="006C46D8">
        <w:t xml:space="preserve">dos </w:t>
      </w:r>
      <w:r w:rsidR="003B4FD3">
        <w:t xml:space="preserve">seus </w:t>
      </w:r>
      <w:r w:rsidR="006C46D8">
        <w:t xml:space="preserve">empreendimentos comerciais </w:t>
      </w:r>
      <w:r w:rsidR="006E1997">
        <w:t>seja considerada uma única unidade consumidora que</w:t>
      </w:r>
      <w:r w:rsidR="006C46D8">
        <w:t>, por si,</w:t>
      </w:r>
      <w:r w:rsidR="006E1997">
        <w:t xml:space="preserve"> não demandará potência superior a 2.500 kW, de maneira a que a Concessionária forneça energia em baixa ou média potência, nos termos da regulação.</w:t>
      </w:r>
      <w:r w:rsidR="006C46D8">
        <w:t xml:space="preserve"> </w:t>
      </w:r>
      <w:r w:rsidR="006E1997">
        <w:t xml:space="preserve">Eventual recusa </w:t>
      </w:r>
      <w:r w:rsidR="00985BDE">
        <w:t>enseja</w:t>
      </w:r>
      <w:r w:rsidR="00FF5DD3">
        <w:t>rá</w:t>
      </w:r>
      <w:r w:rsidR="006E1997">
        <w:t xml:space="preserve"> a formalização de reclamações à </w:t>
      </w:r>
      <w:r w:rsidR="006E1997">
        <w:rPr>
          <w:smallCaps/>
        </w:rPr>
        <w:t>ARSESP</w:t>
      </w:r>
      <w:r w:rsidR="006E1997">
        <w:t xml:space="preserve"> e, posteriormente, também à </w:t>
      </w:r>
      <w:r w:rsidR="006E1997">
        <w:rPr>
          <w:smallCaps/>
        </w:rPr>
        <w:t>ANEEL</w:t>
      </w:r>
      <w:r w:rsidR="00C50AA8">
        <w:rPr>
          <w:smallCaps/>
        </w:rPr>
        <w:t xml:space="preserve">. </w:t>
      </w:r>
      <w:r w:rsidR="00C50AA8" w:rsidRPr="00E023AE">
        <w:t>Na hipótese</w:t>
      </w:r>
      <w:r w:rsidR="00C50AA8">
        <w:t xml:space="preserve"> de que haja </w:t>
      </w:r>
      <w:r w:rsidR="00795A70">
        <w:t xml:space="preserve">um número </w:t>
      </w:r>
      <w:r w:rsidR="00A171E5">
        <w:t>representativo</w:t>
      </w:r>
      <w:r w:rsidR="00795A70">
        <w:t xml:space="preserve"> de negativas</w:t>
      </w:r>
      <w:r w:rsidR="003B4FD3">
        <w:t xml:space="preserve"> a seus associados</w:t>
      </w:r>
      <w:r w:rsidR="00795A70">
        <w:t>, a ABRAINC poderá apresentar essas reclamações em nome próprio</w:t>
      </w:r>
      <w:r w:rsidR="006549F8">
        <w:t>;</w:t>
      </w:r>
    </w:p>
    <w:p w:rsidR="006E1997" w:rsidRDefault="006E1997" w:rsidP="006E1997">
      <w:pPr>
        <w:pStyle w:val="Default"/>
        <w:spacing w:line="360" w:lineRule="exact"/>
        <w:jc w:val="both"/>
        <w:rPr>
          <w:color w:val="auto"/>
        </w:rPr>
      </w:pPr>
    </w:p>
    <w:p w:rsidR="006E1997" w:rsidRDefault="006549F8" w:rsidP="006E1997">
      <w:pPr>
        <w:pStyle w:val="Default"/>
        <w:spacing w:line="360" w:lineRule="exact"/>
        <w:jc w:val="both"/>
        <w:rPr>
          <w:color w:val="auto"/>
        </w:rPr>
      </w:pPr>
      <w:r>
        <w:rPr>
          <w:color w:val="auto"/>
        </w:rPr>
        <w:t>(ii.1.) –</w:t>
      </w:r>
      <w:r>
        <w:rPr>
          <w:color w:val="auto"/>
        </w:rPr>
        <w:tab/>
      </w:r>
      <w:proofErr w:type="gramStart"/>
      <w:r>
        <w:rPr>
          <w:color w:val="auto"/>
        </w:rPr>
        <w:t>n</w:t>
      </w:r>
      <w:r w:rsidR="006E1997">
        <w:rPr>
          <w:color w:val="auto"/>
        </w:rPr>
        <w:t>o</w:t>
      </w:r>
      <w:proofErr w:type="gramEnd"/>
      <w:r w:rsidR="006E1997">
        <w:rPr>
          <w:color w:val="auto"/>
        </w:rPr>
        <w:t xml:space="preserve"> caso de insucesso </w:t>
      </w:r>
      <w:r w:rsidR="00985BDE">
        <w:rPr>
          <w:color w:val="auto"/>
        </w:rPr>
        <w:t>administrativo</w:t>
      </w:r>
      <w:r w:rsidR="006E1997">
        <w:rPr>
          <w:color w:val="auto"/>
        </w:rPr>
        <w:t>, seria também possível a utilização da via judicial, inclusive – a depender da caracterização de situações concretas, documentadas, em número significativo – a impetração de mandado de segurança coletivo pela ABRAINC.</w:t>
      </w:r>
      <w:r>
        <w:rPr>
          <w:color w:val="auto"/>
        </w:rPr>
        <w:t xml:space="preserve"> </w:t>
      </w:r>
      <w:r w:rsidR="006E1997">
        <w:rPr>
          <w:color w:val="auto"/>
        </w:rPr>
        <w:t xml:space="preserve">Nessa hipótese, </w:t>
      </w:r>
      <w:r w:rsidR="00985BDE">
        <w:rPr>
          <w:color w:val="auto"/>
        </w:rPr>
        <w:t>a Associação buscaria</w:t>
      </w:r>
      <w:r w:rsidR="006E1997">
        <w:rPr>
          <w:color w:val="auto"/>
        </w:rPr>
        <w:t xml:space="preserve"> tutela jurisdicional que garantiss</w:t>
      </w:r>
      <w:r>
        <w:rPr>
          <w:color w:val="auto"/>
        </w:rPr>
        <w:t xml:space="preserve">e o direito líquido e certo dos seus </w:t>
      </w:r>
      <w:r w:rsidR="006E1997">
        <w:rPr>
          <w:color w:val="auto"/>
        </w:rPr>
        <w:t xml:space="preserve">associados </w:t>
      </w:r>
      <w:r w:rsidR="007B746A">
        <w:rPr>
          <w:color w:val="auto"/>
        </w:rPr>
        <w:t xml:space="preserve">à </w:t>
      </w:r>
      <w:r w:rsidR="006E1997">
        <w:rPr>
          <w:color w:val="auto"/>
        </w:rPr>
        <w:t>obte</w:t>
      </w:r>
      <w:r w:rsidR="007B746A">
        <w:rPr>
          <w:color w:val="auto"/>
        </w:rPr>
        <w:t>nção de</w:t>
      </w:r>
      <w:r w:rsidR="006E1997">
        <w:rPr>
          <w:color w:val="auto"/>
        </w:rPr>
        <w:t xml:space="preserve"> fornecimento de energia em baixa ou média tensão, quando </w:t>
      </w:r>
      <w:r>
        <w:rPr>
          <w:color w:val="auto"/>
        </w:rPr>
        <w:t xml:space="preserve">os empreendimentos comerciais forem </w:t>
      </w:r>
      <w:r w:rsidR="006E1997">
        <w:rPr>
          <w:color w:val="auto"/>
        </w:rPr>
        <w:t>dotados de múltiplas unidades autônomas.</w:t>
      </w:r>
    </w:p>
    <w:p w:rsidR="006549F8" w:rsidRDefault="006549F8" w:rsidP="006E1997">
      <w:pPr>
        <w:pStyle w:val="Default"/>
        <w:spacing w:line="360" w:lineRule="exact"/>
        <w:jc w:val="both"/>
        <w:rPr>
          <w:color w:val="auto"/>
        </w:rPr>
      </w:pPr>
    </w:p>
    <w:p w:rsidR="007B746A" w:rsidRDefault="007B746A" w:rsidP="006E1997">
      <w:pPr>
        <w:pStyle w:val="Default"/>
        <w:spacing w:line="360" w:lineRule="exact"/>
        <w:jc w:val="both"/>
        <w:rPr>
          <w:color w:val="auto"/>
        </w:rPr>
      </w:pPr>
    </w:p>
    <w:p w:rsidR="006549F8" w:rsidRDefault="006549F8" w:rsidP="006E1997">
      <w:pPr>
        <w:pStyle w:val="Default"/>
        <w:spacing w:line="360" w:lineRule="exact"/>
        <w:jc w:val="both"/>
        <w:rPr>
          <w:color w:val="auto"/>
        </w:rPr>
      </w:pPr>
      <w:r>
        <w:rPr>
          <w:color w:val="auto"/>
        </w:rPr>
        <w:t>(iii) –</w:t>
      </w:r>
      <w:r>
        <w:rPr>
          <w:color w:val="auto"/>
        </w:rPr>
        <w:tab/>
      </w:r>
      <w:r w:rsidR="007B746A">
        <w:rPr>
          <w:color w:val="auto"/>
        </w:rPr>
        <w:t>se existente</w:t>
      </w:r>
      <w:r>
        <w:rPr>
          <w:color w:val="auto"/>
        </w:rPr>
        <w:t xml:space="preserve"> </w:t>
      </w:r>
      <w:r w:rsidR="00A6686F">
        <w:rPr>
          <w:color w:val="auto"/>
        </w:rPr>
        <w:t xml:space="preserve">eventual </w:t>
      </w:r>
      <w:r>
        <w:rPr>
          <w:color w:val="auto"/>
        </w:rPr>
        <w:t xml:space="preserve">respaldo técnico, seria possível questionar </w:t>
      </w:r>
      <w:r w:rsidR="007B746A">
        <w:rPr>
          <w:color w:val="auto"/>
        </w:rPr>
        <w:t xml:space="preserve">(administrativa e judicialmente) </w:t>
      </w:r>
      <w:r>
        <w:rPr>
          <w:color w:val="auto"/>
        </w:rPr>
        <w:t xml:space="preserve">a </w:t>
      </w:r>
      <w:r w:rsidR="00A6686F">
        <w:rPr>
          <w:color w:val="auto"/>
        </w:rPr>
        <w:t>alegação de saturação do atual subsistema elétrico da região metropolitana de São Paulo – que estaria a impedir o fornecimento em baixa ou média tensão</w:t>
      </w:r>
      <w:r w:rsidR="00C23FE0">
        <w:rPr>
          <w:color w:val="auto"/>
        </w:rPr>
        <w:t>; e</w:t>
      </w:r>
    </w:p>
    <w:p w:rsidR="00C23FE0" w:rsidRDefault="00C23FE0" w:rsidP="006E1997">
      <w:pPr>
        <w:pStyle w:val="Default"/>
        <w:spacing w:line="360" w:lineRule="exact"/>
        <w:jc w:val="both"/>
        <w:rPr>
          <w:color w:val="auto"/>
        </w:rPr>
      </w:pPr>
    </w:p>
    <w:p w:rsidR="007B746A" w:rsidRDefault="007B746A" w:rsidP="006E1997">
      <w:pPr>
        <w:pStyle w:val="Default"/>
        <w:spacing w:line="360" w:lineRule="exact"/>
        <w:jc w:val="both"/>
        <w:rPr>
          <w:color w:val="auto"/>
        </w:rPr>
      </w:pPr>
    </w:p>
    <w:p w:rsidR="00C23FE0" w:rsidRDefault="00C23FE0" w:rsidP="006E1997">
      <w:pPr>
        <w:pStyle w:val="Default"/>
        <w:spacing w:line="360" w:lineRule="exact"/>
        <w:jc w:val="both"/>
        <w:rPr>
          <w:color w:val="auto"/>
        </w:rPr>
      </w:pPr>
      <w:r>
        <w:rPr>
          <w:color w:val="auto"/>
        </w:rPr>
        <w:t>(iv) –</w:t>
      </w:r>
      <w:r>
        <w:rPr>
          <w:color w:val="auto"/>
        </w:rPr>
        <w:tab/>
        <w:t>por fim, também a depender de embasamento técnico</w:t>
      </w:r>
      <w:r w:rsidR="00926B15">
        <w:rPr>
          <w:color w:val="auto"/>
        </w:rPr>
        <w:t xml:space="preserve">, vislumbra-se a possibilidade de </w:t>
      </w:r>
      <w:r w:rsidR="00D624E0">
        <w:rPr>
          <w:color w:val="auto"/>
        </w:rPr>
        <w:t xml:space="preserve">que cada associado da ABRAINC </w:t>
      </w:r>
      <w:r w:rsidR="00926B15">
        <w:rPr>
          <w:color w:val="auto"/>
        </w:rPr>
        <w:t>propo</w:t>
      </w:r>
      <w:r w:rsidR="00D624E0">
        <w:rPr>
          <w:color w:val="auto"/>
        </w:rPr>
        <w:t>nha</w:t>
      </w:r>
      <w:r w:rsidR="00926B15">
        <w:rPr>
          <w:color w:val="auto"/>
        </w:rPr>
        <w:t xml:space="preserve"> demandas judiciais autônomas, que </w:t>
      </w:r>
      <w:r w:rsidR="00E70D49">
        <w:rPr>
          <w:color w:val="auto"/>
        </w:rPr>
        <w:t xml:space="preserve">questionem a constitucionalidade das </w:t>
      </w:r>
      <w:r w:rsidR="00D624E0">
        <w:rPr>
          <w:color w:val="auto"/>
        </w:rPr>
        <w:t xml:space="preserve">inúmeras </w:t>
      </w:r>
      <w:r w:rsidR="00E70D49">
        <w:rPr>
          <w:color w:val="auto"/>
        </w:rPr>
        <w:t>restrições ao compartilhamento de subestações, por violação ao princípio da razoabilidade e da proporcionalidade.</w:t>
      </w:r>
      <w:r w:rsidR="00D624E0">
        <w:rPr>
          <w:color w:val="auto"/>
        </w:rPr>
        <w:t xml:space="preserve"> </w:t>
      </w:r>
      <w:r w:rsidR="00B20B89">
        <w:rPr>
          <w:color w:val="auto"/>
        </w:rPr>
        <w:t>Em tese, a ABRAINC poderia também tentar a propositura de uma Ação Direta de Inconstitucionalidade</w:t>
      </w:r>
      <w:r w:rsidR="006C1F9B">
        <w:rPr>
          <w:color w:val="auto"/>
        </w:rPr>
        <w:t xml:space="preserve"> (com efeitos gerais a toda a população)</w:t>
      </w:r>
      <w:r w:rsidR="002C24C9">
        <w:rPr>
          <w:color w:val="auto"/>
        </w:rPr>
        <w:t xml:space="preserve">, perante o STF, a depender do atendimento de certos requisitos estatutários e de </w:t>
      </w:r>
      <w:r w:rsidR="00302E15">
        <w:rPr>
          <w:color w:val="auto"/>
        </w:rPr>
        <w:t xml:space="preserve">sua </w:t>
      </w:r>
      <w:r w:rsidR="002C24C9">
        <w:rPr>
          <w:color w:val="auto"/>
        </w:rPr>
        <w:t>representatividade.</w:t>
      </w:r>
    </w:p>
    <w:p w:rsidR="00E70D49" w:rsidRDefault="00E70D49" w:rsidP="006E1997">
      <w:pPr>
        <w:pStyle w:val="Default"/>
        <w:spacing w:line="360" w:lineRule="exact"/>
        <w:jc w:val="both"/>
        <w:rPr>
          <w:color w:val="auto"/>
        </w:rPr>
      </w:pPr>
    </w:p>
    <w:p w:rsidR="00E70D49" w:rsidRDefault="00E70D49" w:rsidP="006E1997">
      <w:pPr>
        <w:pStyle w:val="Default"/>
        <w:spacing w:line="360" w:lineRule="exact"/>
        <w:jc w:val="both"/>
        <w:rPr>
          <w:color w:val="auto"/>
        </w:rPr>
      </w:pPr>
      <w:r>
        <w:rPr>
          <w:color w:val="auto"/>
        </w:rPr>
        <w:t xml:space="preserve">Sendo o que nos cumpria para o momento, permanecemos à disposição para quaisquer </w:t>
      </w:r>
      <w:r w:rsidR="001C631F">
        <w:rPr>
          <w:color w:val="auto"/>
        </w:rPr>
        <w:t xml:space="preserve">complementações e </w:t>
      </w:r>
      <w:r>
        <w:rPr>
          <w:color w:val="auto"/>
        </w:rPr>
        <w:t>esclarecimentos necessários.</w:t>
      </w:r>
    </w:p>
    <w:p w:rsidR="00E70D49" w:rsidRDefault="00E70D49" w:rsidP="006E1997">
      <w:pPr>
        <w:pStyle w:val="Default"/>
        <w:spacing w:line="360" w:lineRule="exact"/>
        <w:jc w:val="both"/>
        <w:rPr>
          <w:color w:val="auto"/>
        </w:rPr>
      </w:pPr>
    </w:p>
    <w:p w:rsidR="00E70D49" w:rsidRDefault="001C631F" w:rsidP="006E1997">
      <w:pPr>
        <w:pStyle w:val="Default"/>
        <w:spacing w:line="360" w:lineRule="exact"/>
        <w:jc w:val="both"/>
        <w:rPr>
          <w:color w:val="auto"/>
        </w:rPr>
      </w:pPr>
      <w:r>
        <w:rPr>
          <w:color w:val="auto"/>
        </w:rPr>
        <w:t>Atenciosamente,</w:t>
      </w:r>
    </w:p>
    <w:p w:rsidR="008B623F" w:rsidRDefault="008B623F" w:rsidP="007F2593">
      <w:pPr>
        <w:pStyle w:val="PetioF9"/>
        <w:spacing w:line="360" w:lineRule="exact"/>
        <w:ind w:firstLine="0"/>
        <w:rPr>
          <w:rFonts w:cs="Arial"/>
          <w:szCs w:val="24"/>
        </w:rPr>
      </w:pPr>
    </w:p>
    <w:p w:rsidR="00D11794" w:rsidRPr="00E70D49" w:rsidRDefault="00D11794" w:rsidP="00E70D49">
      <w:pPr>
        <w:rPr>
          <w:rFonts w:eastAsia="Calibri"/>
          <w:b/>
        </w:rPr>
      </w:pPr>
      <w:r w:rsidRPr="00E70D49">
        <w:rPr>
          <w:rFonts w:eastAsia="Calibri"/>
          <w:b/>
        </w:rPr>
        <w:t>Marcelo Terra</w:t>
      </w:r>
    </w:p>
    <w:p w:rsidR="00D11794" w:rsidRDefault="00194113" w:rsidP="00E70D49">
      <w:pPr>
        <w:rPr>
          <w:rFonts w:eastAsia="Calibri"/>
        </w:rPr>
      </w:pPr>
      <w:hyperlink r:id="rId15" w:history="1">
        <w:r w:rsidR="00D11794" w:rsidRPr="009C370B">
          <w:rPr>
            <w:rStyle w:val="Hyperlink"/>
            <w:rFonts w:eastAsia="Calibri"/>
          </w:rPr>
          <w:t>marceloterra@dgcgt.com.br</w:t>
        </w:r>
      </w:hyperlink>
    </w:p>
    <w:p w:rsidR="00E70D49" w:rsidRPr="00E507D2" w:rsidRDefault="00E70D49" w:rsidP="00E70D49">
      <w:pPr>
        <w:rPr>
          <w:rFonts w:eastAsia="Calibri"/>
        </w:rPr>
      </w:pPr>
    </w:p>
    <w:p w:rsidR="00D11794" w:rsidRPr="00E70D49" w:rsidRDefault="00D11794" w:rsidP="00E70D49">
      <w:pPr>
        <w:rPr>
          <w:rFonts w:eastAsia="Calibri"/>
          <w:b/>
        </w:rPr>
      </w:pPr>
      <w:r w:rsidRPr="00E70D49">
        <w:rPr>
          <w:rFonts w:eastAsia="Calibri"/>
          <w:b/>
        </w:rPr>
        <w:t>Luis Eduardo Menezes Serra Netto</w:t>
      </w:r>
    </w:p>
    <w:p w:rsidR="00D11794" w:rsidRDefault="00194113" w:rsidP="00E70D49">
      <w:pPr>
        <w:rPr>
          <w:rStyle w:val="Hyperlink"/>
          <w:rFonts w:eastAsia="Calibri"/>
        </w:rPr>
      </w:pPr>
      <w:hyperlink r:id="rId16" w:history="1">
        <w:r w:rsidR="00D11794" w:rsidRPr="009C370B">
          <w:rPr>
            <w:rStyle w:val="Hyperlink"/>
            <w:rFonts w:eastAsia="Calibri"/>
          </w:rPr>
          <w:t>serranetto@dgcgt.com.br</w:t>
        </w:r>
      </w:hyperlink>
    </w:p>
    <w:p w:rsidR="00E507D2" w:rsidRPr="00E507D2" w:rsidRDefault="00E507D2" w:rsidP="00E70D49">
      <w:pPr>
        <w:rPr>
          <w:rFonts w:cs="Arial"/>
          <w:szCs w:val="24"/>
        </w:rPr>
      </w:pPr>
    </w:p>
    <w:p w:rsidR="00E507D2" w:rsidRDefault="00E507D2" w:rsidP="00E70D49">
      <w:pPr>
        <w:rPr>
          <w:rFonts w:cs="Arial"/>
          <w:szCs w:val="24"/>
        </w:rPr>
      </w:pPr>
      <w:r w:rsidRPr="00E507D2">
        <w:rPr>
          <w:rFonts w:cs="Arial"/>
          <w:b/>
          <w:szCs w:val="24"/>
        </w:rPr>
        <w:t>Rodrigo S. Duarte Garcia</w:t>
      </w:r>
    </w:p>
    <w:p w:rsidR="00E507D2" w:rsidRDefault="00194113" w:rsidP="00E70D49">
      <w:pPr>
        <w:rPr>
          <w:rFonts w:cs="Arial"/>
          <w:szCs w:val="24"/>
        </w:rPr>
      </w:pPr>
      <w:hyperlink r:id="rId17" w:history="1">
        <w:r w:rsidR="00E507D2" w:rsidRPr="005213E1">
          <w:rPr>
            <w:rStyle w:val="Hyperlink"/>
            <w:rFonts w:cs="Arial"/>
            <w:szCs w:val="24"/>
          </w:rPr>
          <w:t>rodrigogarcia@dgcgt.com.br</w:t>
        </w:r>
      </w:hyperlink>
    </w:p>
    <w:sectPr w:rsidR="00E507D2" w:rsidSect="002A5026">
      <w:headerReference w:type="even" r:id="rId18"/>
      <w:headerReference w:type="default" r:id="rId19"/>
      <w:footerReference w:type="even" r:id="rId20"/>
      <w:headerReference w:type="first" r:id="rId21"/>
      <w:footerReference w:type="first" r:id="rId22"/>
      <w:pgSz w:w="11909" w:h="16834" w:code="9"/>
      <w:pgMar w:top="737" w:right="1701" w:bottom="743" w:left="1701" w:header="720"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113" w:rsidRDefault="00194113">
      <w:r>
        <w:separator/>
      </w:r>
    </w:p>
  </w:endnote>
  <w:endnote w:type="continuationSeparator" w:id="0">
    <w:p w:rsidR="00194113" w:rsidRDefault="0019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egrit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5AF" w:rsidRDefault="000615AF">
    <w:pPr>
      <w:framePr w:wrap="auto" w:vAnchor="text" w:hAnchor="margin" w:xAlign="center"/>
    </w:pPr>
    <w:r>
      <w:fldChar w:fldCharType="begin"/>
    </w:r>
    <w:r>
      <w:instrText xml:space="preserve">PAGE  </w:instrText>
    </w:r>
    <w:r>
      <w:fldChar w:fldCharType="end"/>
    </w:r>
  </w:p>
  <w:p w:rsidR="000615AF" w:rsidRDefault="000615A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5AF" w:rsidRPr="000D0CD0" w:rsidRDefault="000615AF" w:rsidP="00770143">
    <w:pPr>
      <w:jc w:val="right"/>
      <w:rPr>
        <w:szCs w:val="18"/>
      </w:rPr>
    </w:pPr>
  </w:p>
  <w:p w:rsidR="000615AF" w:rsidRPr="000D0CD0" w:rsidRDefault="000615AF" w:rsidP="00770143">
    <w:pPr>
      <w:jc w:val="right"/>
      <w:rP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113" w:rsidRDefault="00194113">
      <w:r>
        <w:separator/>
      </w:r>
    </w:p>
  </w:footnote>
  <w:footnote w:type="continuationSeparator" w:id="0">
    <w:p w:rsidR="00194113" w:rsidRDefault="00194113">
      <w:r>
        <w:continuationSeparator/>
      </w:r>
    </w:p>
  </w:footnote>
  <w:footnote w:id="1">
    <w:p w:rsidR="000615AF" w:rsidRPr="00476C7B" w:rsidRDefault="000615AF" w:rsidP="00D11794">
      <w:pPr>
        <w:pStyle w:val="Textodenotaderodap"/>
        <w:rPr>
          <w:sz w:val="18"/>
          <w:szCs w:val="18"/>
        </w:rPr>
      </w:pPr>
      <w:r w:rsidRPr="00476C7B">
        <w:rPr>
          <w:rStyle w:val="Refdenotaderodap"/>
          <w:sz w:val="18"/>
          <w:szCs w:val="18"/>
        </w:rPr>
        <w:footnoteRef/>
      </w:r>
      <w:r w:rsidRPr="00476C7B">
        <w:rPr>
          <w:sz w:val="18"/>
          <w:szCs w:val="18"/>
        </w:rPr>
        <w:t xml:space="preserve"> MUSD – Montante de uso do sistema de distribuição.</w:t>
      </w:r>
    </w:p>
  </w:footnote>
  <w:footnote w:id="2">
    <w:p w:rsidR="000615AF" w:rsidRPr="00476C7B" w:rsidRDefault="000615AF" w:rsidP="00D11794">
      <w:pPr>
        <w:pStyle w:val="Textodenotaderodap"/>
        <w:rPr>
          <w:sz w:val="18"/>
          <w:szCs w:val="18"/>
        </w:rPr>
      </w:pPr>
      <w:r w:rsidRPr="00476C7B">
        <w:rPr>
          <w:rStyle w:val="Refdenotaderodap"/>
          <w:sz w:val="18"/>
          <w:szCs w:val="18"/>
        </w:rPr>
        <w:footnoteRef/>
      </w:r>
      <w:r w:rsidRPr="00476C7B">
        <w:rPr>
          <w:sz w:val="18"/>
          <w:szCs w:val="18"/>
        </w:rPr>
        <w:t xml:space="preserve"> </w:t>
      </w:r>
      <w:r>
        <w:rPr>
          <w:sz w:val="18"/>
          <w:szCs w:val="18"/>
        </w:rPr>
        <w:t>PRODIST são os “</w:t>
      </w:r>
      <w:r w:rsidRPr="00476C7B">
        <w:rPr>
          <w:sz w:val="18"/>
          <w:szCs w:val="18"/>
        </w:rPr>
        <w:t>Procedimentos de Distribuição de Energia Elétrica no Sistema Elétrico</w:t>
      </w:r>
      <w:r>
        <w:rPr>
          <w:sz w:val="18"/>
          <w:szCs w:val="18"/>
        </w:rPr>
        <w:t>”, documentos elaborados pela ANEEL que normatizam e padronizam as atividades técnicas relacionadas ao funcionamento e desempenho dos sistemas de distribuição de energia elétrica.</w:t>
      </w:r>
    </w:p>
  </w:footnote>
  <w:footnote w:id="3">
    <w:p w:rsidR="000615AF" w:rsidRPr="00592AD6" w:rsidRDefault="000615AF" w:rsidP="00D11794">
      <w:pPr>
        <w:pStyle w:val="Default"/>
        <w:jc w:val="both"/>
        <w:rPr>
          <w:color w:val="auto"/>
          <w:sz w:val="18"/>
          <w:szCs w:val="18"/>
        </w:rPr>
      </w:pPr>
      <w:r w:rsidRPr="00592AD6">
        <w:rPr>
          <w:rStyle w:val="Refdenotaderodap"/>
          <w:color w:val="auto"/>
          <w:sz w:val="18"/>
          <w:szCs w:val="18"/>
        </w:rPr>
        <w:footnoteRef/>
      </w:r>
      <w:r w:rsidRPr="00592AD6">
        <w:rPr>
          <w:color w:val="auto"/>
          <w:sz w:val="18"/>
          <w:szCs w:val="18"/>
        </w:rPr>
        <w:t xml:space="preserve"> </w:t>
      </w:r>
      <w:r>
        <w:rPr>
          <w:i/>
          <w:color w:val="auto"/>
          <w:sz w:val="18"/>
          <w:szCs w:val="18"/>
        </w:rPr>
        <w:t>“</w:t>
      </w:r>
      <w:r w:rsidRPr="00592AD6">
        <w:rPr>
          <w:i/>
          <w:color w:val="auto"/>
          <w:sz w:val="18"/>
          <w:szCs w:val="18"/>
        </w:rPr>
        <w:t xml:space="preserve">Alta tensão de distribuição (AT): Tensão entre fases cujo valor eficaz é </w:t>
      </w:r>
      <w:r w:rsidRPr="00A625A7">
        <w:rPr>
          <w:i/>
          <w:color w:val="auto"/>
          <w:sz w:val="18"/>
          <w:szCs w:val="18"/>
          <w:u w:val="single"/>
        </w:rPr>
        <w:t>igual ou superior a 69 kV e inferior a 230 kV</w:t>
      </w:r>
      <w:r w:rsidRPr="00592AD6">
        <w:rPr>
          <w:i/>
          <w:color w:val="auto"/>
          <w:sz w:val="18"/>
          <w:szCs w:val="18"/>
        </w:rPr>
        <w:t>, ou instalações em tensão igual ou superior a 230 kV quando especificamente definidas pela ANEEL</w:t>
      </w:r>
      <w:r>
        <w:rPr>
          <w:i/>
          <w:color w:val="auto"/>
          <w:sz w:val="18"/>
          <w:szCs w:val="18"/>
        </w:rPr>
        <w:t>”</w:t>
      </w:r>
      <w:r w:rsidRPr="00592AD6">
        <w:rPr>
          <w:color w:val="auto"/>
          <w:sz w:val="18"/>
          <w:szCs w:val="18"/>
        </w:rPr>
        <w:t xml:space="preserve"> (</w:t>
      </w:r>
      <w:r>
        <w:rPr>
          <w:color w:val="auto"/>
          <w:sz w:val="18"/>
          <w:szCs w:val="18"/>
        </w:rPr>
        <w:t xml:space="preserve">item </w:t>
      </w:r>
      <w:r w:rsidRPr="00592AD6">
        <w:rPr>
          <w:color w:val="auto"/>
          <w:sz w:val="18"/>
          <w:szCs w:val="18"/>
        </w:rPr>
        <w:t xml:space="preserve">2.17 </w:t>
      </w:r>
      <w:r>
        <w:rPr>
          <w:color w:val="auto"/>
          <w:sz w:val="18"/>
          <w:szCs w:val="18"/>
        </w:rPr>
        <w:t xml:space="preserve">da </w:t>
      </w:r>
      <w:r w:rsidRPr="00592AD6">
        <w:rPr>
          <w:color w:val="auto"/>
          <w:sz w:val="18"/>
          <w:szCs w:val="18"/>
        </w:rPr>
        <w:t>Seção 1.2.</w:t>
      </w:r>
      <w:r>
        <w:rPr>
          <w:color w:val="auto"/>
          <w:sz w:val="18"/>
          <w:szCs w:val="18"/>
        </w:rPr>
        <w:t xml:space="preserve"> </w:t>
      </w:r>
      <w:proofErr w:type="gramStart"/>
      <w:r>
        <w:rPr>
          <w:color w:val="auto"/>
          <w:sz w:val="18"/>
          <w:szCs w:val="18"/>
        </w:rPr>
        <w:t>do</w:t>
      </w:r>
      <w:proofErr w:type="gramEnd"/>
      <w:r>
        <w:rPr>
          <w:color w:val="auto"/>
          <w:sz w:val="18"/>
          <w:szCs w:val="18"/>
        </w:rPr>
        <w:t xml:space="preserve"> </w:t>
      </w:r>
      <w:r w:rsidRPr="00592AD6">
        <w:rPr>
          <w:color w:val="auto"/>
          <w:sz w:val="18"/>
          <w:szCs w:val="18"/>
        </w:rPr>
        <w:t xml:space="preserve">Módulo 1 </w:t>
      </w:r>
      <w:r>
        <w:rPr>
          <w:color w:val="auto"/>
          <w:sz w:val="18"/>
          <w:szCs w:val="18"/>
        </w:rPr>
        <w:t xml:space="preserve">– </w:t>
      </w:r>
      <w:r w:rsidRPr="00592AD6">
        <w:rPr>
          <w:color w:val="auto"/>
          <w:sz w:val="18"/>
          <w:szCs w:val="18"/>
        </w:rPr>
        <w:t>“Introdução”</w:t>
      </w:r>
      <w:r>
        <w:rPr>
          <w:color w:val="auto"/>
          <w:sz w:val="18"/>
          <w:szCs w:val="18"/>
        </w:rPr>
        <w:t xml:space="preserve"> – do PRODIST – grifou-se</w:t>
      </w:r>
      <w:r w:rsidRPr="00592AD6">
        <w:rPr>
          <w:color w:val="auto"/>
          <w:sz w:val="18"/>
          <w:szCs w:val="18"/>
        </w:rPr>
        <w:t>)</w:t>
      </w:r>
      <w:r>
        <w:rPr>
          <w:color w:val="auto"/>
          <w:sz w:val="18"/>
          <w:szCs w:val="18"/>
        </w:rPr>
        <w:t>.</w:t>
      </w:r>
    </w:p>
  </w:footnote>
  <w:footnote w:id="4">
    <w:p w:rsidR="000615AF" w:rsidRPr="00F96A8A" w:rsidRDefault="000615AF" w:rsidP="00D11794">
      <w:pPr>
        <w:jc w:val="left"/>
        <w:rPr>
          <w:rFonts w:eastAsia="Calibri" w:cs="Arial"/>
          <w:sz w:val="18"/>
          <w:szCs w:val="18"/>
        </w:rPr>
      </w:pPr>
      <w:r w:rsidRPr="00F96A8A">
        <w:rPr>
          <w:rStyle w:val="Refdenotaderodap"/>
          <w:sz w:val="18"/>
          <w:szCs w:val="18"/>
        </w:rPr>
        <w:footnoteRef/>
      </w:r>
      <w:r w:rsidRPr="00F96A8A">
        <w:rPr>
          <w:sz w:val="18"/>
          <w:szCs w:val="18"/>
        </w:rPr>
        <w:t xml:space="preserve"> </w:t>
      </w:r>
      <w:hyperlink r:id="rId1" w:history="1">
        <w:r w:rsidRPr="00F96A8A">
          <w:rPr>
            <w:rStyle w:val="Hyperlink"/>
            <w:rFonts w:eastAsia="Calibri" w:cs="Arial"/>
            <w:sz w:val="18"/>
            <w:szCs w:val="18"/>
          </w:rPr>
          <w:t>https://www.aeseletropaulo.com.br/padroes-e-normas-tecnicas/manuais-normas-tecnicas-e-de-seguranca/Documents/LIG%20AT.pdf</w:t>
        </w:r>
      </w:hyperlink>
    </w:p>
  </w:footnote>
  <w:footnote w:id="5">
    <w:p w:rsidR="000615AF" w:rsidRPr="00C448AF" w:rsidRDefault="000615AF" w:rsidP="00D11794">
      <w:pPr>
        <w:pStyle w:val="Textodenotaderodap"/>
        <w:jc w:val="left"/>
        <w:rPr>
          <w:sz w:val="18"/>
          <w:szCs w:val="18"/>
        </w:rPr>
      </w:pPr>
      <w:r w:rsidRPr="004246A5">
        <w:rPr>
          <w:rStyle w:val="Refdenotaderodap"/>
          <w:sz w:val="18"/>
          <w:szCs w:val="18"/>
        </w:rPr>
        <w:footnoteRef/>
      </w:r>
      <w:r w:rsidRPr="004246A5">
        <w:rPr>
          <w:sz w:val="18"/>
          <w:szCs w:val="18"/>
        </w:rPr>
        <w:t xml:space="preserve"> </w:t>
      </w:r>
      <w:hyperlink r:id="rId2" w:history="1">
        <w:r w:rsidRPr="00C448AF">
          <w:rPr>
            <w:rStyle w:val="Hyperlink"/>
            <w:rFonts w:eastAsia="Calibri" w:cs="Arial"/>
            <w:sz w:val="18"/>
            <w:szCs w:val="18"/>
          </w:rPr>
          <w:t>https://www.aeseletropaulo.com.br/padroes-e-normas-tecnicas/manuais-normas-tecnicas-e-de-seguranca/LIG%20MT%202011/LIG_MT_2011_VAC.pdf</w:t>
        </w:r>
      </w:hyperlink>
    </w:p>
  </w:footnote>
  <w:footnote w:id="6">
    <w:p w:rsidR="000615AF" w:rsidRPr="008735A8" w:rsidRDefault="000615AF" w:rsidP="00D11794">
      <w:pPr>
        <w:pStyle w:val="Textodenotaderodap"/>
        <w:rPr>
          <w:sz w:val="18"/>
          <w:szCs w:val="18"/>
        </w:rPr>
      </w:pPr>
      <w:r w:rsidRPr="008735A8">
        <w:rPr>
          <w:rStyle w:val="Refdenotaderodap"/>
          <w:sz w:val="18"/>
          <w:szCs w:val="18"/>
        </w:rPr>
        <w:footnoteRef/>
      </w:r>
      <w:r w:rsidRPr="008735A8">
        <w:rPr>
          <w:sz w:val="18"/>
          <w:szCs w:val="18"/>
        </w:rPr>
        <w:t xml:space="preserve"> </w:t>
      </w:r>
      <w:r>
        <w:rPr>
          <w:i/>
          <w:sz w:val="18"/>
          <w:szCs w:val="18"/>
        </w:rPr>
        <w:t>“</w:t>
      </w:r>
      <w:r w:rsidRPr="008735A8">
        <w:rPr>
          <w:i/>
          <w:sz w:val="18"/>
          <w:szCs w:val="18"/>
        </w:rPr>
        <w:t xml:space="preserve">2.197 – </w:t>
      </w:r>
      <w:r w:rsidRPr="006017D7">
        <w:rPr>
          <w:i/>
          <w:sz w:val="18"/>
          <w:szCs w:val="18"/>
          <w:u w:val="single"/>
        </w:rPr>
        <w:t>Grupo A</w:t>
      </w:r>
      <w:r w:rsidRPr="008735A8">
        <w:rPr>
          <w:i/>
          <w:sz w:val="18"/>
          <w:szCs w:val="18"/>
        </w:rPr>
        <w:t xml:space="preserve">: Grupamento composto de unidades consumidoras com fornecimento em </w:t>
      </w:r>
      <w:r w:rsidRPr="006017D7">
        <w:rPr>
          <w:i/>
          <w:sz w:val="18"/>
          <w:szCs w:val="18"/>
          <w:u w:val="single"/>
        </w:rPr>
        <w:t>tensão igual ou superior a 2,3 kV</w:t>
      </w:r>
      <w:r w:rsidRPr="008735A8">
        <w:rPr>
          <w:i/>
          <w:sz w:val="18"/>
          <w:szCs w:val="18"/>
        </w:rPr>
        <w:t>, ou, ainda, atendidas em tensão inferior a 2,3 kV a partir de sistema subterrâneo de distribuição e faturadas neste Grupo nos termos definidos para opção do consumidor, caracterizado pela estruturação tarifária binômia e subdividido nos seguintes subgrupos: a) Subgrupo A1 - tensão de fornecim</w:t>
      </w:r>
      <w:r>
        <w:rPr>
          <w:i/>
          <w:sz w:val="18"/>
          <w:szCs w:val="18"/>
        </w:rPr>
        <w:t>ento igual ou superior a 230 kV;</w:t>
      </w:r>
      <w:r w:rsidRPr="008735A8">
        <w:rPr>
          <w:i/>
          <w:sz w:val="18"/>
          <w:szCs w:val="18"/>
        </w:rPr>
        <w:t xml:space="preserve"> b) Subgrupo A2 - tensão de</w:t>
      </w:r>
      <w:r>
        <w:rPr>
          <w:i/>
          <w:sz w:val="18"/>
          <w:szCs w:val="18"/>
        </w:rPr>
        <w:t xml:space="preserve"> fornecimento de 88 kV a 138 kV;</w:t>
      </w:r>
      <w:r w:rsidRPr="008735A8">
        <w:rPr>
          <w:i/>
          <w:sz w:val="18"/>
          <w:szCs w:val="18"/>
        </w:rPr>
        <w:t xml:space="preserve"> c) Subgrupo A3 - </w:t>
      </w:r>
      <w:r>
        <w:rPr>
          <w:i/>
          <w:sz w:val="18"/>
          <w:szCs w:val="18"/>
        </w:rPr>
        <w:t>tensão de fornecimento de 69 kV;</w:t>
      </w:r>
      <w:r w:rsidRPr="008735A8">
        <w:rPr>
          <w:i/>
          <w:sz w:val="18"/>
          <w:szCs w:val="18"/>
        </w:rPr>
        <w:t xml:space="preserve"> d) Subgrupo A3a - tensão d</w:t>
      </w:r>
      <w:r>
        <w:rPr>
          <w:i/>
          <w:sz w:val="18"/>
          <w:szCs w:val="18"/>
        </w:rPr>
        <w:t>e fornecimento de 30 kV a 44 kV;</w:t>
      </w:r>
      <w:r w:rsidRPr="008735A8">
        <w:rPr>
          <w:i/>
          <w:sz w:val="18"/>
          <w:szCs w:val="18"/>
        </w:rPr>
        <w:t xml:space="preserve"> e) Subgrupo A4 - tensão de</w:t>
      </w:r>
      <w:r>
        <w:rPr>
          <w:i/>
          <w:sz w:val="18"/>
          <w:szCs w:val="18"/>
        </w:rPr>
        <w:t xml:space="preserve"> fornecimento de 2,3 kV a 25 kV;</w:t>
      </w:r>
      <w:r w:rsidRPr="008735A8">
        <w:rPr>
          <w:i/>
          <w:sz w:val="18"/>
          <w:szCs w:val="18"/>
        </w:rPr>
        <w:t xml:space="preserve"> f) Subgrupo AS - tensão de fornecimento inferior a 2,3 kV, atendidas a partir de sistema subterrâneo de distribuição</w:t>
      </w:r>
      <w:r>
        <w:rPr>
          <w:i/>
          <w:sz w:val="18"/>
          <w:szCs w:val="18"/>
        </w:rPr>
        <w:t>”</w:t>
      </w:r>
      <w:r>
        <w:rPr>
          <w:sz w:val="18"/>
          <w:szCs w:val="18"/>
        </w:rPr>
        <w:t xml:space="preserve"> (seção 1.2. </w:t>
      </w:r>
      <w:proofErr w:type="gramStart"/>
      <w:r>
        <w:rPr>
          <w:sz w:val="18"/>
          <w:szCs w:val="18"/>
        </w:rPr>
        <w:t>do</w:t>
      </w:r>
      <w:proofErr w:type="gramEnd"/>
      <w:r>
        <w:rPr>
          <w:sz w:val="18"/>
          <w:szCs w:val="18"/>
        </w:rPr>
        <w:t xml:space="preserve"> Módulo 1 – “Introdução” – do PRODIST – grifou-se).</w:t>
      </w:r>
    </w:p>
  </w:footnote>
  <w:footnote w:id="7">
    <w:p w:rsidR="000615AF" w:rsidRPr="002A521A" w:rsidRDefault="000615AF" w:rsidP="00D11794">
      <w:pPr>
        <w:rPr>
          <w:rFonts w:cs="Arial"/>
          <w:i/>
          <w:sz w:val="18"/>
          <w:szCs w:val="18"/>
        </w:rPr>
      </w:pPr>
      <w:r w:rsidRPr="002A521A">
        <w:rPr>
          <w:rStyle w:val="Refdenotaderodap"/>
          <w:sz w:val="18"/>
          <w:szCs w:val="18"/>
        </w:rPr>
        <w:footnoteRef/>
      </w:r>
      <w:r w:rsidRPr="002A521A">
        <w:rPr>
          <w:sz w:val="18"/>
          <w:szCs w:val="18"/>
        </w:rPr>
        <w:t xml:space="preserve"> </w:t>
      </w:r>
      <w:r>
        <w:rPr>
          <w:i/>
          <w:sz w:val="18"/>
          <w:szCs w:val="18"/>
        </w:rPr>
        <w:t>“</w:t>
      </w:r>
      <w:r w:rsidRPr="002A521A">
        <w:rPr>
          <w:rFonts w:cs="Arial"/>
          <w:i/>
          <w:sz w:val="18"/>
          <w:szCs w:val="18"/>
        </w:rPr>
        <w:t>2.378 Subestação: Conjunto de instalações elétricas em média ou alta tensão que agrupa os equipamentos, condutores e acessórios, destinados à proteção, medição, manobra e transformação de grandezas elétricas.</w:t>
      </w:r>
    </w:p>
    <w:p w:rsidR="000615AF" w:rsidRPr="002A521A" w:rsidRDefault="000615AF" w:rsidP="00D11794">
      <w:pPr>
        <w:rPr>
          <w:rFonts w:cs="Arial"/>
          <w:sz w:val="18"/>
          <w:szCs w:val="18"/>
        </w:rPr>
      </w:pPr>
      <w:r w:rsidRPr="002A521A">
        <w:rPr>
          <w:rFonts w:cs="Arial"/>
          <w:i/>
          <w:sz w:val="18"/>
          <w:szCs w:val="18"/>
        </w:rPr>
        <w:t>2.379 Subestação consumidora: Subestação para atendimento à unidade consumidora atendida em média</w:t>
      </w:r>
      <w:r>
        <w:rPr>
          <w:rFonts w:cs="Arial"/>
          <w:i/>
          <w:sz w:val="18"/>
          <w:szCs w:val="18"/>
        </w:rPr>
        <w:t xml:space="preserve"> ou alta tensão de distribuição”</w:t>
      </w:r>
      <w:r>
        <w:rPr>
          <w:rFonts w:cs="Arial"/>
          <w:sz w:val="18"/>
          <w:szCs w:val="18"/>
        </w:rPr>
        <w:t xml:space="preserve"> (seção 1.2. </w:t>
      </w:r>
      <w:proofErr w:type="gramStart"/>
      <w:r>
        <w:rPr>
          <w:rFonts w:cs="Arial"/>
          <w:sz w:val="18"/>
          <w:szCs w:val="18"/>
        </w:rPr>
        <w:t>do</w:t>
      </w:r>
      <w:proofErr w:type="gramEnd"/>
      <w:r>
        <w:rPr>
          <w:rFonts w:cs="Arial"/>
          <w:sz w:val="18"/>
          <w:szCs w:val="18"/>
        </w:rPr>
        <w:t xml:space="preserve"> Módulo 1 – “Introdução” – do PRODIST).</w:t>
      </w:r>
    </w:p>
  </w:footnote>
  <w:footnote w:id="8">
    <w:p w:rsidR="000615AF" w:rsidRPr="00F96A8A" w:rsidRDefault="000615AF" w:rsidP="00D11794">
      <w:pPr>
        <w:jc w:val="left"/>
        <w:rPr>
          <w:rFonts w:eastAsia="Calibri" w:cs="Arial"/>
          <w:sz w:val="18"/>
          <w:szCs w:val="18"/>
        </w:rPr>
      </w:pPr>
      <w:r w:rsidRPr="00F96A8A">
        <w:rPr>
          <w:rStyle w:val="Refdenotaderodap"/>
          <w:sz w:val="18"/>
          <w:szCs w:val="18"/>
        </w:rPr>
        <w:footnoteRef/>
      </w:r>
      <w:r w:rsidRPr="00F96A8A">
        <w:rPr>
          <w:sz w:val="18"/>
          <w:szCs w:val="18"/>
        </w:rPr>
        <w:t xml:space="preserve"> </w:t>
      </w:r>
      <w:hyperlink r:id="rId3" w:history="1">
        <w:r w:rsidRPr="00F96A8A">
          <w:rPr>
            <w:rStyle w:val="Hyperlink"/>
            <w:rFonts w:eastAsia="Calibri" w:cs="Arial"/>
            <w:sz w:val="18"/>
            <w:szCs w:val="18"/>
          </w:rPr>
          <w:t>https://www.aeseletropaulo.com.br/padroes-e-normas-tecnicas/manuais-normas-tecnicas-e-de-seguranca/Documents/LIG%20AT.pdf</w:t>
        </w:r>
      </w:hyperlink>
    </w:p>
  </w:footnote>
  <w:footnote w:id="9">
    <w:p w:rsidR="000615AF" w:rsidRPr="00B23D96" w:rsidRDefault="000615AF">
      <w:pPr>
        <w:pStyle w:val="Textodenotaderodap"/>
        <w:rPr>
          <w:sz w:val="18"/>
          <w:szCs w:val="18"/>
        </w:rPr>
      </w:pPr>
      <w:r w:rsidRPr="00B23D96">
        <w:rPr>
          <w:rStyle w:val="Refdenotaderodap"/>
          <w:sz w:val="18"/>
          <w:szCs w:val="18"/>
        </w:rPr>
        <w:footnoteRef/>
      </w:r>
      <w:r w:rsidRPr="00B23D96">
        <w:rPr>
          <w:sz w:val="18"/>
          <w:szCs w:val="18"/>
        </w:rPr>
        <w:t xml:space="preserve"> O artigo 14, I, da Resolução ANEEL nº 456/2000, hoje revogada, tratava expressamente dessas circunstâncias dos empreendimentos </w:t>
      </w:r>
      <w:r w:rsidRPr="00B23D96">
        <w:rPr>
          <w:sz w:val="18"/>
          <w:szCs w:val="18"/>
          <w:u w:val="single"/>
        </w:rPr>
        <w:t>comerciais</w:t>
      </w:r>
      <w:r w:rsidRPr="00B23D96">
        <w:rPr>
          <w:sz w:val="18"/>
          <w:szCs w:val="18"/>
        </w:rPr>
        <w:t xml:space="preserve">: </w:t>
      </w:r>
      <w:r>
        <w:rPr>
          <w:i/>
          <w:sz w:val="18"/>
          <w:szCs w:val="18"/>
        </w:rPr>
        <w:t>“</w:t>
      </w:r>
      <w:r w:rsidRPr="00B23D96">
        <w:rPr>
          <w:i/>
          <w:sz w:val="18"/>
          <w:szCs w:val="18"/>
        </w:rPr>
        <w:t xml:space="preserve">Art. 14. Prédio </w:t>
      </w:r>
      <w:r w:rsidRPr="00B23D96">
        <w:rPr>
          <w:i/>
          <w:sz w:val="18"/>
          <w:szCs w:val="18"/>
          <w:u w:val="single"/>
        </w:rPr>
        <w:t>com predominância de estabelecimentos comerciais</w:t>
      </w:r>
      <w:r w:rsidRPr="00B23D96">
        <w:rPr>
          <w:i/>
          <w:sz w:val="18"/>
          <w:szCs w:val="18"/>
        </w:rPr>
        <w:t xml:space="preserve"> de serviços, varejistas e/ou atacadistas, poderá ser considerado uma só unidade consumidora, se atendidas, cumulativamente, as seguintes condições: I - que a propriedade de todos os compartimentos do imóvel, prédio ou o conjunto de edificações, seja de uma só pessoa física ou jurídica e que o mesmo esteja sob a responsabilidade administrativa de organização incumbida da prestação de serviços comuns a seus integrantes</w:t>
      </w:r>
      <w:r>
        <w:rPr>
          <w:i/>
          <w:sz w:val="18"/>
          <w:szCs w:val="18"/>
        </w:rPr>
        <w:t>”</w:t>
      </w:r>
      <w:r>
        <w:rPr>
          <w:sz w:val="18"/>
          <w:szCs w:val="18"/>
        </w:rPr>
        <w:t xml:space="preserve"> (grifou-se).</w:t>
      </w:r>
    </w:p>
  </w:footnote>
  <w:footnote w:id="10">
    <w:p w:rsidR="000615AF" w:rsidRPr="00F76727" w:rsidRDefault="000615AF">
      <w:pPr>
        <w:pStyle w:val="Textodenotaderodap"/>
        <w:rPr>
          <w:sz w:val="18"/>
          <w:szCs w:val="18"/>
        </w:rPr>
      </w:pPr>
      <w:r w:rsidRPr="00F76727">
        <w:rPr>
          <w:rStyle w:val="Refdenotaderodap"/>
          <w:sz w:val="18"/>
          <w:szCs w:val="18"/>
        </w:rPr>
        <w:footnoteRef/>
      </w:r>
      <w:r w:rsidRPr="00F76727">
        <w:rPr>
          <w:sz w:val="18"/>
          <w:szCs w:val="18"/>
        </w:rPr>
        <w:t xml:space="preserve"> </w:t>
      </w:r>
      <w:r>
        <w:rPr>
          <w:sz w:val="18"/>
          <w:szCs w:val="18"/>
        </w:rPr>
        <w:t>ANEEL – Despacho 989/2005, p. 16/08/2005.</w:t>
      </w:r>
    </w:p>
  </w:footnote>
  <w:footnote w:id="11">
    <w:p w:rsidR="000615AF" w:rsidRPr="007034B9" w:rsidRDefault="000615AF">
      <w:pPr>
        <w:pStyle w:val="Textodenotaderodap"/>
        <w:rPr>
          <w:sz w:val="18"/>
          <w:szCs w:val="18"/>
          <w:lang w:val="en-US"/>
        </w:rPr>
      </w:pPr>
      <w:r w:rsidRPr="007034B9">
        <w:rPr>
          <w:rStyle w:val="Refdenotaderodap"/>
          <w:sz w:val="18"/>
          <w:szCs w:val="18"/>
        </w:rPr>
        <w:footnoteRef/>
      </w:r>
      <w:r w:rsidRPr="007034B9">
        <w:rPr>
          <w:sz w:val="18"/>
          <w:szCs w:val="18"/>
        </w:rPr>
        <w:t xml:space="preserve"> STJ – </w:t>
      </w:r>
      <w:r w:rsidRPr="007034B9">
        <w:rPr>
          <w:rFonts w:eastAsia="Calibri" w:cs="Arial"/>
          <w:sz w:val="18"/>
          <w:szCs w:val="18"/>
        </w:rPr>
        <w:t>REsp 1198727/M</w:t>
      </w:r>
      <w:r>
        <w:rPr>
          <w:rFonts w:eastAsia="Calibri" w:cs="Arial"/>
          <w:sz w:val="18"/>
          <w:szCs w:val="18"/>
        </w:rPr>
        <w:t>G, r</w:t>
      </w:r>
      <w:r w:rsidRPr="007034B9">
        <w:rPr>
          <w:rFonts w:eastAsia="Calibri" w:cs="Arial"/>
          <w:sz w:val="18"/>
          <w:szCs w:val="18"/>
        </w:rPr>
        <w:t xml:space="preserve">el. </w:t>
      </w:r>
      <w:r w:rsidRPr="007034B9">
        <w:rPr>
          <w:rFonts w:eastAsia="Calibri" w:cs="Arial"/>
          <w:sz w:val="18"/>
          <w:szCs w:val="18"/>
          <w:lang w:val="en-US"/>
        </w:rPr>
        <w:t>Min Hermann Benjamin, p. DJ</w:t>
      </w:r>
      <w:r>
        <w:rPr>
          <w:rFonts w:eastAsia="Calibri" w:cs="Arial"/>
          <w:sz w:val="18"/>
          <w:szCs w:val="18"/>
          <w:lang w:val="en-US"/>
        </w:rPr>
        <w:t xml:space="preserve"> d</w:t>
      </w:r>
      <w:r w:rsidRPr="007034B9">
        <w:rPr>
          <w:rFonts w:eastAsia="Calibri" w:cs="Arial"/>
          <w:sz w:val="18"/>
          <w:szCs w:val="18"/>
          <w:lang w:val="en-US"/>
        </w:rPr>
        <w:t>e 09/05/2013</w:t>
      </w:r>
      <w:r>
        <w:rPr>
          <w:rFonts w:eastAsia="Calibri" w:cs="Arial"/>
          <w:sz w:val="18"/>
          <w:szCs w:val="18"/>
          <w:lang w:val="en-US"/>
        </w:rPr>
        <w:t>.</w:t>
      </w:r>
    </w:p>
  </w:footnote>
  <w:footnote w:id="12">
    <w:p w:rsidR="000615AF" w:rsidRPr="0087581E" w:rsidRDefault="000615AF">
      <w:pPr>
        <w:pStyle w:val="Textodenotaderodap"/>
        <w:rPr>
          <w:sz w:val="18"/>
          <w:szCs w:val="18"/>
        </w:rPr>
      </w:pPr>
      <w:r>
        <w:rPr>
          <w:rStyle w:val="Refdenotaderodap"/>
        </w:rPr>
        <w:footnoteRef/>
      </w:r>
      <w:r>
        <w:t xml:space="preserve"> </w:t>
      </w:r>
      <w:r>
        <w:rPr>
          <w:sz w:val="18"/>
          <w:szCs w:val="18"/>
        </w:rPr>
        <w:t>ANEEL – Despacho 1105/2012, p. 05/04/2012.</w:t>
      </w:r>
    </w:p>
  </w:footnote>
  <w:footnote w:id="13">
    <w:p w:rsidR="000615AF" w:rsidRPr="004F3558" w:rsidRDefault="000615AF" w:rsidP="00D11794">
      <w:pPr>
        <w:pStyle w:val="Textodenotaderodap"/>
        <w:rPr>
          <w:rFonts w:cs="Arial"/>
          <w:sz w:val="18"/>
          <w:szCs w:val="18"/>
        </w:rPr>
      </w:pPr>
      <w:r w:rsidRPr="004F3558">
        <w:rPr>
          <w:rStyle w:val="Refdenotaderodap"/>
          <w:rFonts w:cs="Arial"/>
          <w:sz w:val="18"/>
          <w:szCs w:val="18"/>
        </w:rPr>
        <w:footnoteRef/>
      </w:r>
      <w:r w:rsidRPr="004F3558">
        <w:rPr>
          <w:rFonts w:cs="Arial"/>
          <w:sz w:val="18"/>
          <w:szCs w:val="18"/>
        </w:rPr>
        <w:t xml:space="preserve"> FERRAZ, Luciano. “Segurança Jurídica Positivada na Lei Federal nº 9.784/99”, </w:t>
      </w:r>
      <w:r w:rsidRPr="004F3558">
        <w:rPr>
          <w:rFonts w:cs="Arial"/>
          <w:i/>
          <w:sz w:val="18"/>
          <w:szCs w:val="18"/>
        </w:rPr>
        <w:t>in</w:t>
      </w:r>
      <w:r w:rsidRPr="004F3558">
        <w:rPr>
          <w:rFonts w:cs="Arial"/>
          <w:sz w:val="18"/>
          <w:szCs w:val="18"/>
        </w:rPr>
        <w:t xml:space="preserve"> Processo Administrativo: Temas Polêmicos da Lei nº 9.784/99”, coord. Irene Patrícia Nohara e Marcos Antonio Praxedes de Moraes Filho. São Paulo: editora Atlas, 2011, p. 125/126.</w:t>
      </w:r>
    </w:p>
  </w:footnote>
  <w:footnote w:id="14">
    <w:p w:rsidR="000615AF" w:rsidRPr="004F3558" w:rsidRDefault="000615AF" w:rsidP="00D11794">
      <w:pPr>
        <w:pStyle w:val="Textodenotaderodap"/>
        <w:rPr>
          <w:rFonts w:cs="Arial"/>
          <w:sz w:val="18"/>
          <w:szCs w:val="18"/>
        </w:rPr>
      </w:pPr>
      <w:r w:rsidRPr="004F3558">
        <w:rPr>
          <w:rStyle w:val="Refdenotaderodap"/>
          <w:rFonts w:cs="Arial"/>
          <w:sz w:val="18"/>
          <w:szCs w:val="18"/>
        </w:rPr>
        <w:footnoteRef/>
      </w:r>
      <w:r w:rsidRPr="004F3558">
        <w:rPr>
          <w:rFonts w:cs="Arial"/>
          <w:sz w:val="18"/>
          <w:szCs w:val="18"/>
        </w:rPr>
        <w:t xml:space="preserve"> DALLARI, Adilson; e FERRAZ, Sérgio. </w:t>
      </w:r>
      <w:r w:rsidRPr="004F3558">
        <w:rPr>
          <w:rFonts w:cs="Arial"/>
          <w:i/>
          <w:sz w:val="18"/>
          <w:szCs w:val="18"/>
        </w:rPr>
        <w:t>Processo Administrativo</w:t>
      </w:r>
      <w:r w:rsidRPr="004F3558">
        <w:rPr>
          <w:rFonts w:cs="Arial"/>
          <w:sz w:val="18"/>
          <w:szCs w:val="18"/>
        </w:rPr>
        <w:t>. São Paulo: Malheiros, 2001, p. 44.</w:t>
      </w:r>
    </w:p>
  </w:footnote>
  <w:footnote w:id="15">
    <w:p w:rsidR="000615AF" w:rsidRPr="008D556C" w:rsidRDefault="000615AF" w:rsidP="00D11794">
      <w:pPr>
        <w:pStyle w:val="Textodenotaderodap"/>
        <w:rPr>
          <w:rFonts w:cs="Arial"/>
          <w:sz w:val="18"/>
          <w:szCs w:val="18"/>
          <w:lang w:val="es-AR"/>
        </w:rPr>
      </w:pPr>
      <w:r w:rsidRPr="008D556C">
        <w:rPr>
          <w:rStyle w:val="Refdenotaderodap"/>
          <w:rFonts w:cs="Arial"/>
          <w:sz w:val="18"/>
          <w:szCs w:val="18"/>
        </w:rPr>
        <w:footnoteRef/>
      </w:r>
      <w:r w:rsidRPr="008D556C">
        <w:rPr>
          <w:rFonts w:cs="Arial"/>
          <w:sz w:val="18"/>
          <w:szCs w:val="18"/>
        </w:rPr>
        <w:t xml:space="preserve"> </w:t>
      </w:r>
      <w:r w:rsidRPr="008D556C">
        <w:rPr>
          <w:rFonts w:cs="Arial"/>
          <w:caps/>
          <w:sz w:val="18"/>
          <w:szCs w:val="18"/>
        </w:rPr>
        <w:t>Martins-Costa</w:t>
      </w:r>
      <w:r w:rsidRPr="008D556C">
        <w:rPr>
          <w:rFonts w:cs="Arial"/>
          <w:sz w:val="18"/>
          <w:szCs w:val="18"/>
        </w:rPr>
        <w:t xml:space="preserve">, Judith. </w:t>
      </w:r>
      <w:r w:rsidRPr="008D556C">
        <w:rPr>
          <w:rFonts w:cs="Arial"/>
          <w:i/>
          <w:sz w:val="18"/>
          <w:szCs w:val="18"/>
        </w:rPr>
        <w:t>Princípio da confiança legítima e princípio da boa-fé objetiva</w:t>
      </w:r>
      <w:r w:rsidRPr="008D556C">
        <w:rPr>
          <w:rFonts w:cs="Arial"/>
          <w:sz w:val="18"/>
          <w:szCs w:val="18"/>
        </w:rPr>
        <w:t xml:space="preserve">. </w:t>
      </w:r>
      <w:r w:rsidRPr="008D556C">
        <w:rPr>
          <w:rFonts w:cs="Arial"/>
          <w:sz w:val="18"/>
          <w:szCs w:val="18"/>
          <w:lang w:val="es-AR"/>
        </w:rPr>
        <w:t>Revista dos Tribunais</w:t>
      </w:r>
      <w:r w:rsidRPr="008D556C">
        <w:rPr>
          <w:rFonts w:cs="Arial"/>
          <w:i/>
          <w:sz w:val="18"/>
          <w:szCs w:val="18"/>
          <w:lang w:val="es-AR"/>
        </w:rPr>
        <w:t>,</w:t>
      </w:r>
      <w:r w:rsidRPr="008D556C">
        <w:rPr>
          <w:rFonts w:cs="Arial"/>
          <w:sz w:val="18"/>
          <w:szCs w:val="18"/>
          <w:lang w:val="es-AR"/>
        </w:rPr>
        <w:t xml:space="preserve"> nº </w:t>
      </w:r>
      <w:r w:rsidRPr="008D556C">
        <w:rPr>
          <w:rFonts w:cs="Arial"/>
          <w:bCs/>
          <w:sz w:val="18"/>
          <w:szCs w:val="18"/>
          <w:lang w:val="es-AR"/>
        </w:rPr>
        <w:t>852/87.</w:t>
      </w:r>
    </w:p>
  </w:footnote>
  <w:footnote w:id="16">
    <w:p w:rsidR="000615AF" w:rsidRPr="00855C90" w:rsidRDefault="000615AF" w:rsidP="00D11794">
      <w:pPr>
        <w:pStyle w:val="Textodenotaderodap"/>
        <w:rPr>
          <w:rFonts w:cs="Arial"/>
          <w:sz w:val="18"/>
          <w:szCs w:val="18"/>
        </w:rPr>
      </w:pPr>
      <w:r w:rsidRPr="00855C90">
        <w:rPr>
          <w:rStyle w:val="Refdenotaderodap"/>
          <w:rFonts w:cs="Arial"/>
          <w:sz w:val="18"/>
          <w:szCs w:val="18"/>
        </w:rPr>
        <w:footnoteRef/>
      </w:r>
      <w:r w:rsidRPr="00855C90">
        <w:rPr>
          <w:rFonts w:cs="Arial"/>
          <w:sz w:val="18"/>
          <w:szCs w:val="18"/>
        </w:rPr>
        <w:t xml:space="preserve"> DA SILVA, José Afonso. </w:t>
      </w:r>
      <w:r w:rsidRPr="00855C90">
        <w:rPr>
          <w:rFonts w:cs="Arial"/>
          <w:i/>
          <w:sz w:val="18"/>
          <w:szCs w:val="18"/>
        </w:rPr>
        <w:t>Curso de Direito Constitucional Positivo</w:t>
      </w:r>
      <w:r w:rsidRPr="00855C90">
        <w:rPr>
          <w:rFonts w:cs="Arial"/>
          <w:sz w:val="18"/>
          <w:szCs w:val="18"/>
        </w:rPr>
        <w:t>, 26ª e. São Paulo: Malheiros, 2006, p. 51-54</w:t>
      </w:r>
    </w:p>
  </w:footnote>
  <w:footnote w:id="17">
    <w:p w:rsidR="000615AF" w:rsidRPr="00855C90" w:rsidRDefault="000615AF" w:rsidP="008D7E07">
      <w:pPr>
        <w:pStyle w:val="Textodenotaderodap"/>
        <w:rPr>
          <w:sz w:val="18"/>
          <w:szCs w:val="18"/>
        </w:rPr>
      </w:pPr>
      <w:r w:rsidRPr="00855C90">
        <w:rPr>
          <w:rStyle w:val="Refdenotaderodap"/>
          <w:sz w:val="18"/>
          <w:szCs w:val="18"/>
        </w:rPr>
        <w:footnoteRef/>
      </w:r>
      <w:r w:rsidRPr="00855C90">
        <w:rPr>
          <w:sz w:val="18"/>
          <w:szCs w:val="18"/>
        </w:rPr>
        <w:t xml:space="preserve"> PALU, Oswaldo Luiz. </w:t>
      </w:r>
      <w:r w:rsidRPr="00855C90">
        <w:rPr>
          <w:i/>
          <w:sz w:val="18"/>
          <w:szCs w:val="18"/>
        </w:rPr>
        <w:t>Controle de Constitucionalidade</w:t>
      </w:r>
      <w:r w:rsidRPr="00855C90">
        <w:rPr>
          <w:sz w:val="18"/>
          <w:szCs w:val="18"/>
        </w:rPr>
        <w:t>. São Paulo: Editora Revista dos Tribunais, 1999, p. 217.</w:t>
      </w:r>
    </w:p>
  </w:footnote>
  <w:footnote w:id="18">
    <w:p w:rsidR="000615AF" w:rsidRPr="00855C90" w:rsidRDefault="000615AF" w:rsidP="00855C90">
      <w:pPr>
        <w:pStyle w:val="Textodenotaderodap"/>
        <w:rPr>
          <w:sz w:val="18"/>
          <w:szCs w:val="18"/>
        </w:rPr>
      </w:pPr>
      <w:r w:rsidRPr="00855C90">
        <w:rPr>
          <w:rStyle w:val="Refdenotaderodap"/>
          <w:sz w:val="18"/>
          <w:szCs w:val="18"/>
        </w:rPr>
        <w:footnoteRef/>
      </w:r>
      <w:r w:rsidRPr="00855C90">
        <w:rPr>
          <w:sz w:val="18"/>
          <w:szCs w:val="18"/>
        </w:rPr>
        <w:t xml:space="preserve"> O próprio </w:t>
      </w:r>
      <w:r w:rsidRPr="00855C90">
        <w:rPr>
          <w:smallCaps/>
          <w:sz w:val="18"/>
          <w:szCs w:val="18"/>
        </w:rPr>
        <w:t xml:space="preserve">Supremo Tribunal Federal </w:t>
      </w:r>
      <w:r w:rsidRPr="00855C90">
        <w:rPr>
          <w:sz w:val="18"/>
          <w:szCs w:val="18"/>
        </w:rPr>
        <w:t xml:space="preserve">já pacificou que a </w:t>
      </w:r>
      <w:r w:rsidRPr="00855C90">
        <w:rPr>
          <w:i/>
          <w:sz w:val="18"/>
          <w:szCs w:val="18"/>
        </w:rPr>
        <w:t>“tutela jurisdicional de situações individuais, uma vez suscitada a controvérsia de índole constitucional, há de ser obtida na via do controle difuso de constitucionalidade, que, supondo a existência de um caso concreto, revela-se acessível a qualquer pessoa que disponha de interesse e legitimidade (CPC, art. 3</w:t>
      </w:r>
      <w:proofErr w:type="gramStart"/>
      <w:r w:rsidRPr="00855C90">
        <w:rPr>
          <w:i/>
          <w:sz w:val="18"/>
          <w:szCs w:val="18"/>
        </w:rPr>
        <w:t>º)”</w:t>
      </w:r>
      <w:proofErr w:type="gramEnd"/>
      <w:r w:rsidRPr="00855C90">
        <w:rPr>
          <w:sz w:val="18"/>
          <w:szCs w:val="18"/>
        </w:rPr>
        <w:t xml:space="preserve"> (STF </w:t>
      </w:r>
      <w:r>
        <w:rPr>
          <w:sz w:val="18"/>
          <w:szCs w:val="18"/>
        </w:rPr>
        <w:t>–</w:t>
      </w:r>
      <w:r w:rsidRPr="00855C90">
        <w:rPr>
          <w:sz w:val="18"/>
          <w:szCs w:val="18"/>
        </w:rPr>
        <w:t xml:space="preserve"> </w:t>
      </w:r>
      <w:r w:rsidRPr="00855C90">
        <w:rPr>
          <w:rStyle w:val="Forte"/>
          <w:b w:val="0"/>
          <w:sz w:val="18"/>
          <w:szCs w:val="18"/>
        </w:rPr>
        <w:t xml:space="preserve">ADI-MC-QO2551/MG, rel. Min. Celso de Mello, p. DJ de </w:t>
      </w:r>
      <w:r w:rsidRPr="00855C90">
        <w:rPr>
          <w:sz w:val="18"/>
          <w:szCs w:val="18"/>
        </w:rPr>
        <w:t>20/04/2006</w:t>
      </w:r>
      <w:r>
        <w:rPr>
          <w:sz w:val="18"/>
          <w:szCs w:val="18"/>
        </w:rPr>
        <w:t xml:space="preserve"> – grifou-se).</w:t>
      </w:r>
    </w:p>
  </w:footnote>
  <w:footnote w:id="19">
    <w:p w:rsidR="000615AF" w:rsidRPr="00D13839" w:rsidRDefault="000615AF" w:rsidP="00D11794">
      <w:pPr>
        <w:pStyle w:val="Textodenotaderodap"/>
        <w:rPr>
          <w:sz w:val="18"/>
          <w:szCs w:val="18"/>
        </w:rPr>
      </w:pPr>
      <w:r w:rsidRPr="00D13839">
        <w:rPr>
          <w:rStyle w:val="Refdenotaderodap"/>
          <w:sz w:val="18"/>
          <w:szCs w:val="18"/>
        </w:rPr>
        <w:footnoteRef/>
      </w:r>
      <w:r w:rsidRPr="00D13839">
        <w:rPr>
          <w:sz w:val="18"/>
          <w:szCs w:val="18"/>
        </w:rPr>
        <w:t xml:space="preserve"> MENDES, Gilmar Ferreira. </w:t>
      </w:r>
      <w:r w:rsidRPr="00D13839">
        <w:rPr>
          <w:i/>
          <w:sz w:val="18"/>
          <w:szCs w:val="18"/>
        </w:rPr>
        <w:t>Direitos Fundamentais e Controle de Constitucionalidade</w:t>
      </w:r>
      <w:r w:rsidRPr="00D13839">
        <w:rPr>
          <w:sz w:val="18"/>
          <w:szCs w:val="18"/>
        </w:rPr>
        <w:t>, 3ª e. São Paulo: Saraiva, 2004, p. 61.</w:t>
      </w:r>
    </w:p>
  </w:footnote>
  <w:footnote w:id="20">
    <w:p w:rsidR="000615AF" w:rsidRPr="00D13839" w:rsidRDefault="000615AF" w:rsidP="00621FE6">
      <w:pPr>
        <w:pStyle w:val="Textodenotaderodap"/>
        <w:rPr>
          <w:sz w:val="18"/>
          <w:szCs w:val="18"/>
          <w:lang w:val="en-US"/>
        </w:rPr>
      </w:pPr>
      <w:r w:rsidRPr="00D13839">
        <w:rPr>
          <w:rStyle w:val="Refdenotaderodap"/>
          <w:sz w:val="18"/>
          <w:szCs w:val="18"/>
        </w:rPr>
        <w:footnoteRef/>
      </w:r>
      <w:r w:rsidRPr="00621FE6">
        <w:rPr>
          <w:sz w:val="18"/>
          <w:szCs w:val="18"/>
          <w:lang w:val="en-US"/>
        </w:rPr>
        <w:t xml:space="preserve"> Cf. PIEROTH, Bodo; Schlink, Bernard. </w:t>
      </w:r>
      <w:r w:rsidRPr="00D13839">
        <w:rPr>
          <w:i/>
          <w:sz w:val="18"/>
          <w:szCs w:val="18"/>
          <w:lang w:val="en-US"/>
        </w:rPr>
        <w:t>Grundrechte – Staatsrecht II</w:t>
      </w:r>
      <w:r w:rsidRPr="00D13839">
        <w:rPr>
          <w:sz w:val="18"/>
          <w:szCs w:val="18"/>
          <w:lang w:val="en-US"/>
        </w:rPr>
        <w:t>, 4ª e. Heidelberg: Müller, 1988, p. 70.</w:t>
      </w:r>
    </w:p>
  </w:footnote>
  <w:footnote w:id="21">
    <w:p w:rsidR="000615AF" w:rsidRPr="00D13839" w:rsidRDefault="000615AF" w:rsidP="00D11794">
      <w:pPr>
        <w:pStyle w:val="Textodenotaderodap"/>
        <w:rPr>
          <w:sz w:val="18"/>
          <w:szCs w:val="18"/>
        </w:rPr>
      </w:pPr>
      <w:r w:rsidRPr="00D13839">
        <w:rPr>
          <w:rStyle w:val="Refdenotaderodap"/>
          <w:sz w:val="18"/>
          <w:szCs w:val="18"/>
        </w:rPr>
        <w:footnoteRef/>
      </w:r>
      <w:r w:rsidRPr="00D13839">
        <w:rPr>
          <w:sz w:val="18"/>
          <w:szCs w:val="18"/>
        </w:rPr>
        <w:t xml:space="preserve"> STF – SS 1.320, rel. Min. Celso de Mello, p. DJ de 14/04/1999. E, como bem vem se posicionando o </w:t>
      </w:r>
      <w:r w:rsidRPr="00D13839">
        <w:rPr>
          <w:smallCaps/>
          <w:sz w:val="18"/>
          <w:szCs w:val="18"/>
        </w:rPr>
        <w:t>Superior Tribunal de Justiça</w:t>
      </w:r>
      <w:r w:rsidRPr="00D13839">
        <w:rPr>
          <w:sz w:val="18"/>
          <w:szCs w:val="18"/>
        </w:rPr>
        <w:t xml:space="preserve">, a </w:t>
      </w:r>
      <w:r w:rsidRPr="00D13839">
        <w:rPr>
          <w:i/>
          <w:sz w:val="18"/>
          <w:szCs w:val="18"/>
        </w:rPr>
        <w:t xml:space="preserve">“intervenção estatal na atuação econômica não pode ocorrer de forma ampla e descontrolada, visto que vivemos num sistema calcado na livre iniciativa (arts. 1º, IV, e 170 da Carta Magna). Destarte, tal ingerência somente é permitida em casos excepcionais, </w:t>
      </w:r>
      <w:r w:rsidRPr="00D13839">
        <w:rPr>
          <w:i/>
          <w:sz w:val="18"/>
          <w:szCs w:val="18"/>
          <w:u w:val="single"/>
        </w:rPr>
        <w:t>sendo condição para tanto a presença do requisito da proporcionalidade, no qual existe uma razoabilidade entre os meios empregados e o fim objetivado</w:t>
      </w:r>
      <w:r w:rsidRPr="00D13839">
        <w:rPr>
          <w:i/>
          <w:sz w:val="18"/>
          <w:szCs w:val="18"/>
        </w:rPr>
        <w:t>”</w:t>
      </w:r>
      <w:r w:rsidRPr="00D13839">
        <w:rPr>
          <w:sz w:val="18"/>
          <w:szCs w:val="18"/>
        </w:rPr>
        <w:t xml:space="preserve"> (STJ – ROMS 19524, rel. Min. João Otávio de Noronha, p. DJ de 26/09/2005 – grifou-se).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5AF" w:rsidRDefault="000615AF" w:rsidP="004A05E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15AF" w:rsidRDefault="000615AF">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5AF" w:rsidRDefault="000615AF" w:rsidP="004A05E1">
    <w:pPr>
      <w:tabs>
        <w:tab w:val="clear" w:pos="851"/>
        <w:tab w:val="clear" w:pos="1701"/>
        <w:tab w:val="clear" w:pos="2552"/>
        <w:tab w:val="clear" w:pos="3402"/>
        <w:tab w:val="clear" w:pos="4253"/>
        <w:tab w:val="clear" w:pos="5103"/>
        <w:tab w:val="clear" w:pos="5954"/>
        <w:tab w:val="clear" w:pos="6804"/>
        <w:tab w:val="clear" w:pos="7655"/>
        <w:tab w:val="clear" w:pos="8505"/>
      </w:tabs>
      <w:ind w:right="360"/>
      <w:jc w:val="center"/>
    </w:pPr>
  </w:p>
  <w:p w:rsidR="000615AF" w:rsidRPr="004A05E1" w:rsidRDefault="000615AF" w:rsidP="001B17FD">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s>
      <w:rPr>
        <w:rStyle w:val="Nmerodepgina"/>
      </w:rPr>
    </w:pPr>
    <w:r w:rsidRPr="00877545">
      <w:rPr>
        <w:noProof/>
      </w:rPr>
      <w:drawing>
        <wp:inline distT="0" distB="0" distL="0" distR="0" wp14:anchorId="4DEFA1C0" wp14:editId="4DEFA1C1">
          <wp:extent cx="5106159" cy="581025"/>
          <wp:effectExtent l="19050" t="0" r="0" b="0"/>
          <wp:docPr id="4" name="Picture 1" descr=":imagens:logo-sem-enderec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s:logo-sem-endereco3.jpg"/>
                  <pic:cNvPicPr>
                    <a:picLocks noChangeAspect="1" noChangeArrowheads="1"/>
                  </pic:cNvPicPr>
                </pic:nvPicPr>
                <pic:blipFill>
                  <a:blip r:embed="rId1"/>
                  <a:srcRect r="5342"/>
                  <a:stretch>
                    <a:fillRect/>
                  </a:stretch>
                </pic:blipFill>
                <pic:spPr bwMode="auto">
                  <a:xfrm>
                    <a:off x="0" y="0"/>
                    <a:ext cx="5106159" cy="581025"/>
                  </a:xfrm>
                  <a:prstGeom prst="rect">
                    <a:avLst/>
                  </a:prstGeom>
                  <a:noFill/>
                  <a:ln w="9525">
                    <a:noFill/>
                    <a:miter lim="800000"/>
                    <a:headEnd/>
                    <a:tailEnd/>
                  </a:ln>
                </pic:spPr>
              </pic:pic>
            </a:graphicData>
          </a:graphic>
        </wp:inline>
      </w:drawing>
    </w:r>
    <w:r w:rsidRPr="004A05E1">
      <w:rPr>
        <w:rStyle w:val="Nmerodepgina"/>
      </w:rPr>
      <w:fldChar w:fldCharType="begin"/>
    </w:r>
    <w:r w:rsidRPr="004A05E1">
      <w:rPr>
        <w:rStyle w:val="Nmerodepgina"/>
      </w:rPr>
      <w:instrText xml:space="preserve">PAGE  </w:instrText>
    </w:r>
    <w:r w:rsidRPr="004A05E1">
      <w:rPr>
        <w:rStyle w:val="Nmerodepgina"/>
      </w:rPr>
      <w:fldChar w:fldCharType="separate"/>
    </w:r>
    <w:r w:rsidR="000F6DAC">
      <w:rPr>
        <w:rStyle w:val="Nmerodepgina"/>
        <w:noProof/>
      </w:rPr>
      <w:t>12</w:t>
    </w:r>
    <w:r w:rsidRPr="004A05E1">
      <w:rPr>
        <w:rStyle w:val="Nmerodepgina"/>
      </w:rPr>
      <w:fldChar w:fldCharType="end"/>
    </w:r>
    <w:r w:rsidRPr="004A05E1">
      <w:rPr>
        <w:rStyle w:val="Nmerodepgina"/>
      </w:rPr>
      <w:t>.</w:t>
    </w:r>
  </w:p>
  <w:p w:rsidR="000615AF" w:rsidRPr="00877545" w:rsidRDefault="000615AF" w:rsidP="00877545">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s>
      <w:jc w:val="center"/>
      <w:rPr>
        <w:sz w:val="16"/>
      </w:rPr>
    </w:pPr>
  </w:p>
  <w:p w:rsidR="000615AF" w:rsidRPr="00877545" w:rsidRDefault="000615AF" w:rsidP="00877545">
    <w:pPr>
      <w:tabs>
        <w:tab w:val="clear" w:pos="851"/>
        <w:tab w:val="clear" w:pos="1701"/>
        <w:tab w:val="clear" w:pos="2552"/>
        <w:tab w:val="clear" w:pos="3402"/>
        <w:tab w:val="clear" w:pos="4253"/>
        <w:tab w:val="clear" w:pos="5103"/>
        <w:tab w:val="clear" w:pos="5954"/>
        <w:tab w:val="clear" w:pos="6804"/>
        <w:tab w:val="clear" w:pos="7655"/>
        <w:tab w:val="clear" w:pos="8505"/>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5AF" w:rsidRDefault="000615AF" w:rsidP="00F31AB6">
    <w:pPr>
      <w:keepNext/>
      <w:tabs>
        <w:tab w:val="clear" w:pos="851"/>
        <w:tab w:val="clear" w:pos="1701"/>
        <w:tab w:val="clear" w:pos="2552"/>
        <w:tab w:val="clear" w:pos="3402"/>
        <w:tab w:val="clear" w:pos="4253"/>
        <w:tab w:val="center" w:pos="4252"/>
      </w:tabs>
      <w:ind w:right="2"/>
      <w:outlineLvl w:val="1"/>
      <w:rPr>
        <w:rFonts w:eastAsia="Calibri"/>
        <w:b/>
        <w:sz w:val="16"/>
        <w:lang w:eastAsia="zh-CN"/>
      </w:rPr>
    </w:pPr>
    <w:r>
      <w:rPr>
        <w:rFonts w:eastAsia="Calibri"/>
        <w:b/>
        <w:sz w:val="16"/>
        <w:lang w:eastAsia="zh-CN"/>
      </w:rPr>
      <w:tab/>
    </w:r>
  </w:p>
  <w:p w:rsidR="000615AF" w:rsidRDefault="000615AF" w:rsidP="00F31AB6">
    <w:pPr>
      <w:keepNext/>
      <w:tabs>
        <w:tab w:val="clear" w:pos="851"/>
        <w:tab w:val="clear" w:pos="1701"/>
        <w:tab w:val="clear" w:pos="2552"/>
        <w:tab w:val="clear" w:pos="3402"/>
        <w:tab w:val="clear" w:pos="4253"/>
        <w:tab w:val="center" w:pos="4252"/>
      </w:tabs>
      <w:ind w:right="2"/>
      <w:jc w:val="center"/>
      <w:outlineLvl w:val="1"/>
      <w:rPr>
        <w:rFonts w:eastAsia="Calibri"/>
        <w:b/>
        <w:sz w:val="16"/>
        <w:lang w:eastAsia="zh-CN"/>
      </w:rPr>
    </w:pPr>
    <w:r>
      <w:rPr>
        <w:rFonts w:eastAsia="Calibri"/>
        <w:b/>
        <w:noProof/>
        <w:sz w:val="16"/>
      </w:rPr>
      <w:drawing>
        <wp:inline distT="0" distB="0" distL="0" distR="0" wp14:anchorId="4DEFA1C2" wp14:editId="4DEFA1C3">
          <wp:extent cx="5400675" cy="590550"/>
          <wp:effectExtent l="19050" t="0" r="9525" b="0"/>
          <wp:docPr id="9" name="Picture 2" descr=":Opcao 1:Cabecalho 1 -Words_Duarte_Terra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cao 1:Cabecalho 1 -Words_Duarte_Terralex.jpg"/>
                  <pic:cNvPicPr>
                    <a:picLocks noChangeAspect="1" noChangeArrowheads="1"/>
                  </pic:cNvPicPr>
                </pic:nvPicPr>
                <pic:blipFill>
                  <a:blip r:embed="rId1"/>
                  <a:srcRect/>
                  <a:stretch>
                    <a:fillRect/>
                  </a:stretch>
                </pic:blipFill>
                <pic:spPr bwMode="auto">
                  <a:xfrm>
                    <a:off x="0" y="0"/>
                    <a:ext cx="5400675" cy="590550"/>
                  </a:xfrm>
                  <a:prstGeom prst="rect">
                    <a:avLst/>
                  </a:prstGeom>
                  <a:noFill/>
                  <a:ln w="9525">
                    <a:noFill/>
                    <a:miter lim="800000"/>
                    <a:headEnd/>
                    <a:tailEnd/>
                  </a:ln>
                </pic:spPr>
              </pic:pic>
            </a:graphicData>
          </a:graphic>
        </wp:inline>
      </w:drawing>
    </w:r>
  </w:p>
  <w:p w:rsidR="000615AF" w:rsidRDefault="000615AF" w:rsidP="00F31AB6">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2"/>
      <w:jc w:val="center"/>
      <w:rPr>
        <w:rFonts w:eastAsia="Calibri"/>
        <w:sz w:val="22"/>
        <w:szCs w:val="14"/>
        <w:lang w:eastAsia="zh-CN"/>
      </w:rPr>
    </w:pPr>
  </w:p>
  <w:p w:rsidR="000615AF" w:rsidRDefault="000615AF" w:rsidP="00F31AB6">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2"/>
      <w:jc w:val="center"/>
      <w:rPr>
        <w:rFonts w:eastAsia="Calibri" w:cs="Arial"/>
        <w:color w:val="17365D"/>
        <w:sz w:val="12"/>
        <w:szCs w:val="12"/>
        <w:lang w:eastAsia="zh-CN"/>
      </w:rPr>
    </w:pPr>
    <w:r>
      <w:rPr>
        <w:rFonts w:eastAsia="Calibri" w:cs="Arial"/>
        <w:b/>
        <w:color w:val="17365D"/>
        <w:sz w:val="12"/>
        <w:szCs w:val="12"/>
        <w:lang w:eastAsia="zh-CN"/>
      </w:rPr>
      <w:t>Escritórios Associados:</w:t>
    </w:r>
  </w:p>
  <w:p w:rsidR="000615AF" w:rsidRDefault="000615AF" w:rsidP="00F31AB6">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2"/>
      <w:jc w:val="center"/>
      <w:rPr>
        <w:rFonts w:eastAsia="Calibri" w:cs="Arial"/>
        <w:color w:val="17365D"/>
        <w:sz w:val="12"/>
        <w:szCs w:val="12"/>
        <w:lang w:eastAsia="zh-CN"/>
      </w:rPr>
    </w:pPr>
    <w:proofErr w:type="spellStart"/>
    <w:r>
      <w:rPr>
        <w:rFonts w:eastAsia="Calibri" w:cs="Arial"/>
        <w:color w:val="17365D"/>
        <w:sz w:val="12"/>
        <w:szCs w:val="12"/>
        <w:lang w:eastAsia="zh-CN"/>
      </w:rPr>
      <w:t>Campilho</w:t>
    </w:r>
    <w:proofErr w:type="spellEnd"/>
    <w:r>
      <w:rPr>
        <w:rFonts w:eastAsia="Calibri" w:cs="Arial"/>
        <w:color w:val="17365D"/>
        <w:sz w:val="12"/>
        <w:szCs w:val="12"/>
        <w:lang w:eastAsia="zh-CN"/>
      </w:rPr>
      <w:t xml:space="preserve">, Ribeiro Telles, </w:t>
    </w:r>
    <w:proofErr w:type="spellStart"/>
    <w:r>
      <w:rPr>
        <w:rFonts w:eastAsia="Calibri" w:cs="Arial"/>
        <w:color w:val="17365D"/>
        <w:sz w:val="12"/>
        <w:szCs w:val="12"/>
        <w:lang w:eastAsia="zh-CN"/>
      </w:rPr>
      <w:t>Schiappa</w:t>
    </w:r>
    <w:proofErr w:type="spellEnd"/>
    <w:r>
      <w:rPr>
        <w:rFonts w:eastAsia="Calibri" w:cs="Arial"/>
        <w:color w:val="17365D"/>
        <w:sz w:val="12"/>
        <w:szCs w:val="12"/>
        <w:lang w:eastAsia="zh-CN"/>
      </w:rPr>
      <w:t xml:space="preserve"> Cabral, </w:t>
    </w:r>
    <w:proofErr w:type="spellStart"/>
    <w:r>
      <w:rPr>
        <w:rFonts w:eastAsia="Calibri" w:cs="Arial"/>
        <w:color w:val="17365D"/>
        <w:sz w:val="12"/>
        <w:szCs w:val="12"/>
        <w:lang w:eastAsia="zh-CN"/>
      </w:rPr>
      <w:t>Ulrich</w:t>
    </w:r>
    <w:proofErr w:type="spellEnd"/>
    <w:r>
      <w:rPr>
        <w:rFonts w:eastAsia="Calibri" w:cs="Arial"/>
        <w:color w:val="17365D"/>
        <w:sz w:val="12"/>
        <w:szCs w:val="12"/>
        <w:lang w:eastAsia="zh-CN"/>
      </w:rPr>
      <w:t xml:space="preserve"> &amp; </w:t>
    </w:r>
    <w:proofErr w:type="gramStart"/>
    <w:r>
      <w:rPr>
        <w:rFonts w:eastAsia="Calibri" w:cs="Arial"/>
        <w:color w:val="17365D"/>
        <w:sz w:val="12"/>
        <w:szCs w:val="12"/>
        <w:lang w:eastAsia="zh-CN"/>
      </w:rPr>
      <w:t xml:space="preserve">Associados  </w:t>
    </w:r>
    <w:r>
      <w:rPr>
        <w:rFonts w:eastAsia="Calibri" w:cs="Arial"/>
        <w:b/>
        <w:color w:val="17365D"/>
        <w:sz w:val="12"/>
        <w:szCs w:val="12"/>
        <w:lang w:eastAsia="zh-CN"/>
      </w:rPr>
      <w:t>Portugal</w:t>
    </w:r>
    <w:proofErr w:type="gramEnd"/>
    <w:r>
      <w:rPr>
        <w:rFonts w:eastAsia="Calibri" w:cs="Arial"/>
        <w:b/>
        <w:color w:val="17365D"/>
        <w:sz w:val="12"/>
        <w:szCs w:val="12"/>
        <w:lang w:eastAsia="zh-CN"/>
      </w:rPr>
      <w:t xml:space="preserve">  </w:t>
    </w:r>
    <w:r>
      <w:rPr>
        <w:rFonts w:eastAsia="Calibri" w:cs="Arial"/>
        <w:color w:val="17365D"/>
        <w:sz w:val="12"/>
        <w:szCs w:val="12"/>
        <w:lang w:eastAsia="zh-CN"/>
      </w:rPr>
      <w:t xml:space="preserve">•  </w:t>
    </w:r>
    <w:proofErr w:type="spellStart"/>
    <w:r>
      <w:rPr>
        <w:rFonts w:eastAsia="Calibri" w:cs="Arial"/>
        <w:color w:val="17365D"/>
        <w:sz w:val="12"/>
        <w:szCs w:val="12"/>
        <w:lang w:eastAsia="zh-CN"/>
      </w:rPr>
      <w:t>Bakmas</w:t>
    </w:r>
    <w:proofErr w:type="spellEnd"/>
    <w:r>
      <w:rPr>
        <w:rFonts w:eastAsia="Calibri" w:cs="Arial"/>
        <w:color w:val="17365D"/>
        <w:sz w:val="12"/>
        <w:szCs w:val="12"/>
        <w:lang w:eastAsia="zh-CN"/>
      </w:rPr>
      <w:t xml:space="preserve"> &amp; </w:t>
    </w:r>
    <w:proofErr w:type="spellStart"/>
    <w:r>
      <w:rPr>
        <w:rFonts w:eastAsia="Calibri" w:cs="Arial"/>
        <w:color w:val="17365D"/>
        <w:sz w:val="12"/>
        <w:szCs w:val="12"/>
        <w:lang w:eastAsia="zh-CN"/>
      </w:rPr>
      <w:t>Asociados</w:t>
    </w:r>
    <w:proofErr w:type="spellEnd"/>
    <w:r>
      <w:rPr>
        <w:rFonts w:eastAsia="Calibri" w:cs="Arial"/>
        <w:color w:val="17365D"/>
        <w:sz w:val="12"/>
        <w:szCs w:val="12"/>
        <w:lang w:eastAsia="zh-CN"/>
      </w:rPr>
      <w:t xml:space="preserve">  </w:t>
    </w:r>
    <w:r>
      <w:rPr>
        <w:rFonts w:eastAsia="Calibri" w:cs="Arial"/>
        <w:b/>
        <w:color w:val="17365D"/>
        <w:sz w:val="12"/>
        <w:szCs w:val="12"/>
        <w:lang w:eastAsia="zh-CN"/>
      </w:rPr>
      <w:t xml:space="preserve">Argentina  </w:t>
    </w:r>
    <w:r>
      <w:rPr>
        <w:rFonts w:eastAsia="Calibri" w:cs="Arial"/>
        <w:color w:val="17365D"/>
        <w:sz w:val="12"/>
        <w:szCs w:val="12"/>
        <w:lang w:eastAsia="zh-CN"/>
      </w:rPr>
      <w:t xml:space="preserve">•  José Maria Carneiro Da Cunha – </w:t>
    </w:r>
    <w:proofErr w:type="spellStart"/>
    <w:r>
      <w:rPr>
        <w:rFonts w:eastAsia="Calibri" w:cs="Arial"/>
        <w:color w:val="17365D"/>
        <w:sz w:val="12"/>
        <w:szCs w:val="12"/>
        <w:lang w:eastAsia="zh-CN"/>
      </w:rPr>
      <w:t>Flc</w:t>
    </w:r>
    <w:proofErr w:type="spellEnd"/>
    <w:r>
      <w:rPr>
        <w:rFonts w:eastAsia="Calibri" w:cs="Arial"/>
        <w:color w:val="17365D"/>
        <w:sz w:val="12"/>
        <w:szCs w:val="12"/>
        <w:lang w:eastAsia="zh-CN"/>
      </w:rPr>
      <w:t xml:space="preserve">  EUA</w:t>
    </w:r>
    <w:r>
      <w:rPr>
        <w:rFonts w:eastAsia="Calibri" w:cs="Arial"/>
        <w:b/>
        <w:color w:val="17365D"/>
        <w:sz w:val="12"/>
        <w:szCs w:val="12"/>
        <w:lang w:eastAsia="zh-CN"/>
      </w:rPr>
      <w:t>-Flórida</w:t>
    </w:r>
    <w:r>
      <w:rPr>
        <w:rFonts w:eastAsia="Calibri" w:cs="Arial"/>
        <w:color w:val="17365D"/>
        <w:sz w:val="12"/>
        <w:szCs w:val="12"/>
        <w:lang w:eastAsia="zh-CN"/>
      </w:rPr>
      <w:t xml:space="preserve">       Carlos De Freitas Escritório De Advogados  </w:t>
    </w:r>
    <w:r>
      <w:rPr>
        <w:rFonts w:eastAsia="Calibri" w:cs="Arial"/>
        <w:b/>
        <w:color w:val="17365D"/>
        <w:sz w:val="12"/>
        <w:szCs w:val="12"/>
        <w:lang w:eastAsia="zh-CN"/>
      </w:rPr>
      <w:t>Angola</w:t>
    </w:r>
    <w:r>
      <w:rPr>
        <w:rFonts w:eastAsia="Calibri" w:cs="Arial"/>
        <w:b/>
        <w:color w:val="17365D"/>
        <w:sz w:val="14"/>
        <w:szCs w:val="14"/>
        <w:lang w:eastAsia="zh-CN"/>
      </w:rPr>
      <w:t xml:space="preserve">  </w:t>
    </w:r>
    <w:r>
      <w:rPr>
        <w:rFonts w:eastAsia="Calibri" w:cs="Arial"/>
        <w:color w:val="17365D"/>
        <w:sz w:val="14"/>
        <w:szCs w:val="14"/>
        <w:lang w:eastAsia="zh-CN"/>
      </w:rPr>
      <w:t xml:space="preserve">•  </w:t>
    </w:r>
    <w:proofErr w:type="spellStart"/>
    <w:r>
      <w:rPr>
        <w:rFonts w:eastAsia="Calibri" w:cs="Arial"/>
        <w:color w:val="17365D"/>
        <w:sz w:val="12"/>
        <w:szCs w:val="12"/>
        <w:lang w:eastAsia="zh-CN"/>
      </w:rPr>
      <w:t>Beyer</w:t>
    </w:r>
    <w:proofErr w:type="spellEnd"/>
    <w:r>
      <w:rPr>
        <w:rFonts w:eastAsia="Calibri" w:cs="Arial"/>
        <w:color w:val="17365D"/>
        <w:sz w:val="12"/>
        <w:szCs w:val="12"/>
        <w:lang w:eastAsia="zh-CN"/>
      </w:rPr>
      <w:t xml:space="preserve"> </w:t>
    </w:r>
    <w:proofErr w:type="spellStart"/>
    <w:r>
      <w:rPr>
        <w:rFonts w:eastAsia="Calibri" w:cs="Arial"/>
        <w:color w:val="17365D"/>
        <w:sz w:val="12"/>
        <w:szCs w:val="12"/>
        <w:lang w:eastAsia="zh-CN"/>
      </w:rPr>
      <w:t>Rechtsanwaltsgesellschaft</w:t>
    </w:r>
    <w:proofErr w:type="spellEnd"/>
    <w:r>
      <w:rPr>
        <w:rFonts w:eastAsia="Calibri" w:cs="Arial"/>
        <w:color w:val="17365D"/>
        <w:sz w:val="12"/>
        <w:szCs w:val="12"/>
        <w:lang w:eastAsia="zh-CN"/>
      </w:rPr>
      <w:t xml:space="preserve"> </w:t>
    </w:r>
    <w:proofErr w:type="spellStart"/>
    <w:r>
      <w:rPr>
        <w:rFonts w:eastAsia="Calibri" w:cs="Arial"/>
        <w:color w:val="17365D"/>
        <w:sz w:val="12"/>
        <w:szCs w:val="12"/>
        <w:lang w:eastAsia="zh-CN"/>
      </w:rPr>
      <w:t>Mbh</w:t>
    </w:r>
    <w:proofErr w:type="spellEnd"/>
    <w:r>
      <w:rPr>
        <w:rFonts w:eastAsia="Calibri" w:cs="Arial"/>
        <w:color w:val="17365D"/>
        <w:sz w:val="12"/>
        <w:szCs w:val="12"/>
        <w:lang w:eastAsia="zh-CN"/>
      </w:rPr>
      <w:t xml:space="preserve">  </w:t>
    </w:r>
    <w:r>
      <w:rPr>
        <w:rFonts w:eastAsia="Calibri" w:cs="Arial"/>
        <w:b/>
        <w:color w:val="17365D"/>
        <w:sz w:val="12"/>
        <w:szCs w:val="12"/>
        <w:lang w:eastAsia="zh-CN"/>
      </w:rPr>
      <w:t>Alemanha</w:t>
    </w:r>
    <w:r>
      <w:rPr>
        <w:rFonts w:eastAsia="Calibri" w:cs="Arial"/>
        <w:b/>
        <w:color w:val="17365D"/>
        <w:sz w:val="14"/>
        <w:szCs w:val="14"/>
        <w:lang w:eastAsia="zh-CN"/>
      </w:rPr>
      <w:t xml:space="preserve">  </w:t>
    </w:r>
    <w:r>
      <w:rPr>
        <w:rFonts w:eastAsia="Calibri" w:cs="Arial"/>
        <w:color w:val="17365D"/>
        <w:sz w:val="14"/>
        <w:szCs w:val="14"/>
        <w:lang w:eastAsia="zh-CN"/>
      </w:rPr>
      <w:t xml:space="preserve">•  </w:t>
    </w:r>
    <w:proofErr w:type="spellStart"/>
    <w:r>
      <w:rPr>
        <w:rFonts w:eastAsia="Calibri" w:cs="Arial"/>
        <w:color w:val="17365D"/>
        <w:sz w:val="12"/>
        <w:szCs w:val="12"/>
        <w:lang w:eastAsia="zh-CN"/>
      </w:rPr>
      <w:t>Deheng</w:t>
    </w:r>
    <w:proofErr w:type="spellEnd"/>
    <w:r>
      <w:rPr>
        <w:rFonts w:eastAsia="Calibri" w:cs="Arial"/>
        <w:color w:val="17365D"/>
        <w:sz w:val="12"/>
        <w:szCs w:val="12"/>
        <w:lang w:eastAsia="zh-CN"/>
      </w:rPr>
      <w:t xml:space="preserve"> Law Office  </w:t>
    </w:r>
    <w:r>
      <w:rPr>
        <w:rFonts w:eastAsia="Calibri" w:cs="Arial"/>
        <w:b/>
        <w:color w:val="17365D"/>
        <w:sz w:val="12"/>
        <w:szCs w:val="12"/>
        <w:lang w:eastAsia="zh-CN"/>
      </w:rPr>
      <w:t>China</w:t>
    </w:r>
  </w:p>
  <w:p w:rsidR="000615AF" w:rsidRDefault="000615AF" w:rsidP="00F31AB6">
    <w:pPr>
      <w:keepNext/>
      <w:tabs>
        <w:tab w:val="clear" w:pos="851"/>
        <w:tab w:val="clear" w:pos="1701"/>
        <w:tab w:val="clear" w:pos="2552"/>
        <w:tab w:val="clear" w:pos="3402"/>
        <w:tab w:val="clear" w:pos="4253"/>
        <w:tab w:val="center" w:pos="4252"/>
      </w:tabs>
      <w:ind w:right="2"/>
      <w:jc w:val="center"/>
      <w:outlineLvl w:val="1"/>
      <w:rPr>
        <w:rFonts w:eastAsia="Calibri"/>
        <w:b/>
        <w:sz w:val="16"/>
        <w:lang w:eastAsia="zh-CN"/>
      </w:rPr>
    </w:pPr>
  </w:p>
  <w:tbl>
    <w:tblPr>
      <w:tblW w:w="8505" w:type="dxa"/>
      <w:tblCellMar>
        <w:left w:w="0" w:type="dxa"/>
        <w:right w:w="0" w:type="dxa"/>
      </w:tblCellMar>
      <w:tblLook w:val="04A0" w:firstRow="1" w:lastRow="0" w:firstColumn="1" w:lastColumn="0" w:noHBand="0" w:noVBand="1"/>
    </w:tblPr>
    <w:tblGrid>
      <w:gridCol w:w="2833"/>
      <w:gridCol w:w="2979"/>
      <w:gridCol w:w="2693"/>
    </w:tblGrid>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Mário Sérgio Duarte Garcia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Luiz Arthur Caselli Guimarães</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Marcelo Terra</w:t>
          </w:r>
        </w:p>
      </w:tc>
    </w:tr>
    <w:tr w:rsidR="000615AF" w:rsidRPr="00C57C9E" w:rsidTr="007D2CFE">
      <w:trPr>
        <w:trHeight w:val="102"/>
      </w:trPr>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Mário de Barros Duarte Garcia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Luiz Arthur Caselli Guimarães Filho</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Luis Eduardo Menezes Serra Netto</w:t>
          </w:r>
        </w:p>
      </w:tc>
    </w:tr>
    <w:tr w:rsidR="000615AF" w:rsidRPr="00C57C9E" w:rsidTr="007D2CFE">
      <w:tc>
        <w:tcPr>
          <w:tcW w:w="2833" w:type="dxa"/>
        </w:tcPr>
        <w:p w:rsidR="000615AF" w:rsidRPr="00C57C9E" w:rsidRDefault="000615AF" w:rsidP="00DB7A86">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 xml:space="preserve">Heloisa Bonciani Nader </w:t>
          </w:r>
          <w:r>
            <w:rPr>
              <w:rFonts w:eastAsia="Calibri"/>
              <w:color w:val="1F497D" w:themeColor="text2"/>
              <w:spacing w:val="4"/>
              <w:kern w:val="20"/>
              <w:sz w:val="14"/>
              <w:szCs w:val="14"/>
              <w:lang w:eastAsia="zh-CN"/>
            </w:rPr>
            <w:t>D</w:t>
          </w:r>
          <w:r w:rsidRPr="00C57C9E">
            <w:rPr>
              <w:rFonts w:eastAsia="Calibri"/>
              <w:color w:val="1F497D" w:themeColor="text2"/>
              <w:spacing w:val="4"/>
              <w:kern w:val="20"/>
              <w:sz w:val="14"/>
              <w:szCs w:val="14"/>
              <w:lang w:eastAsia="zh-CN"/>
            </w:rPr>
            <w:t>i Cunto</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Silvia Poggi de Carvalho</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Flávio Augusto Cicivizzo</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José Carlos Baptista Puoli</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Roberto Junqueira S. Ribeiro</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Paola M Szanto Mendes dos Santos</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Anna Christina Jimenez Pereira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Natália Japur</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Eliane Ribeiro Gago</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Daniel Gustavo Magnane Sanfins</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Lucia Silveira Frias</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Renata Lorena Martins de Oliveira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Fernanda Ferrari Pompeu de Toledo</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Caio Mário Fiorini Barbosa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Ricardo Luiz Iasi Moura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Douglas Nadalini</w:t>
          </w:r>
          <w:r>
            <w:rPr>
              <w:rFonts w:eastAsia="Calibri"/>
              <w:color w:val="1F497D" w:themeColor="text2"/>
              <w:spacing w:val="4"/>
              <w:kern w:val="20"/>
              <w:sz w:val="14"/>
              <w:szCs w:val="14"/>
              <w:lang w:eastAsia="zh-CN"/>
            </w:rPr>
            <w:t xml:space="preserve"> da Silva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Vanessa Scuro</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Wilson de Toledo Silva Jr</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Natalie Collet Feitosa Lange</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Jayr Viegas Gavaldão Jr</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Verônica Sprangim</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José Ricardo dos Santos Luz Jr</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Rodrigo Scalamandré Duarte Garcia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Francisco Ribeiro Gago</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Flávio Cascaes de Barros Barreto</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Guilherme Caffaro Terra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Ana Cristina de Moura Carvalho</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Gabriela G. Quartucci Guaritá Bento</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z w:val="14"/>
              <w:szCs w:val="14"/>
              <w:lang w:eastAsia="zh-CN"/>
            </w:rPr>
            <w:t>Antonio Carlos Petto Junior</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Alexsander Fernandes de Andrade</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Arthur Liske</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José Antônio Costa Almeida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José Guilherme G. Siqueira Dias</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Adriana Siqueira Fausto</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Martha Gallardo Sala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Fernanda Mayrink Carvalho</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Marcelino André Stein</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Juliana Oide Pestana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Francisco Capote Valente</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Adriana Sanches de Rezende</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Gabriela Braz Aidar</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Fernanda Inhasz</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Cesar Augusto Alckmin Jacob</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Nathália de Oliveira Dias Soares</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Bruna G. J. Spinola Leal Costa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Gabriela Ordine Frangiotti</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Raquel Guerreiro Braga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Alex da Silva Paulino Pessoa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Thiago Borges Marra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Taysa Soto Ferreira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142"/>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Paulo Roberto Fogarolli Filho</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Gabriel Bortolato</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Milene Tiemi Otsuka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Bárbara Pupin de Almeida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proofErr w:type="gramStart"/>
          <w:r w:rsidRPr="00C57C9E">
            <w:rPr>
              <w:rFonts w:eastAsia="Calibri"/>
              <w:color w:val="1F497D" w:themeColor="text2"/>
              <w:spacing w:val="4"/>
              <w:kern w:val="20"/>
              <w:sz w:val="14"/>
              <w:szCs w:val="14"/>
              <w:lang w:eastAsia="zh-CN"/>
            </w:rPr>
            <w:t>Carolina  F.</w:t>
          </w:r>
          <w:proofErr w:type="gramEnd"/>
          <w:r w:rsidRPr="00C57C9E">
            <w:rPr>
              <w:rFonts w:eastAsia="Calibri"/>
              <w:color w:val="1F497D" w:themeColor="text2"/>
              <w:spacing w:val="4"/>
              <w:kern w:val="20"/>
              <w:sz w:val="14"/>
              <w:szCs w:val="14"/>
              <w:lang w:eastAsia="zh-CN"/>
            </w:rPr>
            <w:t xml:space="preserve"> C. Loyola Borba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center"/>
            <w:rPr>
              <w:rFonts w:eastAsia="Calibri"/>
              <w:color w:val="1F497D" w:themeColor="text2"/>
              <w:spacing w:val="4"/>
              <w:kern w:val="20"/>
              <w:sz w:val="14"/>
              <w:szCs w:val="14"/>
              <w:lang w:eastAsia="zh-CN"/>
            </w:rPr>
          </w:pPr>
          <w:r>
            <w:rPr>
              <w:rFonts w:eastAsia="Calibri"/>
              <w:color w:val="1F497D" w:themeColor="text2"/>
              <w:spacing w:val="4"/>
              <w:kern w:val="20"/>
              <w:sz w:val="14"/>
              <w:szCs w:val="14"/>
              <w:lang w:eastAsia="zh-CN"/>
            </w:rPr>
            <w:t>Raquel Demura Pelosini</w:t>
          </w:r>
        </w:p>
      </w:tc>
      <w:tc>
        <w:tcPr>
          <w:tcW w:w="2693" w:type="dxa"/>
        </w:tcPr>
        <w:p w:rsidR="000615AF" w:rsidRPr="00C57C9E" w:rsidRDefault="000615AF" w:rsidP="00BB3456">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right"/>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Pedro Luiz Serra Netto Panhoza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Debora Lucia Tiemy Sato de Moura</w:t>
          </w: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sidRPr="00C57C9E">
            <w:rPr>
              <w:rFonts w:eastAsia="Calibri"/>
              <w:color w:val="1F497D" w:themeColor="text2"/>
              <w:spacing w:val="4"/>
              <w:kern w:val="20"/>
              <w:sz w:val="14"/>
              <w:szCs w:val="14"/>
              <w:lang w:eastAsia="zh-CN"/>
            </w:rPr>
            <w:t>Lucas Tavella Michelan</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right"/>
            <w:rPr>
              <w:rFonts w:eastAsia="Calibri"/>
              <w:color w:val="1F497D" w:themeColor="text2"/>
              <w:spacing w:val="4"/>
              <w:kern w:val="20"/>
              <w:sz w:val="14"/>
              <w:szCs w:val="14"/>
              <w:lang w:eastAsia="zh-CN"/>
            </w:rPr>
          </w:pPr>
          <w:r>
            <w:rPr>
              <w:rFonts w:eastAsia="Calibri"/>
              <w:color w:val="1F497D" w:themeColor="text2"/>
              <w:spacing w:val="4"/>
              <w:kern w:val="20"/>
              <w:sz w:val="14"/>
              <w:szCs w:val="14"/>
              <w:lang w:eastAsia="zh-CN"/>
            </w:rPr>
            <w:t>Marina de C.</w:t>
          </w:r>
          <w:r w:rsidRPr="00C57C9E">
            <w:rPr>
              <w:rFonts w:eastAsia="Calibri"/>
              <w:color w:val="1F497D" w:themeColor="text2"/>
              <w:spacing w:val="4"/>
              <w:kern w:val="20"/>
              <w:sz w:val="14"/>
              <w:szCs w:val="14"/>
              <w:lang w:eastAsia="zh-CN"/>
            </w:rPr>
            <w:t xml:space="preserve"> Pinheiro da Silveira</w:t>
          </w:r>
        </w:p>
      </w:tc>
    </w:tr>
    <w:tr w:rsidR="000615AF" w:rsidRPr="00C57C9E" w:rsidTr="007D2CFE">
      <w:tc>
        <w:tcPr>
          <w:tcW w:w="283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color w:val="1F497D" w:themeColor="text2"/>
              <w:spacing w:val="4"/>
              <w:kern w:val="20"/>
              <w:sz w:val="14"/>
              <w:szCs w:val="14"/>
              <w:lang w:eastAsia="zh-CN"/>
            </w:rPr>
          </w:pPr>
        </w:p>
      </w:tc>
      <w:tc>
        <w:tcPr>
          <w:tcW w:w="2979"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right="142"/>
            <w:jc w:val="center"/>
            <w:rPr>
              <w:rFonts w:eastAsia="Calibri"/>
              <w:color w:val="1F497D" w:themeColor="text2"/>
              <w:spacing w:val="4"/>
              <w:kern w:val="20"/>
              <w:sz w:val="14"/>
              <w:szCs w:val="14"/>
              <w:lang w:eastAsia="zh-CN"/>
            </w:rPr>
          </w:pPr>
          <w:r>
            <w:rPr>
              <w:rFonts w:eastAsia="Calibri"/>
              <w:color w:val="1F497D" w:themeColor="text2"/>
              <w:spacing w:val="4"/>
              <w:kern w:val="20"/>
              <w:sz w:val="14"/>
              <w:szCs w:val="14"/>
              <w:lang w:eastAsia="zh-CN"/>
            </w:rPr>
            <w:t>Jessica Valverde Pérez Gracia</w:t>
          </w:r>
        </w:p>
      </w:tc>
      <w:tc>
        <w:tcPr>
          <w:tcW w:w="2693" w:type="dxa"/>
        </w:tcPr>
        <w:p w:rsidR="000615AF" w:rsidRPr="00C57C9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right"/>
            <w:rPr>
              <w:rFonts w:eastAsia="Calibri"/>
              <w:color w:val="1F497D" w:themeColor="text2"/>
              <w:spacing w:val="4"/>
              <w:kern w:val="20"/>
              <w:sz w:val="14"/>
              <w:szCs w:val="14"/>
              <w:lang w:eastAsia="zh-CN"/>
            </w:rPr>
          </w:pPr>
        </w:p>
      </w:tc>
    </w:tr>
    <w:tr w:rsidR="000615AF" w:rsidRPr="000454AE" w:rsidTr="007D2CFE">
      <w:tc>
        <w:tcPr>
          <w:tcW w:w="2833" w:type="dxa"/>
        </w:tcPr>
        <w:p w:rsidR="000615AF" w:rsidRPr="000454A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rPr>
              <w:rFonts w:eastAsia="Calibri"/>
              <w:smallCaps/>
              <w:color w:val="1F497D" w:themeColor="text2"/>
              <w:spacing w:val="4"/>
              <w:kern w:val="20"/>
              <w:sz w:val="14"/>
              <w:lang w:eastAsia="zh-CN"/>
            </w:rPr>
          </w:pPr>
        </w:p>
      </w:tc>
      <w:tc>
        <w:tcPr>
          <w:tcW w:w="2979" w:type="dxa"/>
        </w:tcPr>
        <w:p w:rsidR="000615AF" w:rsidRPr="000454A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center"/>
            <w:rPr>
              <w:rFonts w:eastAsia="Calibri"/>
              <w:smallCaps/>
              <w:color w:val="1F497D" w:themeColor="text2"/>
              <w:spacing w:val="4"/>
              <w:kern w:val="20"/>
              <w:sz w:val="14"/>
              <w:lang w:eastAsia="zh-CN"/>
            </w:rPr>
          </w:pPr>
        </w:p>
      </w:tc>
      <w:tc>
        <w:tcPr>
          <w:tcW w:w="2693" w:type="dxa"/>
        </w:tcPr>
        <w:p w:rsidR="000615AF" w:rsidRPr="000454AE" w:rsidRDefault="000615AF" w:rsidP="007D2CF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jc w:val="right"/>
            <w:rPr>
              <w:rFonts w:eastAsia="Calibri"/>
              <w:smallCaps/>
              <w:color w:val="1F497D" w:themeColor="text2"/>
              <w:spacing w:val="4"/>
              <w:kern w:val="20"/>
              <w:sz w:val="14"/>
              <w:lang w:eastAsia="zh-CN"/>
            </w:rPr>
          </w:pPr>
        </w:p>
      </w:tc>
    </w:tr>
  </w:tbl>
  <w:p w:rsidR="000615AF" w:rsidRPr="007E2BF8" w:rsidRDefault="000615AF" w:rsidP="00E91732">
    <w:pPr>
      <w:pStyle w:val="Cabealho"/>
      <w:rPr>
        <w:rFonts w:eastAsia="Calibri"/>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07D75"/>
    <w:multiLevelType w:val="hybridMultilevel"/>
    <w:tmpl w:val="7F1A7B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F9E2000"/>
    <w:multiLevelType w:val="singleLevel"/>
    <w:tmpl w:val="D454201C"/>
    <w:lvl w:ilvl="0">
      <w:numFmt w:val="bullet"/>
      <w:lvlText w:val="-"/>
      <w:lvlJc w:val="left"/>
      <w:pPr>
        <w:tabs>
          <w:tab w:val="num" w:pos="360"/>
        </w:tabs>
        <w:ind w:left="360" w:hanging="360"/>
      </w:pPr>
      <w:rPr>
        <w:rFonts w:hint="default"/>
      </w:rPr>
    </w:lvl>
  </w:abstractNum>
  <w:abstractNum w:abstractNumId="2" w15:restartNumberingAfterBreak="0">
    <w:nsid w:val="73BB2D94"/>
    <w:multiLevelType w:val="singleLevel"/>
    <w:tmpl w:val="0416000F"/>
    <w:lvl w:ilvl="0">
      <w:start w:val="1"/>
      <w:numFmt w:val="decimal"/>
      <w:lvlText w:val="%1."/>
      <w:lvlJc w:val="left"/>
      <w:pPr>
        <w:tabs>
          <w:tab w:val="num" w:pos="360"/>
        </w:tabs>
        <w:ind w:left="360" w:hanging="360"/>
      </w:pPr>
    </w:lvl>
  </w:abstractNum>
  <w:abstractNum w:abstractNumId="3" w15:restartNumberingAfterBreak="0">
    <w:nsid w:val="7DFB4BB7"/>
    <w:multiLevelType w:val="singleLevel"/>
    <w:tmpl w:val="CE1C90D2"/>
    <w:lvl w:ilvl="0">
      <w:start w:val="1"/>
      <w:numFmt w:val="decimal"/>
      <w:lvlText w:val="%1."/>
      <w:lvlJc w:val="left"/>
      <w:pPr>
        <w:tabs>
          <w:tab w:val="num" w:pos="360"/>
        </w:tabs>
        <w:ind w:left="36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026"/>
    <w:rsid w:val="0000089C"/>
    <w:rsid w:val="0000106C"/>
    <w:rsid w:val="00001351"/>
    <w:rsid w:val="000037FC"/>
    <w:rsid w:val="00011A24"/>
    <w:rsid w:val="00012FC4"/>
    <w:rsid w:val="000138F7"/>
    <w:rsid w:val="000146B3"/>
    <w:rsid w:val="00016344"/>
    <w:rsid w:val="00017F8F"/>
    <w:rsid w:val="000218D8"/>
    <w:rsid w:val="000221A2"/>
    <w:rsid w:val="00022CED"/>
    <w:rsid w:val="000268E7"/>
    <w:rsid w:val="00027776"/>
    <w:rsid w:val="000309E6"/>
    <w:rsid w:val="000323E6"/>
    <w:rsid w:val="00033552"/>
    <w:rsid w:val="00033B31"/>
    <w:rsid w:val="000342AF"/>
    <w:rsid w:val="00034DBC"/>
    <w:rsid w:val="00035661"/>
    <w:rsid w:val="000364F6"/>
    <w:rsid w:val="00040213"/>
    <w:rsid w:val="000416A4"/>
    <w:rsid w:val="00041F29"/>
    <w:rsid w:val="00042904"/>
    <w:rsid w:val="000468E2"/>
    <w:rsid w:val="00050509"/>
    <w:rsid w:val="0005073D"/>
    <w:rsid w:val="000529A1"/>
    <w:rsid w:val="0005378C"/>
    <w:rsid w:val="000550E1"/>
    <w:rsid w:val="000565B8"/>
    <w:rsid w:val="00060180"/>
    <w:rsid w:val="000615AF"/>
    <w:rsid w:val="0006347B"/>
    <w:rsid w:val="00070B96"/>
    <w:rsid w:val="00070FFB"/>
    <w:rsid w:val="00071D7B"/>
    <w:rsid w:val="00072F1F"/>
    <w:rsid w:val="00073EB5"/>
    <w:rsid w:val="000760B5"/>
    <w:rsid w:val="000766D5"/>
    <w:rsid w:val="00076F23"/>
    <w:rsid w:val="0007731D"/>
    <w:rsid w:val="000774FE"/>
    <w:rsid w:val="000777BB"/>
    <w:rsid w:val="00083F76"/>
    <w:rsid w:val="00084123"/>
    <w:rsid w:val="00086446"/>
    <w:rsid w:val="00086C6F"/>
    <w:rsid w:val="00086DF2"/>
    <w:rsid w:val="000872FC"/>
    <w:rsid w:val="00087C9E"/>
    <w:rsid w:val="0009110C"/>
    <w:rsid w:val="00091BA8"/>
    <w:rsid w:val="00091F7D"/>
    <w:rsid w:val="00093E8D"/>
    <w:rsid w:val="00093ED8"/>
    <w:rsid w:val="000952BD"/>
    <w:rsid w:val="00095790"/>
    <w:rsid w:val="00096FBE"/>
    <w:rsid w:val="000974E8"/>
    <w:rsid w:val="00097E04"/>
    <w:rsid w:val="00097E7B"/>
    <w:rsid w:val="000A076A"/>
    <w:rsid w:val="000A0B91"/>
    <w:rsid w:val="000A4174"/>
    <w:rsid w:val="000A437E"/>
    <w:rsid w:val="000A4885"/>
    <w:rsid w:val="000A5264"/>
    <w:rsid w:val="000A528D"/>
    <w:rsid w:val="000B452D"/>
    <w:rsid w:val="000B5375"/>
    <w:rsid w:val="000B679F"/>
    <w:rsid w:val="000B769E"/>
    <w:rsid w:val="000C4E41"/>
    <w:rsid w:val="000C5E9B"/>
    <w:rsid w:val="000C6954"/>
    <w:rsid w:val="000C78C7"/>
    <w:rsid w:val="000D0CD0"/>
    <w:rsid w:val="000D13F1"/>
    <w:rsid w:val="000D4BE2"/>
    <w:rsid w:val="000E187D"/>
    <w:rsid w:val="000E1F6D"/>
    <w:rsid w:val="000E78DC"/>
    <w:rsid w:val="000F4372"/>
    <w:rsid w:val="000F56DF"/>
    <w:rsid w:val="000F67A0"/>
    <w:rsid w:val="000F6DAC"/>
    <w:rsid w:val="0010109B"/>
    <w:rsid w:val="001014F9"/>
    <w:rsid w:val="0010479A"/>
    <w:rsid w:val="00104C97"/>
    <w:rsid w:val="00105F3E"/>
    <w:rsid w:val="00107251"/>
    <w:rsid w:val="001109E1"/>
    <w:rsid w:val="00113692"/>
    <w:rsid w:val="00114955"/>
    <w:rsid w:val="00122AFE"/>
    <w:rsid w:val="001258C8"/>
    <w:rsid w:val="0013019E"/>
    <w:rsid w:val="00130D09"/>
    <w:rsid w:val="00131E41"/>
    <w:rsid w:val="00131EDC"/>
    <w:rsid w:val="001338C6"/>
    <w:rsid w:val="00133DFD"/>
    <w:rsid w:val="00134064"/>
    <w:rsid w:val="0013732B"/>
    <w:rsid w:val="00137D0C"/>
    <w:rsid w:val="00142132"/>
    <w:rsid w:val="001440B4"/>
    <w:rsid w:val="00146C99"/>
    <w:rsid w:val="00151009"/>
    <w:rsid w:val="00151991"/>
    <w:rsid w:val="00153616"/>
    <w:rsid w:val="00153629"/>
    <w:rsid w:val="0015506B"/>
    <w:rsid w:val="001615EB"/>
    <w:rsid w:val="00162256"/>
    <w:rsid w:val="001664D0"/>
    <w:rsid w:val="0017060E"/>
    <w:rsid w:val="0017085F"/>
    <w:rsid w:val="001744CB"/>
    <w:rsid w:val="00177884"/>
    <w:rsid w:val="00177A6B"/>
    <w:rsid w:val="00177F82"/>
    <w:rsid w:val="001843C2"/>
    <w:rsid w:val="00191263"/>
    <w:rsid w:val="00194113"/>
    <w:rsid w:val="001944DB"/>
    <w:rsid w:val="001950DC"/>
    <w:rsid w:val="0019789E"/>
    <w:rsid w:val="001B0347"/>
    <w:rsid w:val="001B0E06"/>
    <w:rsid w:val="001B17FD"/>
    <w:rsid w:val="001B19C4"/>
    <w:rsid w:val="001B1D71"/>
    <w:rsid w:val="001B2961"/>
    <w:rsid w:val="001B42A6"/>
    <w:rsid w:val="001B4B0E"/>
    <w:rsid w:val="001B539E"/>
    <w:rsid w:val="001B676F"/>
    <w:rsid w:val="001C038A"/>
    <w:rsid w:val="001C146B"/>
    <w:rsid w:val="001C1B33"/>
    <w:rsid w:val="001C2BB9"/>
    <w:rsid w:val="001C4F7C"/>
    <w:rsid w:val="001C631F"/>
    <w:rsid w:val="001C7317"/>
    <w:rsid w:val="001D05A4"/>
    <w:rsid w:val="001D57F0"/>
    <w:rsid w:val="001E0B07"/>
    <w:rsid w:val="001E2A8F"/>
    <w:rsid w:val="001E486A"/>
    <w:rsid w:val="001E4957"/>
    <w:rsid w:val="001F0086"/>
    <w:rsid w:val="001F1D28"/>
    <w:rsid w:val="001F5AB0"/>
    <w:rsid w:val="00200906"/>
    <w:rsid w:val="00203A9F"/>
    <w:rsid w:val="00207A2C"/>
    <w:rsid w:val="002131F5"/>
    <w:rsid w:val="00215264"/>
    <w:rsid w:val="00222D67"/>
    <w:rsid w:val="00222DC8"/>
    <w:rsid w:val="00223164"/>
    <w:rsid w:val="002232F7"/>
    <w:rsid w:val="0022386B"/>
    <w:rsid w:val="00223BED"/>
    <w:rsid w:val="002240FE"/>
    <w:rsid w:val="00225456"/>
    <w:rsid w:val="00225BD1"/>
    <w:rsid w:val="00226C76"/>
    <w:rsid w:val="00230146"/>
    <w:rsid w:val="00231FCA"/>
    <w:rsid w:val="0023248C"/>
    <w:rsid w:val="002330AD"/>
    <w:rsid w:val="00234560"/>
    <w:rsid w:val="0023479D"/>
    <w:rsid w:val="00243B9B"/>
    <w:rsid w:val="00245356"/>
    <w:rsid w:val="00250CE1"/>
    <w:rsid w:val="002511BE"/>
    <w:rsid w:val="0025258F"/>
    <w:rsid w:val="0025574C"/>
    <w:rsid w:val="00256639"/>
    <w:rsid w:val="00256E6F"/>
    <w:rsid w:val="0026422D"/>
    <w:rsid w:val="002651DA"/>
    <w:rsid w:val="00266842"/>
    <w:rsid w:val="00266A47"/>
    <w:rsid w:val="002716B8"/>
    <w:rsid w:val="00271C97"/>
    <w:rsid w:val="00271E38"/>
    <w:rsid w:val="002725F2"/>
    <w:rsid w:val="00272C8F"/>
    <w:rsid w:val="0027336B"/>
    <w:rsid w:val="002736BE"/>
    <w:rsid w:val="00276359"/>
    <w:rsid w:val="00277FCD"/>
    <w:rsid w:val="00280E5E"/>
    <w:rsid w:val="00281F92"/>
    <w:rsid w:val="00282A51"/>
    <w:rsid w:val="002838C6"/>
    <w:rsid w:val="0028791E"/>
    <w:rsid w:val="0029217C"/>
    <w:rsid w:val="00293013"/>
    <w:rsid w:val="00293998"/>
    <w:rsid w:val="00293F15"/>
    <w:rsid w:val="0029408C"/>
    <w:rsid w:val="002949E7"/>
    <w:rsid w:val="00294A11"/>
    <w:rsid w:val="00296DC7"/>
    <w:rsid w:val="0029780B"/>
    <w:rsid w:val="00297B01"/>
    <w:rsid w:val="002A41E3"/>
    <w:rsid w:val="002A4339"/>
    <w:rsid w:val="002A5026"/>
    <w:rsid w:val="002A521A"/>
    <w:rsid w:val="002A6222"/>
    <w:rsid w:val="002A70A0"/>
    <w:rsid w:val="002A7262"/>
    <w:rsid w:val="002B0728"/>
    <w:rsid w:val="002B075C"/>
    <w:rsid w:val="002B4A17"/>
    <w:rsid w:val="002C05C3"/>
    <w:rsid w:val="002C24C9"/>
    <w:rsid w:val="002C290E"/>
    <w:rsid w:val="002C5B85"/>
    <w:rsid w:val="002D00EA"/>
    <w:rsid w:val="002D0196"/>
    <w:rsid w:val="002D0C68"/>
    <w:rsid w:val="002D1403"/>
    <w:rsid w:val="002D3B63"/>
    <w:rsid w:val="002D5929"/>
    <w:rsid w:val="002D69B2"/>
    <w:rsid w:val="002E0E9A"/>
    <w:rsid w:val="002E313E"/>
    <w:rsid w:val="002E4EBF"/>
    <w:rsid w:val="002E5140"/>
    <w:rsid w:val="002E713B"/>
    <w:rsid w:val="002F010A"/>
    <w:rsid w:val="002F08C2"/>
    <w:rsid w:val="002F2EAC"/>
    <w:rsid w:val="002F5173"/>
    <w:rsid w:val="002F6A61"/>
    <w:rsid w:val="002F75A0"/>
    <w:rsid w:val="002F7DE2"/>
    <w:rsid w:val="00302E15"/>
    <w:rsid w:val="003037C4"/>
    <w:rsid w:val="003131AD"/>
    <w:rsid w:val="00313A20"/>
    <w:rsid w:val="003155E8"/>
    <w:rsid w:val="00316448"/>
    <w:rsid w:val="00321792"/>
    <w:rsid w:val="00321A3B"/>
    <w:rsid w:val="00321D31"/>
    <w:rsid w:val="00321FF7"/>
    <w:rsid w:val="00322905"/>
    <w:rsid w:val="0032640D"/>
    <w:rsid w:val="00326B32"/>
    <w:rsid w:val="00327F26"/>
    <w:rsid w:val="0033193F"/>
    <w:rsid w:val="003326A7"/>
    <w:rsid w:val="00332C07"/>
    <w:rsid w:val="00333132"/>
    <w:rsid w:val="0033558D"/>
    <w:rsid w:val="00336E33"/>
    <w:rsid w:val="00336F4A"/>
    <w:rsid w:val="00340695"/>
    <w:rsid w:val="00340771"/>
    <w:rsid w:val="0034222B"/>
    <w:rsid w:val="003431CF"/>
    <w:rsid w:val="00346120"/>
    <w:rsid w:val="003462E2"/>
    <w:rsid w:val="00355007"/>
    <w:rsid w:val="00361335"/>
    <w:rsid w:val="00363A0D"/>
    <w:rsid w:val="0036431B"/>
    <w:rsid w:val="00364A64"/>
    <w:rsid w:val="00367751"/>
    <w:rsid w:val="00370575"/>
    <w:rsid w:val="00371EE5"/>
    <w:rsid w:val="003740DA"/>
    <w:rsid w:val="00376E36"/>
    <w:rsid w:val="00377D5F"/>
    <w:rsid w:val="0038055A"/>
    <w:rsid w:val="003806FC"/>
    <w:rsid w:val="00380F31"/>
    <w:rsid w:val="00382891"/>
    <w:rsid w:val="0039789A"/>
    <w:rsid w:val="003A0123"/>
    <w:rsid w:val="003A130C"/>
    <w:rsid w:val="003A2BD7"/>
    <w:rsid w:val="003A2C3C"/>
    <w:rsid w:val="003A4399"/>
    <w:rsid w:val="003A46E1"/>
    <w:rsid w:val="003A4A8B"/>
    <w:rsid w:val="003A6BD6"/>
    <w:rsid w:val="003B2B91"/>
    <w:rsid w:val="003B2C5C"/>
    <w:rsid w:val="003B4FD3"/>
    <w:rsid w:val="003C128D"/>
    <w:rsid w:val="003C16B9"/>
    <w:rsid w:val="003C1786"/>
    <w:rsid w:val="003C17D3"/>
    <w:rsid w:val="003C237E"/>
    <w:rsid w:val="003C434F"/>
    <w:rsid w:val="003C4E6F"/>
    <w:rsid w:val="003C513D"/>
    <w:rsid w:val="003C5E69"/>
    <w:rsid w:val="003C6B72"/>
    <w:rsid w:val="003D1D86"/>
    <w:rsid w:val="003D2CEA"/>
    <w:rsid w:val="003D5655"/>
    <w:rsid w:val="003D58B0"/>
    <w:rsid w:val="003D75AF"/>
    <w:rsid w:val="003D7721"/>
    <w:rsid w:val="003E2E00"/>
    <w:rsid w:val="003E3F48"/>
    <w:rsid w:val="003E6B77"/>
    <w:rsid w:val="003E71F5"/>
    <w:rsid w:val="003F1587"/>
    <w:rsid w:val="003F2E08"/>
    <w:rsid w:val="003F5F48"/>
    <w:rsid w:val="003F7D97"/>
    <w:rsid w:val="004012BC"/>
    <w:rsid w:val="00402433"/>
    <w:rsid w:val="004052E2"/>
    <w:rsid w:val="004103C1"/>
    <w:rsid w:val="00414308"/>
    <w:rsid w:val="00415410"/>
    <w:rsid w:val="00416919"/>
    <w:rsid w:val="00422A96"/>
    <w:rsid w:val="00422E9F"/>
    <w:rsid w:val="00423EA3"/>
    <w:rsid w:val="00423F51"/>
    <w:rsid w:val="004246A5"/>
    <w:rsid w:val="00424BA6"/>
    <w:rsid w:val="00425D95"/>
    <w:rsid w:val="0042717D"/>
    <w:rsid w:val="00427618"/>
    <w:rsid w:val="004276F9"/>
    <w:rsid w:val="00430A83"/>
    <w:rsid w:val="00432BD4"/>
    <w:rsid w:val="00434024"/>
    <w:rsid w:val="00435679"/>
    <w:rsid w:val="004359A7"/>
    <w:rsid w:val="00435ECB"/>
    <w:rsid w:val="00436006"/>
    <w:rsid w:val="0044147A"/>
    <w:rsid w:val="00441F17"/>
    <w:rsid w:val="004445C7"/>
    <w:rsid w:val="0044613A"/>
    <w:rsid w:val="00446F12"/>
    <w:rsid w:val="0045144E"/>
    <w:rsid w:val="00451512"/>
    <w:rsid w:val="004541BF"/>
    <w:rsid w:val="004558CF"/>
    <w:rsid w:val="00457D40"/>
    <w:rsid w:val="00463569"/>
    <w:rsid w:val="0046369E"/>
    <w:rsid w:val="0047258A"/>
    <w:rsid w:val="00476C7B"/>
    <w:rsid w:val="00477DAB"/>
    <w:rsid w:val="0048040F"/>
    <w:rsid w:val="00480700"/>
    <w:rsid w:val="00482607"/>
    <w:rsid w:val="00484717"/>
    <w:rsid w:val="004857EF"/>
    <w:rsid w:val="00491004"/>
    <w:rsid w:val="004910DF"/>
    <w:rsid w:val="0049428D"/>
    <w:rsid w:val="00496183"/>
    <w:rsid w:val="004A05E1"/>
    <w:rsid w:val="004A124F"/>
    <w:rsid w:val="004A5911"/>
    <w:rsid w:val="004A61AD"/>
    <w:rsid w:val="004A6C56"/>
    <w:rsid w:val="004A6E47"/>
    <w:rsid w:val="004B08B0"/>
    <w:rsid w:val="004B2F83"/>
    <w:rsid w:val="004B3235"/>
    <w:rsid w:val="004B3F26"/>
    <w:rsid w:val="004B4200"/>
    <w:rsid w:val="004B4E32"/>
    <w:rsid w:val="004B7668"/>
    <w:rsid w:val="004C0018"/>
    <w:rsid w:val="004C23CC"/>
    <w:rsid w:val="004C4F32"/>
    <w:rsid w:val="004C64C5"/>
    <w:rsid w:val="004C7331"/>
    <w:rsid w:val="004D0EB0"/>
    <w:rsid w:val="004D18A1"/>
    <w:rsid w:val="004E3AAA"/>
    <w:rsid w:val="004E5773"/>
    <w:rsid w:val="004E58FE"/>
    <w:rsid w:val="004E5D64"/>
    <w:rsid w:val="004E6697"/>
    <w:rsid w:val="004F18F7"/>
    <w:rsid w:val="004F1A0F"/>
    <w:rsid w:val="004F2341"/>
    <w:rsid w:val="004F299D"/>
    <w:rsid w:val="004F3558"/>
    <w:rsid w:val="004F4731"/>
    <w:rsid w:val="004F4855"/>
    <w:rsid w:val="004F519B"/>
    <w:rsid w:val="004F755B"/>
    <w:rsid w:val="004F7C45"/>
    <w:rsid w:val="004F7E50"/>
    <w:rsid w:val="00502D9C"/>
    <w:rsid w:val="00510EB5"/>
    <w:rsid w:val="00511A61"/>
    <w:rsid w:val="00513362"/>
    <w:rsid w:val="00515F72"/>
    <w:rsid w:val="005173A5"/>
    <w:rsid w:val="00521543"/>
    <w:rsid w:val="00525560"/>
    <w:rsid w:val="00526B36"/>
    <w:rsid w:val="00527D58"/>
    <w:rsid w:val="0053050E"/>
    <w:rsid w:val="00530ECC"/>
    <w:rsid w:val="00531060"/>
    <w:rsid w:val="005321CB"/>
    <w:rsid w:val="005330EE"/>
    <w:rsid w:val="00533860"/>
    <w:rsid w:val="00535F35"/>
    <w:rsid w:val="00536286"/>
    <w:rsid w:val="00536902"/>
    <w:rsid w:val="0053700F"/>
    <w:rsid w:val="005371B8"/>
    <w:rsid w:val="00537847"/>
    <w:rsid w:val="005439AA"/>
    <w:rsid w:val="00544EE8"/>
    <w:rsid w:val="00545201"/>
    <w:rsid w:val="00545F18"/>
    <w:rsid w:val="00547B4F"/>
    <w:rsid w:val="0055254E"/>
    <w:rsid w:val="00554FBB"/>
    <w:rsid w:val="005605CC"/>
    <w:rsid w:val="0056272A"/>
    <w:rsid w:val="00562A40"/>
    <w:rsid w:val="00563BB4"/>
    <w:rsid w:val="00571E01"/>
    <w:rsid w:val="00573724"/>
    <w:rsid w:val="00580CF3"/>
    <w:rsid w:val="0058179F"/>
    <w:rsid w:val="005825FD"/>
    <w:rsid w:val="00583544"/>
    <w:rsid w:val="00585F82"/>
    <w:rsid w:val="005903D5"/>
    <w:rsid w:val="00592346"/>
    <w:rsid w:val="00592840"/>
    <w:rsid w:val="00592AD6"/>
    <w:rsid w:val="00594460"/>
    <w:rsid w:val="0059573A"/>
    <w:rsid w:val="005A0501"/>
    <w:rsid w:val="005A2C14"/>
    <w:rsid w:val="005A2DEF"/>
    <w:rsid w:val="005A42AE"/>
    <w:rsid w:val="005A7937"/>
    <w:rsid w:val="005B1721"/>
    <w:rsid w:val="005B1862"/>
    <w:rsid w:val="005B28CE"/>
    <w:rsid w:val="005B440F"/>
    <w:rsid w:val="005B769C"/>
    <w:rsid w:val="005B7D3E"/>
    <w:rsid w:val="005C0FFC"/>
    <w:rsid w:val="005C5141"/>
    <w:rsid w:val="005D35D1"/>
    <w:rsid w:val="005D3F9F"/>
    <w:rsid w:val="005D6604"/>
    <w:rsid w:val="005D66EF"/>
    <w:rsid w:val="005D71DE"/>
    <w:rsid w:val="005D79AD"/>
    <w:rsid w:val="005E2A44"/>
    <w:rsid w:val="005E3E5D"/>
    <w:rsid w:val="005E3FD8"/>
    <w:rsid w:val="005E7490"/>
    <w:rsid w:val="005F3F44"/>
    <w:rsid w:val="005F4EE6"/>
    <w:rsid w:val="005F5D49"/>
    <w:rsid w:val="005F671F"/>
    <w:rsid w:val="005F70FB"/>
    <w:rsid w:val="006017D7"/>
    <w:rsid w:val="00603336"/>
    <w:rsid w:val="006037F4"/>
    <w:rsid w:val="00603E02"/>
    <w:rsid w:val="00606928"/>
    <w:rsid w:val="006076DB"/>
    <w:rsid w:val="0061104E"/>
    <w:rsid w:val="00611867"/>
    <w:rsid w:val="0061253B"/>
    <w:rsid w:val="00612F23"/>
    <w:rsid w:val="006135C2"/>
    <w:rsid w:val="00614B4B"/>
    <w:rsid w:val="00615B0F"/>
    <w:rsid w:val="00616749"/>
    <w:rsid w:val="00617FBF"/>
    <w:rsid w:val="00620936"/>
    <w:rsid w:val="00621AA8"/>
    <w:rsid w:val="00621D0A"/>
    <w:rsid w:val="00621FE6"/>
    <w:rsid w:val="006222CD"/>
    <w:rsid w:val="00624BF4"/>
    <w:rsid w:val="00624E95"/>
    <w:rsid w:val="00624ED5"/>
    <w:rsid w:val="00630FD2"/>
    <w:rsid w:val="0064153C"/>
    <w:rsid w:val="00643322"/>
    <w:rsid w:val="00643628"/>
    <w:rsid w:val="00645C28"/>
    <w:rsid w:val="0064630C"/>
    <w:rsid w:val="00646DE5"/>
    <w:rsid w:val="006549F8"/>
    <w:rsid w:val="00655594"/>
    <w:rsid w:val="00655764"/>
    <w:rsid w:val="0065577B"/>
    <w:rsid w:val="0065634D"/>
    <w:rsid w:val="0065638C"/>
    <w:rsid w:val="00657DD6"/>
    <w:rsid w:val="00663014"/>
    <w:rsid w:val="00665859"/>
    <w:rsid w:val="00665863"/>
    <w:rsid w:val="00666027"/>
    <w:rsid w:val="0066696F"/>
    <w:rsid w:val="00670237"/>
    <w:rsid w:val="0067136C"/>
    <w:rsid w:val="00672704"/>
    <w:rsid w:val="00673601"/>
    <w:rsid w:val="006762ED"/>
    <w:rsid w:val="006821DC"/>
    <w:rsid w:val="00682627"/>
    <w:rsid w:val="00682C96"/>
    <w:rsid w:val="00682CED"/>
    <w:rsid w:val="00684382"/>
    <w:rsid w:val="0069069D"/>
    <w:rsid w:val="0069365D"/>
    <w:rsid w:val="00697475"/>
    <w:rsid w:val="006A2ABA"/>
    <w:rsid w:val="006A2BEF"/>
    <w:rsid w:val="006A2C3C"/>
    <w:rsid w:val="006A3DAB"/>
    <w:rsid w:val="006A52BA"/>
    <w:rsid w:val="006A63B9"/>
    <w:rsid w:val="006A714F"/>
    <w:rsid w:val="006A77BE"/>
    <w:rsid w:val="006A78A7"/>
    <w:rsid w:val="006B27A0"/>
    <w:rsid w:val="006C1F9B"/>
    <w:rsid w:val="006C3DF9"/>
    <w:rsid w:val="006C46D8"/>
    <w:rsid w:val="006D0DC2"/>
    <w:rsid w:val="006D453A"/>
    <w:rsid w:val="006D4CBB"/>
    <w:rsid w:val="006D5B2A"/>
    <w:rsid w:val="006D794F"/>
    <w:rsid w:val="006E06D9"/>
    <w:rsid w:val="006E1997"/>
    <w:rsid w:val="006E3A40"/>
    <w:rsid w:val="006E3F45"/>
    <w:rsid w:val="006E4D60"/>
    <w:rsid w:val="006F0BE1"/>
    <w:rsid w:val="006F0EC4"/>
    <w:rsid w:val="006F2506"/>
    <w:rsid w:val="006F37CC"/>
    <w:rsid w:val="006F442B"/>
    <w:rsid w:val="006F4D26"/>
    <w:rsid w:val="006F55FA"/>
    <w:rsid w:val="007034B9"/>
    <w:rsid w:val="00704845"/>
    <w:rsid w:val="00704D06"/>
    <w:rsid w:val="00705B9E"/>
    <w:rsid w:val="00705DE7"/>
    <w:rsid w:val="007064AC"/>
    <w:rsid w:val="00706B68"/>
    <w:rsid w:val="007150C7"/>
    <w:rsid w:val="00715327"/>
    <w:rsid w:val="00715916"/>
    <w:rsid w:val="0072044D"/>
    <w:rsid w:val="00720A3C"/>
    <w:rsid w:val="007223B4"/>
    <w:rsid w:val="00723692"/>
    <w:rsid w:val="00727FF6"/>
    <w:rsid w:val="00730BA3"/>
    <w:rsid w:val="00732571"/>
    <w:rsid w:val="007347B3"/>
    <w:rsid w:val="00736FB8"/>
    <w:rsid w:val="00737333"/>
    <w:rsid w:val="00741729"/>
    <w:rsid w:val="0074201C"/>
    <w:rsid w:val="00742708"/>
    <w:rsid w:val="0074528B"/>
    <w:rsid w:val="00747B3E"/>
    <w:rsid w:val="00750163"/>
    <w:rsid w:val="007504D3"/>
    <w:rsid w:val="00750C63"/>
    <w:rsid w:val="00753621"/>
    <w:rsid w:val="00754752"/>
    <w:rsid w:val="00756023"/>
    <w:rsid w:val="00760EA3"/>
    <w:rsid w:val="00762FE8"/>
    <w:rsid w:val="00770143"/>
    <w:rsid w:val="007711A2"/>
    <w:rsid w:val="00771D1C"/>
    <w:rsid w:val="00775BF1"/>
    <w:rsid w:val="0077786F"/>
    <w:rsid w:val="007823C3"/>
    <w:rsid w:val="007866CE"/>
    <w:rsid w:val="00790B5C"/>
    <w:rsid w:val="007919FE"/>
    <w:rsid w:val="00791CC8"/>
    <w:rsid w:val="0079388C"/>
    <w:rsid w:val="00793F2F"/>
    <w:rsid w:val="00795A70"/>
    <w:rsid w:val="007976C6"/>
    <w:rsid w:val="007A03B1"/>
    <w:rsid w:val="007A0485"/>
    <w:rsid w:val="007A1779"/>
    <w:rsid w:val="007A3CD9"/>
    <w:rsid w:val="007A439F"/>
    <w:rsid w:val="007A450C"/>
    <w:rsid w:val="007A55CF"/>
    <w:rsid w:val="007A60AA"/>
    <w:rsid w:val="007A7562"/>
    <w:rsid w:val="007B0C29"/>
    <w:rsid w:val="007B0ECF"/>
    <w:rsid w:val="007B28C3"/>
    <w:rsid w:val="007B5081"/>
    <w:rsid w:val="007B515F"/>
    <w:rsid w:val="007B746A"/>
    <w:rsid w:val="007B7890"/>
    <w:rsid w:val="007C3690"/>
    <w:rsid w:val="007C3D31"/>
    <w:rsid w:val="007D2CFE"/>
    <w:rsid w:val="007D5886"/>
    <w:rsid w:val="007D6408"/>
    <w:rsid w:val="007E1449"/>
    <w:rsid w:val="007E1B15"/>
    <w:rsid w:val="007E22AA"/>
    <w:rsid w:val="007E2BF8"/>
    <w:rsid w:val="007E53AF"/>
    <w:rsid w:val="007E53BA"/>
    <w:rsid w:val="007E678E"/>
    <w:rsid w:val="007E6889"/>
    <w:rsid w:val="007F12E5"/>
    <w:rsid w:val="007F2593"/>
    <w:rsid w:val="007F32E4"/>
    <w:rsid w:val="007F3F4C"/>
    <w:rsid w:val="007F4B74"/>
    <w:rsid w:val="007F6694"/>
    <w:rsid w:val="00800D95"/>
    <w:rsid w:val="008010FC"/>
    <w:rsid w:val="00801521"/>
    <w:rsid w:val="00801863"/>
    <w:rsid w:val="00802A24"/>
    <w:rsid w:val="008032DC"/>
    <w:rsid w:val="008036AA"/>
    <w:rsid w:val="00805148"/>
    <w:rsid w:val="008059A3"/>
    <w:rsid w:val="00806795"/>
    <w:rsid w:val="00807B69"/>
    <w:rsid w:val="00807BA3"/>
    <w:rsid w:val="00813CD5"/>
    <w:rsid w:val="00815D49"/>
    <w:rsid w:val="008205F8"/>
    <w:rsid w:val="00823071"/>
    <w:rsid w:val="00826194"/>
    <w:rsid w:val="00831278"/>
    <w:rsid w:val="00831443"/>
    <w:rsid w:val="008340A3"/>
    <w:rsid w:val="008352B1"/>
    <w:rsid w:val="0083694D"/>
    <w:rsid w:val="00836F8E"/>
    <w:rsid w:val="00837F64"/>
    <w:rsid w:val="00840504"/>
    <w:rsid w:val="00841931"/>
    <w:rsid w:val="00843FB1"/>
    <w:rsid w:val="008453C6"/>
    <w:rsid w:val="0084540E"/>
    <w:rsid w:val="008456BD"/>
    <w:rsid w:val="00846E42"/>
    <w:rsid w:val="00851AA1"/>
    <w:rsid w:val="00854EC3"/>
    <w:rsid w:val="00855477"/>
    <w:rsid w:val="00855A84"/>
    <w:rsid w:val="00855C90"/>
    <w:rsid w:val="0086012B"/>
    <w:rsid w:val="008640CD"/>
    <w:rsid w:val="00864FC5"/>
    <w:rsid w:val="00865F82"/>
    <w:rsid w:val="008663E8"/>
    <w:rsid w:val="008728FA"/>
    <w:rsid w:val="008735A8"/>
    <w:rsid w:val="00873ACE"/>
    <w:rsid w:val="0087581E"/>
    <w:rsid w:val="008760C8"/>
    <w:rsid w:val="00876483"/>
    <w:rsid w:val="00877545"/>
    <w:rsid w:val="008815A1"/>
    <w:rsid w:val="00882D73"/>
    <w:rsid w:val="008847C7"/>
    <w:rsid w:val="008854BE"/>
    <w:rsid w:val="008857AA"/>
    <w:rsid w:val="008859D0"/>
    <w:rsid w:val="00885A09"/>
    <w:rsid w:val="0089107C"/>
    <w:rsid w:val="008974F8"/>
    <w:rsid w:val="008A13DA"/>
    <w:rsid w:val="008A3D06"/>
    <w:rsid w:val="008B1764"/>
    <w:rsid w:val="008B471B"/>
    <w:rsid w:val="008B49D4"/>
    <w:rsid w:val="008B623F"/>
    <w:rsid w:val="008B70BD"/>
    <w:rsid w:val="008C5729"/>
    <w:rsid w:val="008D02BF"/>
    <w:rsid w:val="008D0A49"/>
    <w:rsid w:val="008D2AEA"/>
    <w:rsid w:val="008D4EA4"/>
    <w:rsid w:val="008D550E"/>
    <w:rsid w:val="008D556C"/>
    <w:rsid w:val="008D6312"/>
    <w:rsid w:val="008D7349"/>
    <w:rsid w:val="008D7714"/>
    <w:rsid w:val="008D7E07"/>
    <w:rsid w:val="008D7F00"/>
    <w:rsid w:val="008E176D"/>
    <w:rsid w:val="008E2287"/>
    <w:rsid w:val="008E3407"/>
    <w:rsid w:val="008E64A9"/>
    <w:rsid w:val="008E71C9"/>
    <w:rsid w:val="008F2BBB"/>
    <w:rsid w:val="008F37D0"/>
    <w:rsid w:val="008F545D"/>
    <w:rsid w:val="008F6A41"/>
    <w:rsid w:val="00903FE4"/>
    <w:rsid w:val="00906FD3"/>
    <w:rsid w:val="009074BA"/>
    <w:rsid w:val="00907628"/>
    <w:rsid w:val="00907844"/>
    <w:rsid w:val="009104B7"/>
    <w:rsid w:val="00920164"/>
    <w:rsid w:val="00926A50"/>
    <w:rsid w:val="00926B15"/>
    <w:rsid w:val="00927D40"/>
    <w:rsid w:val="0093038F"/>
    <w:rsid w:val="00930761"/>
    <w:rsid w:val="0093139B"/>
    <w:rsid w:val="00931690"/>
    <w:rsid w:val="00931D33"/>
    <w:rsid w:val="00933224"/>
    <w:rsid w:val="00933E1B"/>
    <w:rsid w:val="00935260"/>
    <w:rsid w:val="00936CCD"/>
    <w:rsid w:val="00941A79"/>
    <w:rsid w:val="00942A49"/>
    <w:rsid w:val="0094436B"/>
    <w:rsid w:val="009447DF"/>
    <w:rsid w:val="0094596F"/>
    <w:rsid w:val="00945B7B"/>
    <w:rsid w:val="009504B2"/>
    <w:rsid w:val="00951EB4"/>
    <w:rsid w:val="00953272"/>
    <w:rsid w:val="009551E6"/>
    <w:rsid w:val="00956C20"/>
    <w:rsid w:val="00956ECC"/>
    <w:rsid w:val="009624E0"/>
    <w:rsid w:val="00962B49"/>
    <w:rsid w:val="009668A4"/>
    <w:rsid w:val="00967398"/>
    <w:rsid w:val="009676BB"/>
    <w:rsid w:val="0097083D"/>
    <w:rsid w:val="00970ABD"/>
    <w:rsid w:val="00972242"/>
    <w:rsid w:val="00974015"/>
    <w:rsid w:val="00983B47"/>
    <w:rsid w:val="009856E0"/>
    <w:rsid w:val="00985BDE"/>
    <w:rsid w:val="00986CED"/>
    <w:rsid w:val="00987AE1"/>
    <w:rsid w:val="0099181A"/>
    <w:rsid w:val="00991ED2"/>
    <w:rsid w:val="009924C3"/>
    <w:rsid w:val="00993291"/>
    <w:rsid w:val="00995F22"/>
    <w:rsid w:val="00996AD7"/>
    <w:rsid w:val="00997187"/>
    <w:rsid w:val="00997E03"/>
    <w:rsid w:val="009A0C8B"/>
    <w:rsid w:val="009A0D9A"/>
    <w:rsid w:val="009A126C"/>
    <w:rsid w:val="009A379A"/>
    <w:rsid w:val="009B4621"/>
    <w:rsid w:val="009B4E74"/>
    <w:rsid w:val="009B50C6"/>
    <w:rsid w:val="009B5483"/>
    <w:rsid w:val="009B7B05"/>
    <w:rsid w:val="009C0A02"/>
    <w:rsid w:val="009C47EE"/>
    <w:rsid w:val="009C59C9"/>
    <w:rsid w:val="009C677A"/>
    <w:rsid w:val="009D113C"/>
    <w:rsid w:val="009D1CD5"/>
    <w:rsid w:val="009D29FF"/>
    <w:rsid w:val="009D6500"/>
    <w:rsid w:val="009E0154"/>
    <w:rsid w:val="009E1D9E"/>
    <w:rsid w:val="009E1F86"/>
    <w:rsid w:val="009E2CC2"/>
    <w:rsid w:val="009E4C3F"/>
    <w:rsid w:val="009E5A78"/>
    <w:rsid w:val="009F034B"/>
    <w:rsid w:val="009F4D3B"/>
    <w:rsid w:val="009F5D8B"/>
    <w:rsid w:val="009F71E3"/>
    <w:rsid w:val="009F7304"/>
    <w:rsid w:val="00A0059A"/>
    <w:rsid w:val="00A044BC"/>
    <w:rsid w:val="00A0559C"/>
    <w:rsid w:val="00A07450"/>
    <w:rsid w:val="00A077C9"/>
    <w:rsid w:val="00A103C7"/>
    <w:rsid w:val="00A1062D"/>
    <w:rsid w:val="00A10B4B"/>
    <w:rsid w:val="00A14E8E"/>
    <w:rsid w:val="00A15476"/>
    <w:rsid w:val="00A171E5"/>
    <w:rsid w:val="00A232E7"/>
    <w:rsid w:val="00A2468C"/>
    <w:rsid w:val="00A24785"/>
    <w:rsid w:val="00A26606"/>
    <w:rsid w:val="00A2743C"/>
    <w:rsid w:val="00A27BF0"/>
    <w:rsid w:val="00A27E81"/>
    <w:rsid w:val="00A31FB0"/>
    <w:rsid w:val="00A321D4"/>
    <w:rsid w:val="00A328CA"/>
    <w:rsid w:val="00A37808"/>
    <w:rsid w:val="00A4008E"/>
    <w:rsid w:val="00A407C3"/>
    <w:rsid w:val="00A40E33"/>
    <w:rsid w:val="00A41FC6"/>
    <w:rsid w:val="00A4220D"/>
    <w:rsid w:val="00A46F74"/>
    <w:rsid w:val="00A4715A"/>
    <w:rsid w:val="00A51B73"/>
    <w:rsid w:val="00A51FFE"/>
    <w:rsid w:val="00A55788"/>
    <w:rsid w:val="00A557E8"/>
    <w:rsid w:val="00A567AF"/>
    <w:rsid w:val="00A6001E"/>
    <w:rsid w:val="00A625A7"/>
    <w:rsid w:val="00A64252"/>
    <w:rsid w:val="00A66465"/>
    <w:rsid w:val="00A6686F"/>
    <w:rsid w:val="00A723A8"/>
    <w:rsid w:val="00A74A95"/>
    <w:rsid w:val="00A7591A"/>
    <w:rsid w:val="00A77B55"/>
    <w:rsid w:val="00A81106"/>
    <w:rsid w:val="00A857BE"/>
    <w:rsid w:val="00A87D55"/>
    <w:rsid w:val="00A9110B"/>
    <w:rsid w:val="00A92306"/>
    <w:rsid w:val="00A92761"/>
    <w:rsid w:val="00A9337F"/>
    <w:rsid w:val="00A93F95"/>
    <w:rsid w:val="00A950B7"/>
    <w:rsid w:val="00A959EC"/>
    <w:rsid w:val="00A95E37"/>
    <w:rsid w:val="00AA09B8"/>
    <w:rsid w:val="00AA0F0D"/>
    <w:rsid w:val="00AA139A"/>
    <w:rsid w:val="00AA3F97"/>
    <w:rsid w:val="00AB0612"/>
    <w:rsid w:val="00AB144F"/>
    <w:rsid w:val="00AB1D47"/>
    <w:rsid w:val="00AB4805"/>
    <w:rsid w:val="00AB4FFD"/>
    <w:rsid w:val="00AB52BA"/>
    <w:rsid w:val="00AB6226"/>
    <w:rsid w:val="00AC2829"/>
    <w:rsid w:val="00AC2B6C"/>
    <w:rsid w:val="00AC3916"/>
    <w:rsid w:val="00AC5840"/>
    <w:rsid w:val="00AC6CD8"/>
    <w:rsid w:val="00AC7588"/>
    <w:rsid w:val="00AC7F4F"/>
    <w:rsid w:val="00AD0B87"/>
    <w:rsid w:val="00AD0F8A"/>
    <w:rsid w:val="00AD1E96"/>
    <w:rsid w:val="00AD2264"/>
    <w:rsid w:val="00AE11BE"/>
    <w:rsid w:val="00AE5561"/>
    <w:rsid w:val="00AE6079"/>
    <w:rsid w:val="00AF1034"/>
    <w:rsid w:val="00AF27F3"/>
    <w:rsid w:val="00AF67CE"/>
    <w:rsid w:val="00AF7500"/>
    <w:rsid w:val="00B00731"/>
    <w:rsid w:val="00B0119E"/>
    <w:rsid w:val="00B0266E"/>
    <w:rsid w:val="00B034A9"/>
    <w:rsid w:val="00B040D7"/>
    <w:rsid w:val="00B0447E"/>
    <w:rsid w:val="00B06CB2"/>
    <w:rsid w:val="00B078D1"/>
    <w:rsid w:val="00B079F4"/>
    <w:rsid w:val="00B10601"/>
    <w:rsid w:val="00B122A7"/>
    <w:rsid w:val="00B12507"/>
    <w:rsid w:val="00B161C1"/>
    <w:rsid w:val="00B20B89"/>
    <w:rsid w:val="00B20DE0"/>
    <w:rsid w:val="00B239A7"/>
    <w:rsid w:val="00B23D96"/>
    <w:rsid w:val="00B26455"/>
    <w:rsid w:val="00B265EC"/>
    <w:rsid w:val="00B322AF"/>
    <w:rsid w:val="00B32A3A"/>
    <w:rsid w:val="00B338C6"/>
    <w:rsid w:val="00B35373"/>
    <w:rsid w:val="00B37EB5"/>
    <w:rsid w:val="00B47439"/>
    <w:rsid w:val="00B50923"/>
    <w:rsid w:val="00B50F5A"/>
    <w:rsid w:val="00B51A4A"/>
    <w:rsid w:val="00B53084"/>
    <w:rsid w:val="00B55E86"/>
    <w:rsid w:val="00B55EE2"/>
    <w:rsid w:val="00B5752E"/>
    <w:rsid w:val="00B62617"/>
    <w:rsid w:val="00B62DE6"/>
    <w:rsid w:val="00B64E7C"/>
    <w:rsid w:val="00B653DA"/>
    <w:rsid w:val="00B65BD1"/>
    <w:rsid w:val="00B65DC7"/>
    <w:rsid w:val="00B70F11"/>
    <w:rsid w:val="00B757C3"/>
    <w:rsid w:val="00B75BA6"/>
    <w:rsid w:val="00B77F49"/>
    <w:rsid w:val="00B83B34"/>
    <w:rsid w:val="00B8472A"/>
    <w:rsid w:val="00B847C9"/>
    <w:rsid w:val="00B854DB"/>
    <w:rsid w:val="00B90572"/>
    <w:rsid w:val="00B92453"/>
    <w:rsid w:val="00B9396E"/>
    <w:rsid w:val="00BA0E12"/>
    <w:rsid w:val="00BA4E54"/>
    <w:rsid w:val="00BA50CD"/>
    <w:rsid w:val="00BB193C"/>
    <w:rsid w:val="00BB2592"/>
    <w:rsid w:val="00BB2AC3"/>
    <w:rsid w:val="00BB3456"/>
    <w:rsid w:val="00BC2D75"/>
    <w:rsid w:val="00BC38DD"/>
    <w:rsid w:val="00BC57C9"/>
    <w:rsid w:val="00BC5D6A"/>
    <w:rsid w:val="00BC7339"/>
    <w:rsid w:val="00BC7696"/>
    <w:rsid w:val="00BD3153"/>
    <w:rsid w:val="00BD3FBF"/>
    <w:rsid w:val="00BD4F85"/>
    <w:rsid w:val="00BD60EE"/>
    <w:rsid w:val="00BD6DC5"/>
    <w:rsid w:val="00BE0177"/>
    <w:rsid w:val="00BE04A0"/>
    <w:rsid w:val="00BE1217"/>
    <w:rsid w:val="00BE1914"/>
    <w:rsid w:val="00BE29BE"/>
    <w:rsid w:val="00BE6101"/>
    <w:rsid w:val="00BF2748"/>
    <w:rsid w:val="00BF2CEB"/>
    <w:rsid w:val="00BF4095"/>
    <w:rsid w:val="00BF5AC4"/>
    <w:rsid w:val="00BF5D72"/>
    <w:rsid w:val="00C0101F"/>
    <w:rsid w:val="00C0207C"/>
    <w:rsid w:val="00C03CB9"/>
    <w:rsid w:val="00C042A3"/>
    <w:rsid w:val="00C06BC0"/>
    <w:rsid w:val="00C12181"/>
    <w:rsid w:val="00C12BA8"/>
    <w:rsid w:val="00C13DA9"/>
    <w:rsid w:val="00C1658A"/>
    <w:rsid w:val="00C166D0"/>
    <w:rsid w:val="00C1729C"/>
    <w:rsid w:val="00C1735A"/>
    <w:rsid w:val="00C20F4C"/>
    <w:rsid w:val="00C210FE"/>
    <w:rsid w:val="00C21592"/>
    <w:rsid w:val="00C2219C"/>
    <w:rsid w:val="00C22286"/>
    <w:rsid w:val="00C22AC2"/>
    <w:rsid w:val="00C23FE0"/>
    <w:rsid w:val="00C2481F"/>
    <w:rsid w:val="00C25DBF"/>
    <w:rsid w:val="00C2614A"/>
    <w:rsid w:val="00C32037"/>
    <w:rsid w:val="00C3560D"/>
    <w:rsid w:val="00C36D64"/>
    <w:rsid w:val="00C448AF"/>
    <w:rsid w:val="00C45085"/>
    <w:rsid w:val="00C50AA8"/>
    <w:rsid w:val="00C51675"/>
    <w:rsid w:val="00C52759"/>
    <w:rsid w:val="00C527ED"/>
    <w:rsid w:val="00C52AA8"/>
    <w:rsid w:val="00C52E38"/>
    <w:rsid w:val="00C542FB"/>
    <w:rsid w:val="00C55E53"/>
    <w:rsid w:val="00C729AA"/>
    <w:rsid w:val="00C75A45"/>
    <w:rsid w:val="00C80C64"/>
    <w:rsid w:val="00C82B2F"/>
    <w:rsid w:val="00C8471C"/>
    <w:rsid w:val="00C84A1B"/>
    <w:rsid w:val="00C8501A"/>
    <w:rsid w:val="00C87BBC"/>
    <w:rsid w:val="00C964C1"/>
    <w:rsid w:val="00C97B14"/>
    <w:rsid w:val="00CA0008"/>
    <w:rsid w:val="00CA164B"/>
    <w:rsid w:val="00CA5759"/>
    <w:rsid w:val="00CA75D5"/>
    <w:rsid w:val="00CB1EDF"/>
    <w:rsid w:val="00CB343A"/>
    <w:rsid w:val="00CB510E"/>
    <w:rsid w:val="00CB7E78"/>
    <w:rsid w:val="00CC5BAC"/>
    <w:rsid w:val="00CC615F"/>
    <w:rsid w:val="00CC648F"/>
    <w:rsid w:val="00CC677C"/>
    <w:rsid w:val="00CC7827"/>
    <w:rsid w:val="00CC7ED2"/>
    <w:rsid w:val="00CD0CEC"/>
    <w:rsid w:val="00CD1492"/>
    <w:rsid w:val="00CD2653"/>
    <w:rsid w:val="00CD5804"/>
    <w:rsid w:val="00CD58A6"/>
    <w:rsid w:val="00CD73FE"/>
    <w:rsid w:val="00CE1921"/>
    <w:rsid w:val="00CE47B6"/>
    <w:rsid w:val="00CE645C"/>
    <w:rsid w:val="00CE7A28"/>
    <w:rsid w:val="00CF2A66"/>
    <w:rsid w:val="00CF3A46"/>
    <w:rsid w:val="00CF4C17"/>
    <w:rsid w:val="00CF4CEA"/>
    <w:rsid w:val="00D028C2"/>
    <w:rsid w:val="00D02A88"/>
    <w:rsid w:val="00D03245"/>
    <w:rsid w:val="00D033F9"/>
    <w:rsid w:val="00D04494"/>
    <w:rsid w:val="00D04D5E"/>
    <w:rsid w:val="00D0620F"/>
    <w:rsid w:val="00D11794"/>
    <w:rsid w:val="00D12BC0"/>
    <w:rsid w:val="00D13839"/>
    <w:rsid w:val="00D13CCC"/>
    <w:rsid w:val="00D14356"/>
    <w:rsid w:val="00D15D76"/>
    <w:rsid w:val="00D2084C"/>
    <w:rsid w:val="00D22132"/>
    <w:rsid w:val="00D2221C"/>
    <w:rsid w:val="00D2365A"/>
    <w:rsid w:val="00D24601"/>
    <w:rsid w:val="00D255EF"/>
    <w:rsid w:val="00D26C49"/>
    <w:rsid w:val="00D2713C"/>
    <w:rsid w:val="00D274C3"/>
    <w:rsid w:val="00D27718"/>
    <w:rsid w:val="00D27BE9"/>
    <w:rsid w:val="00D27D89"/>
    <w:rsid w:val="00D304EE"/>
    <w:rsid w:val="00D312C0"/>
    <w:rsid w:val="00D3152B"/>
    <w:rsid w:val="00D316A2"/>
    <w:rsid w:val="00D32195"/>
    <w:rsid w:val="00D357A3"/>
    <w:rsid w:val="00D36728"/>
    <w:rsid w:val="00D371D5"/>
    <w:rsid w:val="00D41EDE"/>
    <w:rsid w:val="00D42153"/>
    <w:rsid w:val="00D44C6B"/>
    <w:rsid w:val="00D46141"/>
    <w:rsid w:val="00D46371"/>
    <w:rsid w:val="00D46707"/>
    <w:rsid w:val="00D47A1A"/>
    <w:rsid w:val="00D47A69"/>
    <w:rsid w:val="00D5396D"/>
    <w:rsid w:val="00D55C1A"/>
    <w:rsid w:val="00D56B56"/>
    <w:rsid w:val="00D57ADF"/>
    <w:rsid w:val="00D606CC"/>
    <w:rsid w:val="00D624E0"/>
    <w:rsid w:val="00D6296F"/>
    <w:rsid w:val="00D63C7C"/>
    <w:rsid w:val="00D651F5"/>
    <w:rsid w:val="00D700A4"/>
    <w:rsid w:val="00D715AA"/>
    <w:rsid w:val="00D726F0"/>
    <w:rsid w:val="00D74927"/>
    <w:rsid w:val="00D77404"/>
    <w:rsid w:val="00D80DCB"/>
    <w:rsid w:val="00D821B3"/>
    <w:rsid w:val="00D85A8C"/>
    <w:rsid w:val="00D91336"/>
    <w:rsid w:val="00D951CC"/>
    <w:rsid w:val="00D961E6"/>
    <w:rsid w:val="00D9664D"/>
    <w:rsid w:val="00DA0D3A"/>
    <w:rsid w:val="00DA2016"/>
    <w:rsid w:val="00DA3C3A"/>
    <w:rsid w:val="00DA59F7"/>
    <w:rsid w:val="00DA628E"/>
    <w:rsid w:val="00DA7114"/>
    <w:rsid w:val="00DB04EC"/>
    <w:rsid w:val="00DB0F77"/>
    <w:rsid w:val="00DB21F4"/>
    <w:rsid w:val="00DB582B"/>
    <w:rsid w:val="00DB69EA"/>
    <w:rsid w:val="00DB7125"/>
    <w:rsid w:val="00DB7A86"/>
    <w:rsid w:val="00DC3C00"/>
    <w:rsid w:val="00DC3D69"/>
    <w:rsid w:val="00DC65B6"/>
    <w:rsid w:val="00DD42AE"/>
    <w:rsid w:val="00DD519D"/>
    <w:rsid w:val="00DD5A7E"/>
    <w:rsid w:val="00DD5F81"/>
    <w:rsid w:val="00DD778C"/>
    <w:rsid w:val="00DE0572"/>
    <w:rsid w:val="00DE26B6"/>
    <w:rsid w:val="00DE3F38"/>
    <w:rsid w:val="00DE5CBC"/>
    <w:rsid w:val="00DE5CFE"/>
    <w:rsid w:val="00DE77EC"/>
    <w:rsid w:val="00DF0574"/>
    <w:rsid w:val="00DF0CF9"/>
    <w:rsid w:val="00DF13A6"/>
    <w:rsid w:val="00DF21D5"/>
    <w:rsid w:val="00DF30BA"/>
    <w:rsid w:val="00DF4E2B"/>
    <w:rsid w:val="00DF6146"/>
    <w:rsid w:val="00DF64A2"/>
    <w:rsid w:val="00DF6760"/>
    <w:rsid w:val="00DF71A8"/>
    <w:rsid w:val="00E023AE"/>
    <w:rsid w:val="00E02AF6"/>
    <w:rsid w:val="00E02BD7"/>
    <w:rsid w:val="00E04574"/>
    <w:rsid w:val="00E0742D"/>
    <w:rsid w:val="00E100A0"/>
    <w:rsid w:val="00E11FA9"/>
    <w:rsid w:val="00E1376B"/>
    <w:rsid w:val="00E15846"/>
    <w:rsid w:val="00E207B0"/>
    <w:rsid w:val="00E20CE3"/>
    <w:rsid w:val="00E21E48"/>
    <w:rsid w:val="00E222BC"/>
    <w:rsid w:val="00E22671"/>
    <w:rsid w:val="00E22F8E"/>
    <w:rsid w:val="00E240EF"/>
    <w:rsid w:val="00E31B87"/>
    <w:rsid w:val="00E32127"/>
    <w:rsid w:val="00E33C52"/>
    <w:rsid w:val="00E35386"/>
    <w:rsid w:val="00E41270"/>
    <w:rsid w:val="00E44E19"/>
    <w:rsid w:val="00E4562E"/>
    <w:rsid w:val="00E507D2"/>
    <w:rsid w:val="00E51292"/>
    <w:rsid w:val="00E51319"/>
    <w:rsid w:val="00E56020"/>
    <w:rsid w:val="00E60BF3"/>
    <w:rsid w:val="00E60F30"/>
    <w:rsid w:val="00E60F6A"/>
    <w:rsid w:val="00E617C7"/>
    <w:rsid w:val="00E62BAA"/>
    <w:rsid w:val="00E63A84"/>
    <w:rsid w:val="00E64129"/>
    <w:rsid w:val="00E661AD"/>
    <w:rsid w:val="00E67937"/>
    <w:rsid w:val="00E67D70"/>
    <w:rsid w:val="00E70D49"/>
    <w:rsid w:val="00E727CA"/>
    <w:rsid w:val="00E736C5"/>
    <w:rsid w:val="00E744D8"/>
    <w:rsid w:val="00E7739A"/>
    <w:rsid w:val="00E8184F"/>
    <w:rsid w:val="00E82C63"/>
    <w:rsid w:val="00E91732"/>
    <w:rsid w:val="00E91FE6"/>
    <w:rsid w:val="00E9202D"/>
    <w:rsid w:val="00E924A7"/>
    <w:rsid w:val="00E924C6"/>
    <w:rsid w:val="00E97776"/>
    <w:rsid w:val="00E97E82"/>
    <w:rsid w:val="00EA31AB"/>
    <w:rsid w:val="00EA4208"/>
    <w:rsid w:val="00EA54CA"/>
    <w:rsid w:val="00EB36BC"/>
    <w:rsid w:val="00EB5782"/>
    <w:rsid w:val="00EC12BC"/>
    <w:rsid w:val="00EC4963"/>
    <w:rsid w:val="00EC5957"/>
    <w:rsid w:val="00ED2394"/>
    <w:rsid w:val="00ED4D6E"/>
    <w:rsid w:val="00ED62A5"/>
    <w:rsid w:val="00EE19DF"/>
    <w:rsid w:val="00EE3FD8"/>
    <w:rsid w:val="00EE57D1"/>
    <w:rsid w:val="00EE5E49"/>
    <w:rsid w:val="00EE5E84"/>
    <w:rsid w:val="00EE5F10"/>
    <w:rsid w:val="00EF0E9B"/>
    <w:rsid w:val="00EF3183"/>
    <w:rsid w:val="00EF79A9"/>
    <w:rsid w:val="00F05785"/>
    <w:rsid w:val="00F06259"/>
    <w:rsid w:val="00F12035"/>
    <w:rsid w:val="00F12B8D"/>
    <w:rsid w:val="00F1306F"/>
    <w:rsid w:val="00F21CCF"/>
    <w:rsid w:val="00F22556"/>
    <w:rsid w:val="00F229EC"/>
    <w:rsid w:val="00F26377"/>
    <w:rsid w:val="00F31AB6"/>
    <w:rsid w:val="00F31C28"/>
    <w:rsid w:val="00F40436"/>
    <w:rsid w:val="00F418A8"/>
    <w:rsid w:val="00F42750"/>
    <w:rsid w:val="00F44CFD"/>
    <w:rsid w:val="00F47E48"/>
    <w:rsid w:val="00F50CB2"/>
    <w:rsid w:val="00F51CC6"/>
    <w:rsid w:val="00F51FCB"/>
    <w:rsid w:val="00F525E5"/>
    <w:rsid w:val="00F53EE2"/>
    <w:rsid w:val="00F600A5"/>
    <w:rsid w:val="00F60345"/>
    <w:rsid w:val="00F623A7"/>
    <w:rsid w:val="00F62EF7"/>
    <w:rsid w:val="00F632DC"/>
    <w:rsid w:val="00F636C8"/>
    <w:rsid w:val="00F63BA9"/>
    <w:rsid w:val="00F654FA"/>
    <w:rsid w:val="00F659C1"/>
    <w:rsid w:val="00F671AF"/>
    <w:rsid w:val="00F67F5D"/>
    <w:rsid w:val="00F701BF"/>
    <w:rsid w:val="00F70AC0"/>
    <w:rsid w:val="00F70E39"/>
    <w:rsid w:val="00F71515"/>
    <w:rsid w:val="00F71D6B"/>
    <w:rsid w:val="00F72F2B"/>
    <w:rsid w:val="00F730E3"/>
    <w:rsid w:val="00F733AB"/>
    <w:rsid w:val="00F76727"/>
    <w:rsid w:val="00F80169"/>
    <w:rsid w:val="00F81B6F"/>
    <w:rsid w:val="00F81BF9"/>
    <w:rsid w:val="00F83EBF"/>
    <w:rsid w:val="00F85048"/>
    <w:rsid w:val="00F878FF"/>
    <w:rsid w:val="00F879F6"/>
    <w:rsid w:val="00F9014E"/>
    <w:rsid w:val="00F90FF5"/>
    <w:rsid w:val="00F96223"/>
    <w:rsid w:val="00F96A8A"/>
    <w:rsid w:val="00F97A21"/>
    <w:rsid w:val="00FA01B6"/>
    <w:rsid w:val="00FA026B"/>
    <w:rsid w:val="00FA41E6"/>
    <w:rsid w:val="00FA4F4C"/>
    <w:rsid w:val="00FB211D"/>
    <w:rsid w:val="00FB2E1B"/>
    <w:rsid w:val="00FB6EA7"/>
    <w:rsid w:val="00FC0642"/>
    <w:rsid w:val="00FC2CF1"/>
    <w:rsid w:val="00FC414C"/>
    <w:rsid w:val="00FC5E40"/>
    <w:rsid w:val="00FC76D1"/>
    <w:rsid w:val="00FC7A8F"/>
    <w:rsid w:val="00FD1F8B"/>
    <w:rsid w:val="00FD3865"/>
    <w:rsid w:val="00FD428E"/>
    <w:rsid w:val="00FD479C"/>
    <w:rsid w:val="00FD5744"/>
    <w:rsid w:val="00FD5A60"/>
    <w:rsid w:val="00FD782F"/>
    <w:rsid w:val="00FE17A4"/>
    <w:rsid w:val="00FE5B02"/>
    <w:rsid w:val="00FE63F0"/>
    <w:rsid w:val="00FE72D2"/>
    <w:rsid w:val="00FE79A6"/>
    <w:rsid w:val="00FF098F"/>
    <w:rsid w:val="00FF0B52"/>
    <w:rsid w:val="00FF1037"/>
    <w:rsid w:val="00FF1F6F"/>
    <w:rsid w:val="00FF22BA"/>
    <w:rsid w:val="00FF3D79"/>
    <w:rsid w:val="00FF5DD3"/>
    <w:rsid w:val="00FF6B26"/>
    <w:rsid w:val="00FF6F31"/>
    <w:rsid w:val="00FF705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84CB2-CF01-4414-8562-712F448C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FCA"/>
    <w:pP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Arial" w:hAnsi="Arial"/>
      <w:sz w:val="24"/>
    </w:rPr>
  </w:style>
  <w:style w:type="paragraph" w:styleId="Ttulo1">
    <w:name w:val="heading 1"/>
    <w:basedOn w:val="Normal"/>
    <w:next w:val="Normal"/>
    <w:link w:val="Ttulo1Char"/>
    <w:qFormat/>
    <w:rsid w:val="0065577B"/>
    <w:pPr>
      <w:keepNext/>
      <w:spacing w:before="240" w:after="60"/>
      <w:outlineLvl w:val="0"/>
    </w:pPr>
    <w:rPr>
      <w:b/>
      <w:kern w:val="28"/>
    </w:rPr>
  </w:style>
  <w:style w:type="paragraph" w:styleId="Ttulo2">
    <w:name w:val="heading 2"/>
    <w:basedOn w:val="Normal"/>
    <w:next w:val="Normal"/>
    <w:link w:val="Ttulo2Char"/>
    <w:qFormat/>
    <w:rsid w:val="0065577B"/>
    <w:pPr>
      <w:keepNext/>
      <w:tabs>
        <w:tab w:val="clear" w:pos="851"/>
        <w:tab w:val="clear" w:pos="1701"/>
        <w:tab w:val="clear" w:pos="2552"/>
        <w:tab w:val="clear" w:pos="3402"/>
        <w:tab w:val="clear" w:pos="4253"/>
        <w:tab w:val="clear" w:pos="5103"/>
        <w:tab w:val="clear" w:pos="5954"/>
        <w:tab w:val="clear" w:pos="6804"/>
        <w:tab w:val="clear" w:pos="7655"/>
        <w:tab w:val="clear" w:pos="8505"/>
        <w:tab w:val="center" w:pos="4224"/>
      </w:tabs>
      <w:outlineLvl w:val="1"/>
    </w:pPr>
    <w:rPr>
      <w:b/>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65577B"/>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paragraph" w:styleId="Rodap">
    <w:name w:val="footer"/>
    <w:basedOn w:val="Normal"/>
    <w:link w:val="RodapChar"/>
    <w:rsid w:val="00122AFE"/>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character" w:styleId="Nmerodepgina">
    <w:name w:val="page number"/>
    <w:basedOn w:val="Fontepargpadro"/>
    <w:rsid w:val="0065577B"/>
  </w:style>
  <w:style w:type="character" w:styleId="Hyperlink">
    <w:name w:val="Hyperlink"/>
    <w:rsid w:val="0065577B"/>
    <w:rPr>
      <w:color w:val="0000FF"/>
      <w:u w:val="single"/>
    </w:rPr>
  </w:style>
  <w:style w:type="paragraph" w:customStyle="1" w:styleId="CitaoF6">
    <w:name w:val="Citação (F6)"/>
    <w:basedOn w:val="Normal"/>
    <w:rsid w:val="007223B4"/>
    <w:pPr>
      <w:spacing w:before="120" w:after="120"/>
      <w:ind w:left="1134" w:right="1134"/>
    </w:pPr>
    <w:rPr>
      <w:b/>
      <w:i/>
    </w:rPr>
  </w:style>
  <w:style w:type="paragraph" w:customStyle="1" w:styleId="PetioF9">
    <w:name w:val="Petição (F9)"/>
    <w:basedOn w:val="Normal"/>
    <w:rsid w:val="00122AFE"/>
    <w:pPr>
      <w:spacing w:line="360" w:lineRule="auto"/>
      <w:ind w:firstLine="3402"/>
    </w:pPr>
  </w:style>
  <w:style w:type="table" w:styleId="Tabelacomgrade">
    <w:name w:val="Table Grid"/>
    <w:basedOn w:val="Tabelanormal"/>
    <w:rsid w:val="00CD0CEC"/>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rsid w:val="00243B9B"/>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9639"/>
      </w:tabs>
    </w:pPr>
    <w:rPr>
      <w:smallCaps/>
      <w:spacing w:val="4"/>
      <w:kern w:val="20"/>
      <w:sz w:val="16"/>
    </w:rPr>
  </w:style>
  <w:style w:type="paragraph" w:styleId="Textodebalo">
    <w:name w:val="Balloon Text"/>
    <w:basedOn w:val="Normal"/>
    <w:link w:val="TextodebaloChar"/>
    <w:rsid w:val="00380F31"/>
    <w:rPr>
      <w:rFonts w:ascii="Tahoma" w:hAnsi="Tahoma" w:cs="Tahoma"/>
      <w:sz w:val="16"/>
      <w:szCs w:val="16"/>
    </w:rPr>
  </w:style>
  <w:style w:type="character" w:customStyle="1" w:styleId="TextodebaloChar">
    <w:name w:val="Texto de balão Char"/>
    <w:link w:val="Textodebalo"/>
    <w:rsid w:val="00380F31"/>
    <w:rPr>
      <w:rFonts w:ascii="Tahoma" w:hAnsi="Tahoma" w:cs="Tahoma"/>
      <w:sz w:val="16"/>
      <w:szCs w:val="16"/>
    </w:rPr>
  </w:style>
  <w:style w:type="paragraph" w:styleId="Citao">
    <w:name w:val="Quote"/>
    <w:basedOn w:val="Normal"/>
    <w:next w:val="Normal"/>
    <w:link w:val="CitaoChar"/>
    <w:autoRedefine/>
    <w:uiPriority w:val="29"/>
    <w:qFormat/>
    <w:rsid w:val="009074BA"/>
    <w:rPr>
      <w:i/>
      <w:iCs/>
      <w:color w:val="000000" w:themeColor="text1"/>
    </w:rPr>
  </w:style>
  <w:style w:type="character" w:customStyle="1" w:styleId="CitaoChar">
    <w:name w:val="Citação Char"/>
    <w:basedOn w:val="Fontepargpadro"/>
    <w:link w:val="Citao"/>
    <w:uiPriority w:val="29"/>
    <w:rsid w:val="009074BA"/>
    <w:rPr>
      <w:rFonts w:ascii="Arial" w:hAnsi="Arial"/>
      <w:i/>
      <w:iCs/>
      <w:color w:val="000000" w:themeColor="text1"/>
      <w:sz w:val="24"/>
    </w:rPr>
  </w:style>
  <w:style w:type="paragraph" w:customStyle="1" w:styleId="Default">
    <w:name w:val="Default"/>
    <w:rsid w:val="009E1D9E"/>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EF3183"/>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hAnsi="Times New Roman"/>
      <w:szCs w:val="24"/>
    </w:rPr>
  </w:style>
  <w:style w:type="character" w:customStyle="1" w:styleId="apple-converted-space">
    <w:name w:val="apple-converted-space"/>
    <w:basedOn w:val="Fontepargpadro"/>
    <w:rsid w:val="00EF3183"/>
  </w:style>
  <w:style w:type="character" w:customStyle="1" w:styleId="destacapalavras">
    <w:name w:val="destaca_palavras"/>
    <w:basedOn w:val="Fontepargpadro"/>
    <w:rsid w:val="00876483"/>
  </w:style>
  <w:style w:type="character" w:styleId="nfase">
    <w:name w:val="Emphasis"/>
    <w:basedOn w:val="Fontepargpadro"/>
    <w:uiPriority w:val="20"/>
    <w:qFormat/>
    <w:rsid w:val="0093139B"/>
    <w:rPr>
      <w:i/>
      <w:iCs/>
    </w:rPr>
  </w:style>
  <w:style w:type="paragraph" w:styleId="Textodenotaderodap">
    <w:name w:val="footnote text"/>
    <w:aliases w:val="Texto de nota de rodapé Char Char Char,Texto de nota de rodapé Char Char Char Char Char,Texto de nota de rodapé1,Texto de nota de rodapé1 Char Char Char Char,Char"/>
    <w:basedOn w:val="Normal"/>
    <w:link w:val="TextodenotaderodapChar"/>
    <w:rsid w:val="00C51675"/>
    <w:rPr>
      <w:sz w:val="20"/>
    </w:rPr>
  </w:style>
  <w:style w:type="character" w:customStyle="1" w:styleId="TextodenotaderodapChar">
    <w:name w:val="Texto de nota de rodapé Char"/>
    <w:aliases w:val="Texto de nota de rodapé Char Char Char Char,Texto de nota de rodapé Char Char Char Char Char Char,Texto de nota de rodapé1 Char,Texto de nota de rodapé1 Char Char Char Char Char,Char Char"/>
    <w:basedOn w:val="Fontepargpadro"/>
    <w:link w:val="Textodenotaderodap"/>
    <w:rsid w:val="00C51675"/>
    <w:rPr>
      <w:rFonts w:ascii="Arial" w:hAnsi="Arial"/>
    </w:rPr>
  </w:style>
  <w:style w:type="character" w:styleId="Refdenotaderodap">
    <w:name w:val="footnote reference"/>
    <w:basedOn w:val="Fontepargpadro"/>
    <w:rsid w:val="00C51675"/>
    <w:rPr>
      <w:vertAlign w:val="superscript"/>
    </w:rPr>
  </w:style>
  <w:style w:type="character" w:styleId="HiperlinkVisitado">
    <w:name w:val="FollowedHyperlink"/>
    <w:basedOn w:val="Fontepargpadro"/>
    <w:rsid w:val="009D1CD5"/>
    <w:rPr>
      <w:color w:val="800080" w:themeColor="followedHyperlink"/>
      <w:u w:val="single"/>
    </w:rPr>
  </w:style>
  <w:style w:type="character" w:customStyle="1" w:styleId="textochar">
    <w:name w:val="texto__char"/>
    <w:basedOn w:val="Fontepargpadro"/>
    <w:rsid w:val="00371EE5"/>
  </w:style>
  <w:style w:type="paragraph" w:customStyle="1" w:styleId="Ttulo10">
    <w:name w:val="Título1"/>
    <w:basedOn w:val="Normal"/>
    <w:rsid w:val="00371EE5"/>
    <w:pPr>
      <w:tabs>
        <w:tab w:val="clear" w:pos="851"/>
        <w:tab w:val="clear" w:pos="1701"/>
        <w:tab w:val="clear" w:pos="2552"/>
        <w:tab w:val="clear" w:pos="3402"/>
        <w:tab w:val="clear" w:pos="4253"/>
        <w:tab w:val="clear" w:pos="5103"/>
        <w:tab w:val="clear" w:pos="5954"/>
        <w:tab w:val="clear" w:pos="6804"/>
        <w:tab w:val="clear" w:pos="7655"/>
        <w:tab w:val="clear" w:pos="8505"/>
      </w:tabs>
      <w:spacing w:before="300" w:after="160" w:line="260" w:lineRule="atLeast"/>
      <w:jc w:val="center"/>
    </w:pPr>
    <w:rPr>
      <w:rFonts w:ascii="Trebuchet MS" w:hAnsi="Trebuchet MS"/>
      <w:color w:val="000000"/>
      <w:sz w:val="23"/>
      <w:szCs w:val="23"/>
    </w:rPr>
  </w:style>
  <w:style w:type="character" w:customStyle="1" w:styleId="CabealhoChar">
    <w:name w:val="Cabeçalho Char"/>
    <w:basedOn w:val="Fontepargpadro"/>
    <w:link w:val="Cabealho"/>
    <w:rsid w:val="0046369E"/>
    <w:rPr>
      <w:rFonts w:ascii="Arial" w:hAnsi="Arial"/>
      <w:sz w:val="24"/>
    </w:rPr>
  </w:style>
  <w:style w:type="paragraph" w:customStyle="1" w:styleId="Preformatted">
    <w:name w:val="Preformatted"/>
    <w:basedOn w:val="Normal"/>
    <w:rsid w:val="0046369E"/>
    <w:pPr>
      <w:tabs>
        <w:tab w:val="clear" w:pos="851"/>
        <w:tab w:val="clear" w:pos="1701"/>
        <w:tab w:val="clear" w:pos="2552"/>
        <w:tab w:val="clear" w:pos="3402"/>
        <w:tab w:val="clear" w:pos="4253"/>
        <w:tab w:val="clear" w:pos="5103"/>
        <w:tab w:val="clear" w:pos="5954"/>
        <w:tab w:val="clear" w:pos="6804"/>
        <w:tab w:val="clear" w:pos="7655"/>
        <w:tab w:val="clear" w:pos="8505"/>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character" w:styleId="Forte">
    <w:name w:val="Strong"/>
    <w:basedOn w:val="Fontepargpadro"/>
    <w:qFormat/>
    <w:rsid w:val="0046369E"/>
    <w:rPr>
      <w:b/>
    </w:rPr>
  </w:style>
  <w:style w:type="character" w:customStyle="1" w:styleId="Ttulo1Char">
    <w:name w:val="Título 1 Char"/>
    <w:basedOn w:val="Fontepargpadro"/>
    <w:link w:val="Ttulo1"/>
    <w:rsid w:val="003D5655"/>
    <w:rPr>
      <w:rFonts w:ascii="Arial" w:hAnsi="Arial"/>
      <w:b/>
      <w:kern w:val="28"/>
      <w:sz w:val="24"/>
    </w:rPr>
  </w:style>
  <w:style w:type="character" w:customStyle="1" w:styleId="Ttulo2Char">
    <w:name w:val="Título 2 Char"/>
    <w:basedOn w:val="Fontepargpadro"/>
    <w:link w:val="Ttulo2"/>
    <w:rsid w:val="003D5655"/>
    <w:rPr>
      <w:rFonts w:ascii="Arial" w:hAnsi="Arial"/>
      <w:b/>
      <w:sz w:val="16"/>
    </w:rPr>
  </w:style>
  <w:style w:type="character" w:customStyle="1" w:styleId="RodapChar">
    <w:name w:val="Rodapé Char"/>
    <w:basedOn w:val="Fontepargpadro"/>
    <w:link w:val="Rodap"/>
    <w:rsid w:val="003D5655"/>
    <w:rPr>
      <w:rFonts w:ascii="Arial" w:hAnsi="Arial"/>
      <w:sz w:val="24"/>
    </w:rPr>
  </w:style>
  <w:style w:type="character" w:customStyle="1" w:styleId="CorpodetextoChar">
    <w:name w:val="Corpo de texto Char"/>
    <w:basedOn w:val="Fontepargpadro"/>
    <w:link w:val="Corpodetexto"/>
    <w:rsid w:val="003D5655"/>
    <w:rPr>
      <w:rFonts w:ascii="Arial" w:hAnsi="Arial"/>
      <w:smallCaps/>
      <w:spacing w:val="4"/>
      <w:kern w:val="20"/>
      <w:sz w:val="16"/>
    </w:rPr>
  </w:style>
  <w:style w:type="paragraph" w:styleId="PargrafodaLista">
    <w:name w:val="List Paragraph"/>
    <w:basedOn w:val="Normal"/>
    <w:uiPriority w:val="34"/>
    <w:qFormat/>
    <w:rsid w:val="00D11794"/>
    <w:pPr>
      <w:ind w:left="720"/>
      <w:contextualSpacing/>
    </w:pPr>
  </w:style>
  <w:style w:type="paragraph" w:customStyle="1" w:styleId="artigo">
    <w:name w:val="artigo"/>
    <w:basedOn w:val="Normal"/>
    <w:rsid w:val="001B2961"/>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3999">
      <w:bodyDiv w:val="1"/>
      <w:marLeft w:val="0"/>
      <w:marRight w:val="0"/>
      <w:marTop w:val="0"/>
      <w:marBottom w:val="0"/>
      <w:divBdr>
        <w:top w:val="none" w:sz="0" w:space="0" w:color="auto"/>
        <w:left w:val="none" w:sz="0" w:space="0" w:color="auto"/>
        <w:bottom w:val="none" w:sz="0" w:space="0" w:color="auto"/>
        <w:right w:val="none" w:sz="0" w:space="0" w:color="auto"/>
      </w:divBdr>
    </w:div>
    <w:div w:id="185951016">
      <w:bodyDiv w:val="1"/>
      <w:marLeft w:val="0"/>
      <w:marRight w:val="0"/>
      <w:marTop w:val="0"/>
      <w:marBottom w:val="0"/>
      <w:divBdr>
        <w:top w:val="none" w:sz="0" w:space="0" w:color="auto"/>
        <w:left w:val="none" w:sz="0" w:space="0" w:color="auto"/>
        <w:bottom w:val="none" w:sz="0" w:space="0" w:color="auto"/>
        <w:right w:val="none" w:sz="0" w:space="0" w:color="auto"/>
      </w:divBdr>
    </w:div>
    <w:div w:id="203906736">
      <w:bodyDiv w:val="1"/>
      <w:marLeft w:val="0"/>
      <w:marRight w:val="0"/>
      <w:marTop w:val="0"/>
      <w:marBottom w:val="0"/>
      <w:divBdr>
        <w:top w:val="none" w:sz="0" w:space="0" w:color="auto"/>
        <w:left w:val="none" w:sz="0" w:space="0" w:color="auto"/>
        <w:bottom w:val="none" w:sz="0" w:space="0" w:color="auto"/>
        <w:right w:val="none" w:sz="0" w:space="0" w:color="auto"/>
      </w:divBdr>
    </w:div>
    <w:div w:id="222062194">
      <w:bodyDiv w:val="1"/>
      <w:marLeft w:val="0"/>
      <w:marRight w:val="0"/>
      <w:marTop w:val="0"/>
      <w:marBottom w:val="0"/>
      <w:divBdr>
        <w:top w:val="none" w:sz="0" w:space="0" w:color="auto"/>
        <w:left w:val="none" w:sz="0" w:space="0" w:color="auto"/>
        <w:bottom w:val="none" w:sz="0" w:space="0" w:color="auto"/>
        <w:right w:val="none" w:sz="0" w:space="0" w:color="auto"/>
      </w:divBdr>
    </w:div>
    <w:div w:id="518927882">
      <w:bodyDiv w:val="1"/>
      <w:marLeft w:val="0"/>
      <w:marRight w:val="0"/>
      <w:marTop w:val="0"/>
      <w:marBottom w:val="0"/>
      <w:divBdr>
        <w:top w:val="none" w:sz="0" w:space="0" w:color="auto"/>
        <w:left w:val="none" w:sz="0" w:space="0" w:color="auto"/>
        <w:bottom w:val="none" w:sz="0" w:space="0" w:color="auto"/>
        <w:right w:val="none" w:sz="0" w:space="0" w:color="auto"/>
      </w:divBdr>
    </w:div>
    <w:div w:id="1216310239">
      <w:bodyDiv w:val="1"/>
      <w:marLeft w:val="0"/>
      <w:marRight w:val="0"/>
      <w:marTop w:val="0"/>
      <w:marBottom w:val="0"/>
      <w:divBdr>
        <w:top w:val="none" w:sz="0" w:space="0" w:color="auto"/>
        <w:left w:val="none" w:sz="0" w:space="0" w:color="auto"/>
        <w:bottom w:val="none" w:sz="0" w:space="0" w:color="auto"/>
        <w:right w:val="none" w:sz="0" w:space="0" w:color="auto"/>
      </w:divBdr>
    </w:div>
    <w:div w:id="1345404848">
      <w:bodyDiv w:val="1"/>
      <w:marLeft w:val="0"/>
      <w:marRight w:val="0"/>
      <w:marTop w:val="0"/>
      <w:marBottom w:val="0"/>
      <w:divBdr>
        <w:top w:val="none" w:sz="0" w:space="0" w:color="auto"/>
        <w:left w:val="none" w:sz="0" w:space="0" w:color="auto"/>
        <w:bottom w:val="none" w:sz="0" w:space="0" w:color="auto"/>
        <w:right w:val="none" w:sz="0" w:space="0" w:color="auto"/>
      </w:divBdr>
    </w:div>
    <w:div w:id="1360156854">
      <w:bodyDiv w:val="1"/>
      <w:marLeft w:val="0"/>
      <w:marRight w:val="0"/>
      <w:marTop w:val="0"/>
      <w:marBottom w:val="0"/>
      <w:divBdr>
        <w:top w:val="none" w:sz="0" w:space="0" w:color="auto"/>
        <w:left w:val="none" w:sz="0" w:space="0" w:color="auto"/>
        <w:bottom w:val="none" w:sz="0" w:space="0" w:color="auto"/>
        <w:right w:val="none" w:sz="0" w:space="0" w:color="auto"/>
      </w:divBdr>
    </w:div>
    <w:div w:id="1453790728">
      <w:bodyDiv w:val="1"/>
      <w:marLeft w:val="0"/>
      <w:marRight w:val="0"/>
      <w:marTop w:val="0"/>
      <w:marBottom w:val="0"/>
      <w:divBdr>
        <w:top w:val="none" w:sz="0" w:space="0" w:color="auto"/>
        <w:left w:val="none" w:sz="0" w:space="0" w:color="auto"/>
        <w:bottom w:val="none" w:sz="0" w:space="0" w:color="auto"/>
        <w:right w:val="none" w:sz="0" w:space="0" w:color="auto"/>
      </w:divBdr>
    </w:div>
    <w:div w:id="1583178162">
      <w:bodyDiv w:val="1"/>
      <w:marLeft w:val="0"/>
      <w:marRight w:val="0"/>
      <w:marTop w:val="0"/>
      <w:marBottom w:val="0"/>
      <w:divBdr>
        <w:top w:val="none" w:sz="0" w:space="0" w:color="auto"/>
        <w:left w:val="none" w:sz="0" w:space="0" w:color="auto"/>
        <w:bottom w:val="none" w:sz="0" w:space="0" w:color="auto"/>
        <w:right w:val="none" w:sz="0" w:space="0" w:color="auto"/>
      </w:divBdr>
    </w:div>
    <w:div w:id="1620145850">
      <w:bodyDiv w:val="1"/>
      <w:marLeft w:val="0"/>
      <w:marRight w:val="0"/>
      <w:marTop w:val="0"/>
      <w:marBottom w:val="0"/>
      <w:divBdr>
        <w:top w:val="none" w:sz="0" w:space="0" w:color="auto"/>
        <w:left w:val="none" w:sz="0" w:space="0" w:color="auto"/>
        <w:bottom w:val="none" w:sz="0" w:space="0" w:color="auto"/>
        <w:right w:val="none" w:sz="0" w:space="0" w:color="auto"/>
      </w:divBdr>
    </w:div>
    <w:div w:id="1657148817">
      <w:bodyDiv w:val="1"/>
      <w:marLeft w:val="0"/>
      <w:marRight w:val="0"/>
      <w:marTop w:val="0"/>
      <w:marBottom w:val="0"/>
      <w:divBdr>
        <w:top w:val="none" w:sz="0" w:space="0" w:color="auto"/>
        <w:left w:val="none" w:sz="0" w:space="0" w:color="auto"/>
        <w:bottom w:val="none" w:sz="0" w:space="0" w:color="auto"/>
        <w:right w:val="none" w:sz="0" w:space="0" w:color="auto"/>
      </w:divBdr>
    </w:div>
    <w:div w:id="1815830315">
      <w:bodyDiv w:val="1"/>
      <w:marLeft w:val="0"/>
      <w:marRight w:val="0"/>
      <w:marTop w:val="0"/>
      <w:marBottom w:val="0"/>
      <w:divBdr>
        <w:top w:val="none" w:sz="0" w:space="0" w:color="auto"/>
        <w:left w:val="none" w:sz="0" w:space="0" w:color="auto"/>
        <w:bottom w:val="none" w:sz="0" w:space="0" w:color="auto"/>
        <w:right w:val="none" w:sz="0" w:space="0" w:color="auto"/>
      </w:divBdr>
    </w:div>
    <w:div w:id="1875732593">
      <w:bodyDiv w:val="1"/>
      <w:marLeft w:val="0"/>
      <w:marRight w:val="0"/>
      <w:marTop w:val="0"/>
      <w:marBottom w:val="0"/>
      <w:divBdr>
        <w:top w:val="none" w:sz="0" w:space="0" w:color="auto"/>
        <w:left w:val="none" w:sz="0" w:space="0" w:color="auto"/>
        <w:bottom w:val="none" w:sz="0" w:space="0" w:color="auto"/>
        <w:right w:val="none" w:sz="0" w:space="0" w:color="auto"/>
      </w:divBdr>
    </w:div>
    <w:div w:id="19310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lanalto.gov.br/ccivil_03/LEIS/L9427cons.ht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vladimir@abrainc.org.br" TargetMode="External"/><Relationship Id="rId17" Type="http://schemas.openxmlformats.org/officeDocument/2006/relationships/hyperlink" Target="mailto:rodrigogarcia@dgcgt.com.br" TargetMode="External"/><Relationship Id="rId2" Type="http://schemas.openxmlformats.org/officeDocument/2006/relationships/customXml" Target="../customXml/item2.xml"/><Relationship Id="rId16" Type="http://schemas.openxmlformats.org/officeDocument/2006/relationships/hyperlink" Target="mailto:serranetto@dgcgt.com.b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ventura@abrainc.org.b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arceloterra@dgcgt.com.b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analto.gov.br/ccivil_03/LEIS/L9648cons.htm"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aeseletropaulo.com.br/padroes-e-normas-tecnicas/manuais-normas-tecnicas-e-de-seguranca/Documents/LIG%20AT.pdf" TargetMode="External"/><Relationship Id="rId2" Type="http://schemas.openxmlformats.org/officeDocument/2006/relationships/hyperlink" Target="https://www.aeseletropaulo.com.br/padroes-e-normas-tecnicas/manuais-normas-tecnicas-e-de-seguranca/LIG%20MT%202011/LIG_MT_2011_VAC.pdf" TargetMode="External"/><Relationship Id="rId1" Type="http://schemas.openxmlformats.org/officeDocument/2006/relationships/hyperlink" Target="https://www.aeseletropaulo.com.br/padroes-e-normas-tecnicas/manuais-normas-tecnicas-e-de-seguranca/Documents/LIG%20AT.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adroes\CartaFax.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liente xmlns="836fddcb-9dff-41be-b133-8c854f6dfd3d">ABRAINC - ASSOCIAÇÃO BRASILEIRA DOS INCORPORADORES</Cliente>
    <Descricao xmlns="836fddcb-9dff-41be-b133-8c854f6dfd3d">Estudo sobre a abrangência do conceito de consumidor e co-participação no PRODIST, em relação à exigência das dustribuidoras de energia para que as incorporadoras providenciem infraestrutura diferenciada (subestações) a seus empreendimentos.</Descricao>
    <Autor xmlns="836fddcb-9dff-41be-b133-8c854f6dfd3d">Rodrigo Scalamandré Duarte Garcia </Autor>
    <Processo xmlns="836fddcb-9dff-41be-b133-8c854f6dfd3d">002.01 SUBESTAÇÃO - ELETROPAULO</Processo>
    <Area xmlns="836fddcb-9dff-41be-b133-8c854f6dfd3d">Administrativo</Area>
    <Editor0 xmlns="836fddcb-9dff-41be-b133-8c854f6dfd3d" xsi:nil="true"/>
    <Caso xmlns="836fddcb-9dff-41be-b133-8c854f6dfd3d">002.01 SUBESTAÇÃO - ELETROPAULO</Caso>
    <UltimaAtualizacao xmlns="836fddcb-9dff-41be-b133-8c854f6dfd3d">08/05/2015 14:57:28 por rsdg</UltimaAtualizacao>
    <SubProcesso xmlns="836fddcb-9dff-41be-b133-8c854f6dfd3d">002.01</SubProcesso>
    <TipoDocumento xmlns="836fddcb-9dff-41be-b133-8c854f6dfd3d">estudo</TipoDocumento>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41C2DB8ADCAC5498233372F07061905" ma:contentTypeVersion="11" ma:contentTypeDescription="Crie um novo documento." ma:contentTypeScope="" ma:versionID="da204519da833b4ca110153a35f0119e">
  <xsd:schema xmlns:xsd="http://www.w3.org/2001/XMLSchema" xmlns:xs="http://www.w3.org/2001/XMLSchema" xmlns:p="http://schemas.microsoft.com/office/2006/metadata/properties" xmlns:ns2="836fddcb-9dff-41be-b133-8c854f6dfd3d" targetNamespace="http://schemas.microsoft.com/office/2006/metadata/properties" ma:root="true" ma:fieldsID="97dd2b04faad2125390af15fc832ddff" ns2:_="">
    <xsd:import namespace="836fddcb-9dff-41be-b133-8c854f6dfd3d"/>
    <xsd:element name="properties">
      <xsd:complexType>
        <xsd:sequence>
          <xsd:element name="documentManagement">
            <xsd:complexType>
              <xsd:all>
                <xsd:element ref="ns2:Processo" minOccurs="0"/>
                <xsd:element ref="ns2:SubProcesso" minOccurs="0"/>
                <xsd:element ref="ns2:TipoDocumento" minOccurs="0"/>
                <xsd:element ref="ns2:Area" minOccurs="0"/>
                <xsd:element ref="ns2:Autor" minOccurs="0"/>
                <xsd:element ref="ns2:UltimaAtualizacao" minOccurs="0"/>
                <xsd:element ref="ns2:Descricao" minOccurs="0"/>
                <xsd:element ref="ns2:Cliente" minOccurs="0"/>
                <xsd:element ref="ns2:Caso" minOccurs="0"/>
                <xsd:element ref="ns2:Edito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fddcb-9dff-41be-b133-8c854f6dfd3d" elementFormDefault="qualified">
    <xsd:import namespace="http://schemas.microsoft.com/office/2006/documentManagement/types"/>
    <xsd:import namespace="http://schemas.microsoft.com/office/infopath/2007/PartnerControls"/>
    <xsd:element name="Processo" ma:index="8" nillable="true" ma:displayName="Processo" ma:internalName="Processo">
      <xsd:simpleType>
        <xsd:restriction base="dms:Text">
          <xsd:maxLength value="255"/>
        </xsd:restriction>
      </xsd:simpleType>
    </xsd:element>
    <xsd:element name="SubProcesso" ma:index="9" nillable="true" ma:displayName="SubProcesso" ma:internalName="SubProcesso">
      <xsd:simpleType>
        <xsd:restriction base="dms:Text">
          <xsd:maxLength value="255"/>
        </xsd:restriction>
      </xsd:simpleType>
    </xsd:element>
    <xsd:element name="TipoDocumento" ma:index="10" nillable="true" ma:displayName="Tipo Documento" ma:internalName="TipoDocumento">
      <xsd:simpleType>
        <xsd:restriction base="dms:Text">
          <xsd:maxLength value="255"/>
        </xsd:restriction>
      </xsd:simpleType>
    </xsd:element>
    <xsd:element name="Area" ma:index="11" nillable="true" ma:displayName="Área" ma:internalName="Area">
      <xsd:simpleType>
        <xsd:restriction base="dms:Text">
          <xsd:maxLength value="255"/>
        </xsd:restriction>
      </xsd:simpleType>
    </xsd:element>
    <xsd:element name="Autor" ma:index="12" nillable="true" ma:displayName="Autor" ma:internalName="Autor">
      <xsd:simpleType>
        <xsd:restriction base="dms:Text">
          <xsd:maxLength value="255"/>
        </xsd:restriction>
      </xsd:simpleType>
    </xsd:element>
    <xsd:element name="UltimaAtualizacao" ma:index="13" nillable="true" ma:displayName="Última Atualização" ma:internalName="UltimaAtualizacao">
      <xsd:simpleType>
        <xsd:restriction base="dms:Text">
          <xsd:maxLength value="255"/>
        </xsd:restriction>
      </xsd:simpleType>
    </xsd:element>
    <xsd:element name="Descricao" ma:index="14" nillable="true" ma:displayName="Descrição" ma:internalName="Descricao">
      <xsd:simpleType>
        <xsd:restriction base="dms:Note">
          <xsd:maxLength value="255"/>
        </xsd:restriction>
      </xsd:simpleType>
    </xsd:element>
    <xsd:element name="Cliente" ma:index="15" nillable="true" ma:displayName="Cliente" ma:description="Cliente DGCGT" ma:internalName="Cliente">
      <xsd:simpleType>
        <xsd:restriction base="dms:Text">
          <xsd:maxLength value="255"/>
        </xsd:restriction>
      </xsd:simpleType>
    </xsd:element>
    <xsd:element name="Caso" ma:index="16" nillable="true" ma:displayName="Caso" ma:internalName="Caso">
      <xsd:simpleType>
        <xsd:restriction base="dms:Text">
          <xsd:maxLength value="255"/>
        </xsd:restriction>
      </xsd:simpleType>
    </xsd:element>
    <xsd:element name="Editor0" ma:index="17" nillable="true" ma:displayName="Editor" ma:internalName="Editor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220F53-3859-463A-94DC-BA115717F909}">
  <ds:schemaRefs>
    <ds:schemaRef ds:uri="http://schemas.microsoft.com/office/2006/metadata/properties"/>
    <ds:schemaRef ds:uri="836fddcb-9dff-41be-b133-8c854f6dfd3d"/>
  </ds:schemaRefs>
</ds:datastoreItem>
</file>

<file path=customXml/itemProps2.xml><?xml version="1.0" encoding="utf-8"?>
<ds:datastoreItem xmlns:ds="http://schemas.openxmlformats.org/officeDocument/2006/customXml" ds:itemID="{CFA0A248-EA23-40CD-91C6-5EE209AA73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fddcb-9dff-41be-b133-8c854f6df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ACC2-C2D8-404A-AD83-835FA5B2D004}">
  <ds:schemaRefs>
    <ds:schemaRef ds:uri="http://schemas.microsoft.com/sharepoint/v3/contenttype/forms"/>
  </ds:schemaRefs>
</ds:datastoreItem>
</file>

<file path=customXml/itemProps4.xml><?xml version="1.0" encoding="utf-8"?>
<ds:datastoreItem xmlns:ds="http://schemas.openxmlformats.org/officeDocument/2006/customXml" ds:itemID="{E9FF34DC-80D3-4426-AF0E-89A67D889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CartaFax.dot</Template>
  <TotalTime>1</TotalTime>
  <Pages>28</Pages>
  <Words>7742</Words>
  <Characters>41811</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Scalamandré Duarte Garcia</dc:creator>
  <cp:keywords/>
  <dc:description/>
  <cp:lastModifiedBy>Abrainc5</cp:lastModifiedBy>
  <cp:revision>2</cp:revision>
  <cp:lastPrinted>2014-05-08T19:56:00Z</cp:lastPrinted>
  <dcterms:created xsi:type="dcterms:W3CDTF">2015-06-16T17:33:00Z</dcterms:created>
  <dcterms:modified xsi:type="dcterms:W3CDTF">2015-06-16T17:33:00Z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0x010100B41C2DB8ADCAC5498233372F07061905</vt:lpwstr>
  </property>
  <property fmtid="{D5CDD505-2E9C-101B-9397-08002B2CF9AE}" pid="3" name="Order">
    <vt:r8>8898700</vt:r8>
  </property>
</Properties>
</file>