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7"/>
        <w:gridCol w:w="1393"/>
        <w:gridCol w:w="2222"/>
        <w:gridCol w:w="1899"/>
        <w:gridCol w:w="1815"/>
        <w:gridCol w:w="947"/>
        <w:tblGridChange w:id="0">
          <w:tblGrid>
            <w:gridCol w:w="1217"/>
            <w:gridCol w:w="1393"/>
            <w:gridCol w:w="2222"/>
            <w:gridCol w:w="1899"/>
            <w:gridCol w:w="1815"/>
            <w:gridCol w:w="947"/>
          </w:tblGrid>
        </w:tblGridChange>
      </w:tblGrid>
      <w:tr>
        <w:trPr>
          <w:trHeight w:val="240" w:hRule="atLeast"/>
        </w:trPr>
        <w:tc>
          <w:tcPr>
            <w:gridSpan w:val="2"/>
            <w:shd w:fill="fac090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Задание 1</w:t>
            </w:r>
          </w:p>
        </w:tc>
        <w:tc>
          <w:tcPr>
            <w:gridSpan w:val="4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Предложение за проект</w:t>
            </w:r>
          </w:p>
        </w:tc>
      </w:tr>
      <w:tr>
        <w:trPr>
          <w:trHeight w:val="240" w:hRule="atLeast"/>
        </w:trPr>
        <w:tc>
          <w:tcPr>
            <w:gridSpan w:val="2"/>
            <w:shd w:fill="fac090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gridSpan w:val="4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Мултимедийни технологии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shd w:fill="fac090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Участници в проекта </w:t>
            </w:r>
          </w:p>
        </w:tc>
      </w:tr>
      <w:tr>
        <w:trPr>
          <w:trHeight w:val="520" w:hRule="atLeast"/>
        </w:trPr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и фамилия</w:t>
            </w:r>
          </w:p>
        </w:tc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Факултетен №</w:t>
            </w:r>
          </w:p>
        </w:tc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Специалност</w:t>
            </w:r>
          </w:p>
        </w:tc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Курс</w:t>
            </w:r>
          </w:p>
        </w:tc>
      </w:tr>
      <w:tr>
        <w:trPr>
          <w:trHeight w:val="260" w:hRule="atLeast"/>
        </w:trP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Цветелина Борисова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81067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КН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right="74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2"/>
        <w:gridCol w:w="7231"/>
        <w:tblGridChange w:id="0">
          <w:tblGrid>
            <w:gridCol w:w="2262"/>
            <w:gridCol w:w="7231"/>
          </w:tblGrid>
        </w:tblGridChange>
      </w:tblGrid>
      <w:tr>
        <w:tc>
          <w:tcPr>
            <w:shd w:fill="fac090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на проекта</w:t>
            </w:r>
          </w:p>
        </w:tc>
        <w:tc>
          <w:tcPr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170" w:before="119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Система за управление на QA процес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Бизнес нужди и свойства на системата (Business Needs and System Features)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Тестването на дадено приложение преди да влезе в production версия е важна част от успешната работа на продукта. Тестването в среда преди production – например staging подпомага откриването на евентуални бъгове преди кода да бъде деплойнат в production. Когато една голяма система трябва да бъде тествана от много хора е много важно да има синхронизация между тях и установен процес, за да може тестането да не забавя деплойването на приложението и всяка част от системата да бъде покрита.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Проектът, спомага лесното организиране на процеса за тестване, както на нови бъгове и функционалности, така и на стандартни тестове.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Основните цели на проекта са: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Улесняване работата по това, кои са оправените бъгове в настоящия релийз на системата, както и новите функционалнсти, като те ще бъдат взети от Github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 Улесняване на работата в разпределяне на кой тестер какво ще тества и къде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 Улесняване на крайния резултат от тестване – за всеки milestone ще се знае колко бъгове/функционалнисти работят и колко не като с това може да се определи дали е разумно да се деплойва определената версия на кода в production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Проектът е ориентиран към всички системи, които се тестват от повече от един човек, тъй като така се улеснява съвместната работа между тях.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Той ще бъде реализиран с използване на следните уеб и мултимедийни технологии: HTML 5, CSS 3, Javascript APIs, Bootstrap, Angular, React.js, Node.js, Express.js, Rails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 гледна точка на проекта съществува една роля: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админ, който може да променя тикетите(бъгове/функционалнсти), които влизат в дадения milestone. Също така админа има всички права на описаната по-долу роля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стандартен потребител, който може да създава milestones и да разпредля тикетите за тестване между тестерите</w:t>
            </w:r>
          </w:p>
          <w:p w:rsidR="00000000" w:rsidDel="00000000" w:rsidP="00000000" w:rsidRDefault="00000000" w:rsidRPr="00000000">
            <w:pPr>
              <w:pBdr/>
              <w:spacing w:after="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потребител без права за редактиране/създаване – целта на тази роля е да се създават потребители, които не участват в процеса на тестване, а искат просто да видят какви тикети има в milestone и каква е успеваемостта на milestone.</w:t>
            </w:r>
          </w:p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  <w:sectPr>
          <w:pgSz w:h="12240" w:w="158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0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5243"/>
        <w:gridCol w:w="5105"/>
        <w:tblGridChange w:id="0">
          <w:tblGrid>
            <w:gridCol w:w="2688"/>
            <w:gridCol w:w="5243"/>
            <w:gridCol w:w="5105"/>
          </w:tblGrid>
        </w:tblGridChange>
      </w:tblGrid>
      <w:tr>
        <w:tc>
          <w:tcPr>
            <w:gridSpan w:val="3"/>
            <w:shd w:fill="fac090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240" w:line="276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Кратко описание на потребителските случаи (Use cases)</w:t>
            </w:r>
          </w:p>
        </w:tc>
      </w:tr>
      <w:tr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Име на потребителския случай</w:t>
            </w:r>
          </w:p>
        </w:tc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</w:t>
              <w:br w:type="textWrapping"/>
              <w:t xml:space="preserve">(Brief Descriptions)</w:t>
            </w:r>
          </w:p>
        </w:tc>
        <w:tc>
          <w:tcPr>
            <w:shd w:fill="fdeada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 на актьорите</w:t>
              <w:br w:type="textWrapping"/>
              <w:t xml:space="preserve">(Actor Brief Descriptions)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 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Всеки потребител може да се регистрира в системата като той ще има само read 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Нерегистриран потребител</w:t>
            </w:r>
          </w:p>
        </w:tc>
      </w:tr>
      <w:tr>
        <w:trPr>
          <w:trHeight w:val="840" w:hRule="atLeast"/>
        </w:trP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Определяне на роля на потребител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Само master админите ще могат да променят ролята на регистрираните потребители, като от read роля да има ‘стандартна’ 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- master админ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Създаване на milestone, затваряне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 избиране на определени критерии за направата на даден milestone - дата на тикети, label на тикети ще бъдат стартиран скрипт, който да изтегли дадените тикети от Github и да бъде създаден в системата milestone с дадените тикети. По всяко време един milestone може да бъде маркиран като - завършен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 стандартен потребител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Разпределяне на тикетите за тестване между тестерите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Всеки тикет може да има определен брой тестери, които се определят от човека създал milestone.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 автора на milestone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 Промяна на тикетите в 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Изтриване и добавя на тикети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 автора на milestone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Добавяне на коментари в дадения тикет в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Към всеки тикет могат да бъдат добавени коментари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и стандартен потребител</w:t>
            </w:r>
          </w:p>
        </w:tc>
      </w:tr>
      <w:tr>
        <w:tc>
          <w:tcPr>
            <w:shd w:fill="fdeada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 Оценка дали даден тикет работи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Всеки тикет ще може да бъде отбелязван като - работещ или 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Администратор, автор на milestone, потребители, които са сложени като тестерти на тикета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/>
            <w:tcMar>
              <w:lef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Структура на проекта с използвани мултимедийни материали и интерактивна хипермедия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Начална страница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Ако потребителя не е влязъл в системата, ще му се покаже форма за влизане и форма за регистрация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Ако потребителя е влязъл в системата ще му бъдат показани всички milestones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Milestones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страницата, която се показва като начална за аутентикираните потребители. Тя съдържа и линк за генериране на нов milestone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Всеки показан milestone има линк, който води към страницата, където са показани всички тикети към съответния milestone.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 тази страница ще има информация кой е създал milestone, както и какъв процент от тикетите са изтествани и работещи. Също така и бутон за финиширане на дадения milestone.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Страница с тикети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 тази страница са показани само тикетите за определен milestone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Страница с всички потребители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тази страница се вижда само от администраторите и показва всички потребители в системата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Всяка страница има линкове за редактиране/създаване/изтриване на съотвения ресурс, който е показан на страницата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Статистики за конкретния milestone, проекти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Проекти - да се конфигурира за repo urls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burn down chart - scrum backlog item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 статистика за скоростта на екипа, за да се планира по-добре работата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 графики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 d3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Интернет ресурси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1. ...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44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80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