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footer4.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r>
        <w:rPr>
          <w:b/>
          <w:bCs/>
          <w:sz w:val="28"/>
          <w:szCs w:val="28"/>
        </w:rPr>
      </w:r>
    </w:p>
    <w:p>
      <w:pPr>
        <w:pStyle w:val="Normal"/>
        <w:jc w:val="center"/>
        <w:rPr>
          <w:rFonts w:ascii="Times New Roman" w:hAnsi="Times New Roman" w:cs="Times New Roman"/>
          <w:b/>
          <w:sz w:val="28"/>
          <w:szCs w:val="28"/>
        </w:rPr>
      </w:pPr>
      <w:r>
        <w:rPr>
          <w:rFonts w:cs="Times New Roman"/>
          <w:b/>
          <w:sz w:val="28"/>
          <w:szCs w:val="28"/>
        </w:rPr>
        <w:t>VELEUČILIŠTE ASPIRA</w:t>
      </w:r>
    </w:p>
    <w:p>
      <w:pPr>
        <w:pStyle w:val="Normal"/>
        <w:jc w:val="center"/>
        <w:rPr>
          <w:rFonts w:ascii="Times New Roman" w:hAnsi="Times New Roman" w:cs="Times New Roman"/>
          <w:b/>
          <w:sz w:val="28"/>
          <w:szCs w:val="28"/>
        </w:rPr>
      </w:pPr>
      <w:r>
        <w:rPr>
          <w:rFonts w:cs="Times New Roman"/>
          <w:b/>
          <w:sz w:val="28"/>
          <w:szCs w:val="28"/>
        </w:rPr>
      </w:r>
    </w:p>
    <w:p>
      <w:pPr>
        <w:pStyle w:val="BodyText"/>
        <w:jc w:val="center"/>
        <w:rPr/>
      </w:pPr>
      <w:r>
        <w:rPr>
          <w:rFonts w:cs="Times New Roman"/>
          <w:b/>
          <w:bCs/>
          <w:sz w:val="28"/>
          <w:szCs w:val="28"/>
        </w:rPr>
        <w:t>PRIJEDIPLOMSKI STRUČNI STUDIJ – RAČUNARSTVO</w:t>
      </w:r>
    </w:p>
    <w:p>
      <w:pPr>
        <w:pStyle w:val="Normal"/>
        <w:jc w:val="center"/>
        <w:rPr>
          <w:rFonts w:ascii="Times New Roman" w:hAnsi="Times New Roman" w:cs="Times New Roman"/>
        </w:rPr>
      </w:pPr>
      <w:r>
        <w:rPr>
          <w:rFonts w:cs="Times New Roman"/>
        </w:rPr>
      </w:r>
    </w:p>
    <w:p>
      <w:pPr>
        <w:pStyle w:val="Normal"/>
        <w:jc w:val="center"/>
        <w:rPr>
          <w:rFonts w:ascii="Times New Roman" w:hAnsi="Times New Roman" w:cs="Times New Roman"/>
        </w:rPr>
      </w:pPr>
      <w:r>
        <w:rPr>
          <w:rFonts w:cs="Times New Roman"/>
        </w:rPr>
      </w:r>
    </w:p>
    <w:p>
      <w:pPr>
        <w:pStyle w:val="Normal"/>
        <w:jc w:val="center"/>
        <w:rPr/>
      </w:pPr>
      <w:r>
        <w:rPr/>
      </w:r>
    </w:p>
    <w:p>
      <w:pPr>
        <w:pStyle w:val="Normal"/>
        <w:jc w:val="center"/>
        <w:rPr>
          <w:rFonts w:ascii="Times New Roman" w:hAnsi="Times New Roman" w:cs="Times New Roman"/>
        </w:rPr>
      </w:pPr>
      <w:r>
        <w:rPr>
          <w:rFonts w:cs="Times New Roman"/>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b/>
          <w:sz w:val="28"/>
          <w:szCs w:val="28"/>
        </w:rPr>
      </w:pPr>
      <w:r>
        <w:rPr>
          <w:rFonts w:cs="Times New Roman"/>
          <w:b/>
          <w:bCs/>
          <w:sz w:val="32"/>
          <w:szCs w:val="32"/>
        </w:rPr>
        <w:t>PRIKUPLJANJE I OBRADA TEMPERATURNIH PODATAKA, TE KOMUNIKACIJA S RAČUNALNIM OBLAKOM</w:t>
      </w:r>
      <w:r>
        <w:rPr>
          <w:rFonts w:cs="Times New Roman"/>
          <w:b/>
          <w:sz w:val="28"/>
          <w:szCs w:val="28"/>
        </w:rPr>
        <w:t xml:space="preserve"> </w:t>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i/>
          <w:i/>
          <w:sz w:val="28"/>
          <w:szCs w:val="28"/>
        </w:rPr>
      </w:pPr>
      <w:r>
        <w:rPr>
          <w:rFonts w:cs="Times New Roman"/>
          <w:i/>
          <w:sz w:val="28"/>
          <w:szCs w:val="28"/>
        </w:rPr>
        <w:t>Završni rad</w:t>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center"/>
        <w:rPr>
          <w:rFonts w:ascii="Times New Roman" w:hAnsi="Times New Roman" w:cs="Times New Roman"/>
          <w:sz w:val="28"/>
          <w:szCs w:val="28"/>
        </w:rPr>
      </w:pPr>
      <w:r>
        <w:rPr>
          <w:rFonts w:cs="Times New Roman"/>
          <w:sz w:val="28"/>
          <w:szCs w:val="28"/>
        </w:rPr>
      </w:r>
    </w:p>
    <w:p>
      <w:pPr>
        <w:pStyle w:val="Normal"/>
        <w:jc w:val="both"/>
        <w:rPr>
          <w:rFonts w:ascii="Times New Roman" w:hAnsi="Times New Roman" w:cs="Times New Roman"/>
          <w:sz w:val="28"/>
          <w:szCs w:val="28"/>
        </w:rPr>
      </w:pPr>
      <w:r>
        <w:rPr>
          <w:rFonts w:cs="Times New Roman"/>
          <w:sz w:val="28"/>
          <w:szCs w:val="28"/>
        </w:rPr>
        <w:t>Mentor:</w:t>
        <w:tab/>
        <w:tab/>
        <w:tab/>
        <w:tab/>
        <w:tab/>
        <w:tab/>
        <w:tab/>
        <w:tab/>
        <w:tab/>
        <w:t>Student:</w:t>
      </w:r>
    </w:p>
    <w:p>
      <w:pPr>
        <w:pStyle w:val="BodyText"/>
        <w:rPr/>
      </w:pPr>
      <w:r>
        <w:rPr>
          <w:rFonts w:cs="Times New Roman"/>
          <w:sz w:val="28"/>
          <w:szCs w:val="28"/>
        </w:rPr>
        <w:t>Ante Projić, mag. ing. comp., pred.</w:t>
        <w:tab/>
        <w:tab/>
        <w:tab/>
        <w:tab/>
        <w:t xml:space="preserve"> </w:t>
        <w:tab/>
        <w:t>Toni Borozan</w:t>
      </w:r>
      <w:r>
        <w:br w:type="page"/>
      </w:r>
    </w:p>
    <w:p>
      <w:pPr>
        <w:pStyle w:val="Normal"/>
        <w:shd w:val="nil"/>
        <w:rPr/>
      </w:pPr>
      <w:r>
        <w:rPr/>
      </w:r>
    </w:p>
    <w:p>
      <w:pPr>
        <w:pStyle w:val="BodyText"/>
        <w:jc w:val="center"/>
        <w:rPr>
          <w:b/>
          <w:bCs/>
          <w:sz w:val="28"/>
          <w:szCs w:val="28"/>
        </w:rPr>
      </w:pPr>
      <w:r>
        <w:rPr>
          <w:b/>
          <w:bCs/>
          <w:sz w:val="28"/>
          <w:szCs w:val="28"/>
        </w:rPr>
        <w:t>VELEUČILIŠTE ASPIRA</w:t>
      </w:r>
    </w:p>
    <w:p>
      <w:pPr>
        <w:pStyle w:val="BodyText"/>
        <w:jc w:val="center"/>
        <w:rPr>
          <w:b/>
          <w:bCs/>
          <w:sz w:val="28"/>
          <w:szCs w:val="28"/>
        </w:rPr>
      </w:pPr>
      <w:r>
        <w:rPr>
          <w:b/>
          <w:bCs/>
          <w:sz w:val="28"/>
          <w:szCs w:val="28"/>
        </w:rPr>
      </w:r>
    </w:p>
    <w:p>
      <w:pPr>
        <w:pStyle w:val="BodyText"/>
        <w:jc w:val="center"/>
        <w:rPr/>
      </w:pPr>
      <w:r>
        <w:rPr>
          <w:b/>
          <w:bCs/>
          <w:sz w:val="28"/>
          <w:szCs w:val="28"/>
        </w:rPr>
        <w:t>PRIJEDIPLOMSKI STRUČNI STUDIJ – RAČUNARSTVO</w:t>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b/>
          <w:bCs/>
          <w:sz w:val="32"/>
          <w:szCs w:val="32"/>
        </w:rPr>
      </w:pPr>
      <w:r>
        <w:rPr>
          <w:b/>
          <w:bCs/>
          <w:sz w:val="32"/>
          <w:szCs w:val="32"/>
        </w:rPr>
        <w:t>PRIKUPLJANJE I OBRADA TEMPERATURNIH PODATAKA, TE KOMUNIKACIJA S RAČUNALNIM OBLAKOM</w:t>
      </w:r>
    </w:p>
    <w:p>
      <w:pPr>
        <w:pStyle w:val="BodyText"/>
        <w:jc w:val="center"/>
        <w:rPr>
          <w:b/>
          <w:bCs/>
          <w:sz w:val="32"/>
          <w:szCs w:val="32"/>
          <w:lang w:val="en-US"/>
        </w:rPr>
      </w:pPr>
      <w:r>
        <w:rPr>
          <w:b/>
          <w:bCs/>
          <w:sz w:val="32"/>
          <w:szCs w:val="32"/>
          <w:lang w:val="en-US"/>
        </w:rPr>
      </w:r>
    </w:p>
    <w:p>
      <w:pPr>
        <w:pStyle w:val="BodyText"/>
        <w:jc w:val="center"/>
        <w:rPr>
          <w:b/>
          <w:bCs/>
          <w:sz w:val="32"/>
          <w:szCs w:val="32"/>
          <w:lang w:val="en-US"/>
        </w:rPr>
      </w:pPr>
      <w:r>
        <w:rPr>
          <w:b/>
          <w:bCs/>
          <w:sz w:val="32"/>
          <w:szCs w:val="32"/>
          <w:lang w:val="en-US"/>
        </w:rPr>
        <w:t>COLLECTION AND PROCESSING OF TEMPERATURE DATA, AND COMMUNICATION WITH THE CLOUD</w:t>
      </w:r>
    </w:p>
    <w:p>
      <w:pPr>
        <w:pStyle w:val="BodyText"/>
        <w:jc w:val="center"/>
        <w:rPr/>
      </w:pPr>
      <w:r>
        <w:rPr/>
      </w:r>
    </w:p>
    <w:p>
      <w:pPr>
        <w:pStyle w:val="BodyText"/>
        <w:jc w:val="center"/>
        <w:rPr/>
      </w:pPr>
      <w:r>
        <w:rPr/>
      </w:r>
    </w:p>
    <w:p>
      <w:pPr>
        <w:pStyle w:val="BodyText"/>
        <w:jc w:val="center"/>
        <w:rPr/>
      </w:pPr>
      <w:r>
        <w:rPr/>
      </w:r>
    </w:p>
    <w:p>
      <w:pPr>
        <w:pStyle w:val="Normal"/>
        <w:jc w:val="center"/>
        <w:rPr>
          <w:rFonts w:ascii="Times New Roman" w:hAnsi="Times New Roman" w:cs="Times New Roman"/>
          <w:i/>
          <w:i/>
          <w:sz w:val="28"/>
          <w:szCs w:val="28"/>
        </w:rPr>
      </w:pPr>
      <w:r>
        <w:rPr>
          <w:rFonts w:cs="Times New Roman"/>
          <w:i/>
          <w:sz w:val="28"/>
          <w:szCs w:val="28"/>
        </w:rPr>
        <w:t>Završni rad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Mentor:</w:t>
        <w:tab/>
        <w:tab/>
        <w:tab/>
        <w:tab/>
        <w:tab/>
        <w:tab/>
        <w:tab/>
        <w:tab/>
        <w:tab/>
        <w:t>Student:</w:t>
      </w:r>
    </w:p>
    <w:p>
      <w:pPr>
        <w:pStyle w:val="BodyText"/>
        <w:rPr/>
      </w:pPr>
      <w:r>
        <w:rPr>
          <w:sz w:val="28"/>
          <w:szCs w:val="28"/>
        </w:rPr>
        <w:t>Ante Projić, mag. ing. comp., pred.</w:t>
        <w:tab/>
        <w:tab/>
        <w:tab/>
        <w:tab/>
        <w:t>Toni Borozan</w:t>
      </w:r>
    </w:p>
    <w:p>
      <w:pPr>
        <w:pStyle w:val="BodyText"/>
        <w:rPr/>
      </w:pPr>
      <w:r>
        <w:rPr/>
      </w:r>
    </w:p>
    <w:p>
      <w:pPr>
        <w:pStyle w:val="BodyText"/>
        <w:rPr/>
      </w:pPr>
      <w:r>
        <w:rPr/>
      </w:r>
    </w:p>
    <w:p>
      <w:pPr>
        <w:pStyle w:val="BodyText"/>
        <w:jc w:val="center"/>
        <w:rPr>
          <w:highlight w:val="none"/>
        </w:rPr>
      </w:pPr>
      <w:r>
        <w:rPr/>
        <w:t xml:space="preserve">Split, </w:t>
      </w:r>
      <w:r>
        <w:rPr>
          <w:rFonts w:eastAsia="Calibri" w:cs="Times New Roman"/>
        </w:rPr>
        <w:t>kolovoz 2025.</w:t>
      </w:r>
      <w:r>
        <w:br w:type="page"/>
      </w:r>
    </w:p>
    <w:p>
      <w:pPr>
        <w:pStyle w:val="BodyText"/>
        <w:spacing w:before="0" w:after="140"/>
        <w:jc w:val="center"/>
        <w:rPr/>
      </w:pPr>
      <w:r>
        <w:rPr/>
      </w:r>
    </w:p>
    <w:p>
      <w:pPr>
        <w:pStyle w:val="BodyText"/>
        <w:spacing w:before="0" w:after="140"/>
        <w:jc w:val="center"/>
        <w:rPr>
          <w:b/>
          <w:bCs/>
          <w:sz w:val="32"/>
          <w:szCs w:val="32"/>
        </w:rPr>
      </w:pPr>
      <w:bookmarkStart w:id="0" w:name="__RefHeading___Toc4221_4218067175"/>
      <w:bookmarkEnd w:id="0"/>
      <w:r>
        <w:rPr>
          <w:b/>
          <w:bCs/>
          <w:sz w:val="32"/>
          <w:szCs w:val="32"/>
        </w:rPr>
        <w:t>IZJAVA O AKADEMSKOJ ČESTITOSTI</w:t>
      </w:r>
    </w:p>
    <w:p>
      <w:pPr>
        <w:pStyle w:val="BodyText"/>
        <w:rPr/>
      </w:pPr>
      <w:r>
        <w:rPr/>
      </w:r>
    </w:p>
    <w:p>
      <w:pPr>
        <w:pStyle w:val="BodyText"/>
        <w:spacing w:lineRule="auto" w:line="360"/>
        <w:rPr/>
      </w:pPr>
      <w:r>
        <w:rPr>
          <w:rFonts w:eastAsia="Calibri" w:cs="Times New Roman"/>
        </w:rPr>
        <w:t xml:space="preserve">Ja, dolje potpisan Toni Borozan kandidat za stjecanje titule stručni prvostupnik inženjer računarstva izjavljujem da je ovaj Završni rad rezultat isključivo mojega vlastitog rada, da se temelji na mojim istraživanjima te da se oslanja na objavljenu literaturu, kao što to pokazuju korištene bilješke i bibliografija. Izjavljujem da niti jedan dio Završnog rada nije napisan na nedozvoljen način, odnosno prepisan iz nekog ne citiranog rada te da se na niti jedan način ne krše ničija autorska prava. Izjavljujem, također, da nijedan dio rada nije iskorišten za neki drugi rad pri bilo kojoj drugoj visokoškolskoj, znanstvenoj ili radnoj ustanovi. </w:t>
      </w:r>
    </w:p>
    <w:p>
      <w:pPr>
        <w:pStyle w:val="BodyText"/>
        <w:spacing w:lineRule="auto" w:line="360"/>
        <w:rPr/>
      </w:pPr>
      <w:r>
        <w:rPr/>
      </w:r>
    </w:p>
    <w:p>
      <w:pPr>
        <w:pStyle w:val="BodyText"/>
        <w:ind w:hanging="0"/>
        <w:rPr/>
      </w:pPr>
      <w:r>
        <w:rPr>
          <w:rFonts w:eastAsia="Calibri" w:cs="Times New Roman"/>
        </w:rPr>
        <w:t>Student: ______________________ U Splitu, kolovoz 2025.</w:t>
      </w:r>
    </w:p>
    <w:p>
      <w:pPr>
        <w:pStyle w:val="BodyText"/>
        <w:rPr/>
      </w:pPr>
      <w:r>
        <w:rPr/>
      </w:r>
    </w:p>
    <w:p>
      <w:pPr>
        <w:pStyle w:val="BodyText"/>
        <w:rPr/>
      </w:pPr>
      <w:r>
        <w:rPr/>
      </w:r>
    </w:p>
    <w:p>
      <w:pPr>
        <w:pStyle w:val="BodyText"/>
        <w:jc w:val="center"/>
        <w:rPr>
          <w:b/>
          <w:bCs/>
          <w:sz w:val="32"/>
          <w:szCs w:val="32"/>
        </w:rPr>
      </w:pPr>
      <w:bookmarkStart w:id="1" w:name="__RefHeading___Toc4223_4218067175"/>
      <w:bookmarkEnd w:id="1"/>
      <w:r>
        <w:rPr>
          <w:b/>
          <w:bCs/>
          <w:sz w:val="32"/>
          <w:szCs w:val="32"/>
        </w:rPr>
        <w:t>IZJAVA O KORIŠTENJU AUTORSKOG DJELA</w:t>
      </w:r>
    </w:p>
    <w:p>
      <w:pPr>
        <w:pStyle w:val="BodyText"/>
        <w:rPr/>
      </w:pPr>
      <w:r>
        <w:rPr/>
      </w:r>
    </w:p>
    <w:p>
      <w:pPr>
        <w:pStyle w:val="BodyText"/>
        <w:spacing w:lineRule="auto" w:line="360"/>
        <w:rPr/>
      </w:pPr>
      <w:r>
        <w:rPr>
          <w:rFonts w:eastAsia="Calibri" w:cs="Times New Roman"/>
        </w:rPr>
        <w:t xml:space="preserve">Ja, Toni Borozan, dajem odobrenje Veleučilištu Aspira, kao nositelju prava korištenja, da moj završni rad pod nazivom „PRIKUPLJANJE I OBRADA TEMPERATURNIH PODATAKA, </w:t>
      </w:r>
      <w:r>
        <w:rPr/>
        <w:t>TE KOMUNIKACIJA S RAČUNALNIM OBLAKOM“ koristi na način da gore navedeno autorsko djelo, kao cjeloviti tekst trajno objavi u javnoj internetskoj bazi Dabar Veleučilišta Aspira te kopira u javnu internetsku bazu završnih radova Nacionalne i sveučilišne knjižnice (stavljanje na raspolaganje javnosti), sve u skladu sa Zakonom o autorskom pravu i drugim srodnim pravima i dobrom akademskom praksom, a radi promicanja otvorenoga, slobodnoga pristupa znanstvenim informacijama. Za korištenje autorskog djela na gore navedeni način ne potražujem naknadu.</w:t>
      </w:r>
    </w:p>
    <w:p>
      <w:pPr>
        <w:pStyle w:val="BodyText"/>
        <w:rPr/>
      </w:pPr>
      <w:r>
        <w:rPr/>
      </w:r>
    </w:p>
    <w:p>
      <w:pPr>
        <w:pStyle w:val="BodyText"/>
        <w:ind w:hanging="0"/>
        <w:rPr>
          <w:highlight w:val="none"/>
        </w:rPr>
      </w:pPr>
      <w:r>
        <w:rPr>
          <w:rFonts w:eastAsia="Calibri" w:cs="Times New Roman"/>
        </w:rPr>
        <w:t>Student: ______________________ U Splitu, kolovoz 2025.</w:t>
      </w:r>
    </w:p>
    <w:p>
      <w:pPr>
        <w:pStyle w:val="Normal"/>
        <w:shd w:val="nil"/>
        <w:rPr/>
      </w:pPr>
      <w:r>
        <w:rPr/>
      </w:r>
      <w:r>
        <w:br w:type="page"/>
      </w:r>
    </w:p>
    <w:p>
      <w:pPr>
        <w:pStyle w:val="BodyText"/>
        <w:spacing w:before="0" w:after="140"/>
        <w:ind w:hanging="0"/>
        <w:rPr/>
      </w:pPr>
      <w:r>
        <w:rPr/>
      </w:r>
    </w:p>
    <w:p>
      <w:pPr>
        <w:pStyle w:val="BodyText"/>
        <w:jc w:val="center"/>
        <w:rPr>
          <w:b/>
          <w:bCs/>
          <w:sz w:val="32"/>
          <w:szCs w:val="32"/>
        </w:rPr>
      </w:pPr>
      <w:bookmarkStart w:id="2" w:name="__RefHeading___Toc4225_4218067175"/>
      <w:bookmarkEnd w:id="2"/>
      <w:r>
        <w:rPr>
          <w:b/>
          <w:bCs/>
          <w:sz w:val="32"/>
          <w:szCs w:val="32"/>
        </w:rPr>
        <w:t>ZAHVALE</w:t>
      </w:r>
    </w:p>
    <w:p>
      <w:pPr>
        <w:pStyle w:val="BodyText"/>
        <w:jc w:val="center"/>
        <w:rPr>
          <w:b/>
          <w:bCs/>
          <w:sz w:val="32"/>
          <w:szCs w:val="32"/>
        </w:rPr>
      </w:pPr>
      <w:r>
        <w:rPr>
          <w:b/>
          <w:bCs/>
          <w:sz w:val="32"/>
          <w:szCs w:val="32"/>
        </w:rPr>
      </w:r>
    </w:p>
    <w:p>
      <w:pPr>
        <w:pStyle w:val="BodyText"/>
        <w:spacing w:lineRule="auto" w:line="360"/>
        <w:jc w:val="both"/>
        <w:rPr/>
      </w:pPr>
      <w:r>
        <w:rPr/>
        <w:t>Zahvaljujem svom mentoru, Anti Projiću</w:t>
      </w:r>
      <w:r>
        <w:rPr>
          <w:lang w:val="en-US"/>
        </w:rPr>
        <w:t xml:space="preserve"> </w:t>
      </w:r>
      <w:r>
        <w:rPr>
          <w:sz w:val="24"/>
          <w:szCs w:val="24"/>
        </w:rPr>
        <w:t>mag. ing. comp., pred.</w:t>
      </w:r>
      <w:r>
        <w:rPr/>
        <w:t>, na stručnom vodstvu, savjetima i podršci tijekom izrade ovog završnog rada. Njegova stručnost, strpljenje i korisne sugestije značajno su doprinijele oblikovanju rada i postizanju konačnih rezultata. Posebno cijenim njegovu spremnost na pomoć i vrijeme koje je izdvojio kako bi usmjerio i olakšao cijeli proces izrade.</w:t>
      </w:r>
    </w:p>
    <w:p>
      <w:pPr>
        <w:pStyle w:val="BodyText"/>
        <w:spacing w:lineRule="auto" w:line="360"/>
        <w:jc w:val="both"/>
        <w:rPr>
          <w:highlight w:val="none"/>
        </w:rPr>
      </w:pPr>
      <w:r>
        <w:rPr/>
      </w:r>
    </w:p>
    <w:p>
      <w:pPr>
        <w:pStyle w:val="BodyText"/>
        <w:spacing w:lineRule="auto" w:line="360"/>
        <w:jc w:val="both"/>
        <w:rPr>
          <w:highlight w:val="none"/>
        </w:rPr>
      </w:pPr>
      <w:r>
        <w:rPr/>
        <w:t>Također, od srca zahvaljujem svojoj obitelji na bezuvjetnoj podršci, strpljenju i razumijevanju, kao i prijateljima koji su svojim ohrabrenjem i pomoći kroz sve godine obrazovanja i tijekom izrade ovog rada. Njihova podrška bila mi je neizmjerno značajna za postizanje svih dosadašnjih uspjeha.</w:t>
      </w:r>
    </w:p>
    <w:p>
      <w:pPr>
        <w:pStyle w:val="Normal"/>
        <w:shd w:val="nil"/>
        <w:rPr>
          <w:b/>
          <w:bCs/>
          <w:sz w:val="32"/>
          <w:szCs w:val="32"/>
        </w:rPr>
      </w:pPr>
      <w:r>
        <w:rPr>
          <w:b/>
          <w:bCs/>
          <w:sz w:val="32"/>
          <w:szCs w:val="32"/>
        </w:rPr>
      </w:r>
      <w:r>
        <w:br w:type="page"/>
      </w:r>
    </w:p>
    <w:p>
      <w:pPr>
        <w:pStyle w:val="BodyText"/>
        <w:spacing w:lineRule="auto" w:line="360" w:before="0" w:after="140"/>
        <w:jc w:val="center"/>
        <w:rPr>
          <w:b/>
          <w:bCs/>
          <w:sz w:val="32"/>
          <w:szCs w:val="32"/>
          <w:highlight w:val="none"/>
        </w:rPr>
      </w:pPr>
      <w:bookmarkStart w:id="3" w:name="__RefHeading___Toc4227_4218067175"/>
      <w:bookmarkEnd w:id="3"/>
      <w:r>
        <w:rPr>
          <w:b/>
          <w:bCs/>
          <w:sz w:val="32"/>
          <w:szCs w:val="32"/>
        </w:rPr>
        <w:t>SAŽETAK</w:t>
      </w:r>
    </w:p>
    <w:p>
      <w:pPr>
        <w:pStyle w:val="BodyText"/>
        <w:spacing w:lineRule="auto" w:line="360"/>
        <w:jc w:val="center"/>
        <w:rPr>
          <w:b/>
          <w:bCs/>
          <w:sz w:val="32"/>
          <w:szCs w:val="32"/>
        </w:rPr>
      </w:pPr>
      <w:r>
        <w:rPr>
          <w:b/>
          <w:bCs/>
          <w:sz w:val="32"/>
          <w:szCs w:val="32"/>
        </w:rPr>
      </w:r>
    </w:p>
    <w:p>
      <w:pPr>
        <w:pStyle w:val="BodyText"/>
        <w:spacing w:lineRule="auto" w:line="360"/>
        <w:rPr>
          <w:lang w:val="hr-HR"/>
        </w:rPr>
      </w:pPr>
      <w:r>
        <w:rPr>
          <w:lang w:val="hr-HR"/>
        </w:rPr>
        <w:t>Ovaj rad predstavlja fokusirani sustav za praćenje vanjske temperature koji koristi meteorološku postaju Ecowitt WS3900, kombiniran s robusnom softverskom arhitekturom izgrađenom na .NET 9 Minimal API okviru. Sustav omogućava prikupljanje i prijenos podataka o vanjskoj temperaturi visoke rezolucije u realnom vremenu putem webhook integracije, osiguravajući točnost automatskim preračunavanjem jedinica iz Fahrenheita u Celzije za standarde praćenja okoliša. Upravljanje podacima optimizirano je pomoću EntityFramework Core 9.0 sučelja s PostgreSQL bazom podataka, podržavajući učinkovito pohranjivanje i dohvaćanje vremenskih serija podataka o temperaturi. Vizualizacija i analiza omogućeni su putem Grafana nadzornih ploča s automatskim konfiguriranjem, pružajući dinamičke analize trendova temperature i mogućnosti interaktivnog istraživanja. Implementacija koristi tehnologije kontejnerizacije, koristeći Docker Compose za upravljanje modularnim servisima uključujući webhook unos podataka, pohranu i vizualizaciju, osiguravajući skalabilnost, pouzdanost i lakoću održavanja. Sustav naglašava moderne softverske prakse uključujući Minimal APIs arhitekturu, automatsko konfiguriranje nadzornih ploča i sveobuhvatan Celzijev temperaturni standard za aplikacije praćenja okoliša.</w:t>
      </w:r>
    </w:p>
    <w:p>
      <w:pPr>
        <w:pStyle w:val="BodyText"/>
        <w:spacing w:lineRule="auto" w:line="360"/>
        <w:rPr/>
      </w:pPr>
      <w:r>
        <w:rPr/>
      </w:r>
    </w:p>
    <w:p>
      <w:pPr>
        <w:pStyle w:val="BodyText"/>
        <w:spacing w:lineRule="auto" w:line="360"/>
        <w:ind w:hanging="0"/>
        <w:rPr/>
      </w:pPr>
      <w:r>
        <w:rPr>
          <w:b/>
          <w:bCs/>
        </w:rPr>
        <w:t>Ključne riječi</w:t>
      </w:r>
      <w:r>
        <w:rPr/>
        <w:t>: temperatura, meteorološka postaja, Ecowitt, webhook, .NET, računalni oblak, PostgreSQL, Grafana</w:t>
      </w:r>
    </w:p>
    <w:p>
      <w:pPr>
        <w:pStyle w:val="BodyText"/>
        <w:spacing w:lineRule="auto" w:line="360"/>
        <w:ind w:hanging="0"/>
        <w:rPr/>
      </w:pPr>
      <w:r>
        <w:rPr/>
      </w:r>
      <w:r>
        <w:br w:type="page"/>
      </w:r>
    </w:p>
    <w:p>
      <w:pPr>
        <w:pStyle w:val="BodyText"/>
        <w:spacing w:lineRule="auto" w:line="360" w:before="0" w:after="140"/>
        <w:jc w:val="center"/>
        <w:rPr>
          <w:b/>
          <w:bCs/>
          <w:sz w:val="32"/>
          <w:szCs w:val="32"/>
          <w:lang w:val="en-US"/>
        </w:rPr>
      </w:pPr>
      <w:bookmarkStart w:id="4" w:name="__RefHeading___Toc4229_4218067175"/>
      <w:bookmarkEnd w:id="4"/>
      <w:r>
        <w:rPr>
          <w:b/>
          <w:bCs/>
          <w:sz w:val="32"/>
          <w:szCs w:val="32"/>
          <w:lang w:val="en-US"/>
        </w:rPr>
        <w:t>SUMMARY</w:t>
      </w:r>
    </w:p>
    <w:p>
      <w:pPr>
        <w:pStyle w:val="BodyText"/>
        <w:spacing w:lineRule="auto" w:line="360"/>
        <w:jc w:val="center"/>
        <w:rPr>
          <w:b/>
          <w:bCs/>
          <w:sz w:val="32"/>
          <w:szCs w:val="32"/>
          <w:lang w:val="en-US"/>
        </w:rPr>
      </w:pPr>
      <w:r>
        <w:rPr>
          <w:b/>
          <w:bCs/>
          <w:sz w:val="32"/>
          <w:szCs w:val="32"/>
          <w:lang w:val="en-US"/>
        </w:rPr>
      </w:r>
    </w:p>
    <w:p>
      <w:pPr>
        <w:pStyle w:val="BodyText"/>
        <w:spacing w:lineRule="auto" w:line="360"/>
        <w:rPr>
          <w:lang w:val="en-US"/>
        </w:rPr>
      </w:pPr>
      <w:r>
        <w:rPr>
          <w:lang w:val="en-US"/>
        </w:rPr>
        <w:t>This paper presents a focused outdoor temperature monitoring system using the Ecowitt WS3900 weather station, combined with a robust software architecture built on the .NET 9 Minimal API framework. The system enables the collection and transmission of high-resolution outdoor temperature data in real time via webhook integration, ensuring accuracy by automatically converting units from Fahrenheit to Celsius for environmental monitoring standards. Data management is optimized using the EntityFramework Core 9.0 interface with the PostgreSQL database, supporting efficient storage and retrieval of temperature time series data. Visualization and analysis are enabled via auto-configurable Grafana dashboards, providing dynamic temperature trend analysis and interactive exploration capabilities. The implementation uses containerization technologies, using Docker Compose to manage modular services including webhook data ingestion, storage and visualization, ensuring scalability, reliability and ease of maintenance. The system emphasizes modern software practices including Minimal APIs architecture, automatic configuration of dashboards and a comprehensive Celsius temperature standard for environmental monitoring applications.</w:t>
      </w:r>
    </w:p>
    <w:p>
      <w:pPr>
        <w:pStyle w:val="BodyText"/>
        <w:spacing w:lineRule="auto" w:line="360"/>
        <w:rPr>
          <w:lang w:val="en-US"/>
        </w:rPr>
      </w:pPr>
      <w:r>
        <w:rPr>
          <w:lang w:val="en-US"/>
        </w:rPr>
      </w:r>
    </w:p>
    <w:p>
      <w:pPr>
        <w:pStyle w:val="BodyText"/>
        <w:spacing w:lineRule="auto" w:line="360"/>
        <w:ind w:hanging="0"/>
        <w:rPr>
          <w:lang w:val="en-US"/>
        </w:rPr>
      </w:pPr>
      <w:r>
        <w:rPr>
          <w:b/>
          <w:bCs/>
          <w:lang w:val="en-US"/>
        </w:rPr>
        <w:t>Keywords</w:t>
      </w:r>
      <w:r>
        <w:rPr>
          <w:lang w:val="en-US"/>
        </w:rPr>
        <w:t>: temperature, weather station, Ecowitt, webhook, .NET, computer cloud, PostgreSQL, Grafana.</w:t>
      </w:r>
    </w:p>
    <w:sdt>
      <w:sdtPr>
        <w:docPartObj>
          <w:docPartGallery w:val="Table of Contents"/>
          <w:docPartUnique w:val="true"/>
        </w:docPartObj>
      </w:sdtPr>
      <w:sdtContent>
        <w:p>
          <w:pPr>
            <w:pStyle w:val="TOCHeading"/>
            <w:rPr/>
          </w:pPr>
          <w:r>
            <w:br w:type="page"/>
          </w:r>
          <w:r>
            <w:rPr/>
            <w:t>SADRŽAJ</w:t>
          </w:r>
        </w:p>
        <w:p>
          <w:pPr>
            <w:pStyle w:val="TOC1"/>
            <w:tabs>
              <w:tab w:val="clear" w:pos="709"/>
              <w:tab w:val="left" w:pos="440" w:leader="none"/>
              <w:tab w:val="right" w:pos="9637" w:leader="dot"/>
            </w:tabs>
            <w:rPr/>
          </w:pPr>
          <w:r>
            <w:fldChar w:fldCharType="begin"/>
          </w:r>
          <w:r>
            <w:rPr>
              <w:rStyle w:val="IndexLink"/>
            </w:rPr>
            <w:instrText xml:space="preserve"> TOC \o "1-9" \t "heading 1,1,heading 2,2,heading 3,3,heading 4,4,heading 5,5,heading 6,6,heading 7,7,heading 8,8,heading 9,9" \h</w:instrText>
          </w:r>
          <w:r>
            <w:rPr>
              <w:rStyle w:val="IndexLink"/>
            </w:rPr>
            <w:fldChar w:fldCharType="separate"/>
          </w:r>
          <w:hyperlink w:anchor="__RefHeading___Toc3543_803092978">
            <w:r>
              <w:rPr>
                <w:rStyle w:val="IndexLink"/>
              </w:rPr>
              <w:t>1.</w:t>
            </w:r>
            <w:r>
              <w:rPr>
                <w:rStyle w:val="IndexLink"/>
              </w:rPr>
              <w:tab/>
              <w:t>Uvod</w:t>
              <w:tab/>
              <w:t>1</w:t>
            </w:r>
          </w:hyperlink>
        </w:p>
        <w:p>
          <w:pPr>
            <w:pStyle w:val="TOC1"/>
            <w:tabs>
              <w:tab w:val="clear" w:pos="709"/>
              <w:tab w:val="left" w:pos="440" w:leader="none"/>
              <w:tab w:val="right" w:pos="9637" w:leader="dot"/>
            </w:tabs>
            <w:rPr/>
          </w:pPr>
          <w:hyperlink w:anchor="__RefHeading___Toc3545_803092978">
            <w:r>
              <w:rPr>
                <w:rStyle w:val="IndexLink"/>
              </w:rPr>
              <w:t>2.</w:t>
              <w:tab/>
              <w:t>Pozadina i Motivacija</w:t>
              <w:tab/>
              <w:t>2</w:t>
            </w:r>
          </w:hyperlink>
        </w:p>
        <w:p>
          <w:pPr>
            <w:pStyle w:val="TOC2"/>
            <w:tabs>
              <w:tab w:val="clear" w:pos="709"/>
              <w:tab w:val="left" w:pos="880" w:leader="none"/>
              <w:tab w:val="right" w:pos="9637" w:leader="dot"/>
            </w:tabs>
            <w:rPr/>
          </w:pPr>
          <w:hyperlink w:anchor="__RefHeading___Toc3547_803092978">
            <w:r>
              <w:rPr>
                <w:rStyle w:val="IndexLink"/>
              </w:rPr>
              <w:t>2.1.</w:t>
              <w:tab/>
              <w:t>Značaj Praćenja Vanjske Temperature</w:t>
              <w:tab/>
              <w:t>2</w:t>
            </w:r>
          </w:hyperlink>
        </w:p>
        <w:p>
          <w:pPr>
            <w:pStyle w:val="TOC2"/>
            <w:tabs>
              <w:tab w:val="clear" w:pos="709"/>
              <w:tab w:val="left" w:pos="880" w:leader="none"/>
              <w:tab w:val="right" w:pos="9637" w:leader="dot"/>
            </w:tabs>
            <w:rPr/>
          </w:pPr>
          <w:hyperlink w:anchor="__RefHeading___Toc2802_504949167">
            <w:r>
              <w:rPr>
                <w:rStyle w:val="IndexLink"/>
              </w:rPr>
              <w:t>2.2.</w:t>
              <w:tab/>
              <w:t>Pregled Tehnologija Temperaturnih Senzora</w:t>
              <w:tab/>
              <w:t>2</w:t>
            </w:r>
          </w:hyperlink>
        </w:p>
        <w:p>
          <w:pPr>
            <w:pStyle w:val="TOC3"/>
            <w:tabs>
              <w:tab w:val="clear" w:pos="709"/>
              <w:tab w:val="right" w:pos="9637" w:leader="dot"/>
            </w:tabs>
            <w:rPr/>
          </w:pPr>
          <w:hyperlink w:anchor="__RefHeading___Toc3551_803092978">
            <w:r>
              <w:rPr>
                <w:rStyle w:val="IndexLink"/>
              </w:rPr>
              <w:t>Ključne Značajke Praćenja Temperature</w:t>
              <w:tab/>
              <w:t>3</w:t>
            </w:r>
          </w:hyperlink>
        </w:p>
        <w:p>
          <w:pPr>
            <w:pStyle w:val="TOC2"/>
            <w:tabs>
              <w:tab w:val="clear" w:pos="709"/>
              <w:tab w:val="left" w:pos="880" w:leader="none"/>
              <w:tab w:val="right" w:pos="9637" w:leader="dot"/>
            </w:tabs>
            <w:rPr/>
          </w:pPr>
          <w:hyperlink w:anchor="__RefHeading___Toc2804_504949167">
            <w:r>
              <w:rPr>
                <w:rStyle w:val="IndexLink"/>
              </w:rPr>
              <w:t>2.3.</w:t>
              <w:tab/>
              <w:t>Moderna Softverska Arhitektura za Praćenje Temperature</w:t>
              <w:tab/>
              <w:t>4</w:t>
            </w:r>
          </w:hyperlink>
        </w:p>
        <w:p>
          <w:pPr>
            <w:pStyle w:val="TOC1"/>
            <w:tabs>
              <w:tab w:val="clear" w:pos="709"/>
              <w:tab w:val="left" w:pos="440" w:leader="none"/>
              <w:tab w:val="right" w:pos="9637" w:leader="dot"/>
            </w:tabs>
            <w:rPr/>
          </w:pPr>
          <w:hyperlink w:anchor="__RefHeading___Toc3555_803092978">
            <w:r>
              <w:rPr>
                <w:rStyle w:val="IndexLink"/>
              </w:rPr>
              <w:t>3.</w:t>
              <w:tab/>
              <w:t>Hardverske Komponente i Tehnologija Temperaturnih Senzora</w:t>
              <w:tab/>
              <w:t>5</w:t>
            </w:r>
          </w:hyperlink>
        </w:p>
        <w:p>
          <w:pPr>
            <w:pStyle w:val="TOC2"/>
            <w:tabs>
              <w:tab w:val="clear" w:pos="709"/>
              <w:tab w:val="left" w:pos="880" w:leader="none"/>
              <w:tab w:val="right" w:pos="9637" w:leader="dot"/>
            </w:tabs>
            <w:rPr/>
          </w:pPr>
          <w:hyperlink w:anchor="__RefHeading___Toc3557_803092978">
            <w:r>
              <w:rPr>
                <w:rStyle w:val="IndexLink"/>
              </w:rPr>
              <w:t>3.1.</w:t>
              <w:tab/>
              <w:t>Vanjski Temperaturni Senzor Ecowitt WS69</w:t>
              <w:tab/>
              <w:t>5</w:t>
            </w:r>
          </w:hyperlink>
        </w:p>
        <w:p>
          <w:pPr>
            <w:pStyle w:val="TOC3"/>
            <w:tabs>
              <w:tab w:val="clear" w:pos="709"/>
              <w:tab w:val="right" w:pos="9637" w:leader="dot"/>
            </w:tabs>
            <w:rPr/>
          </w:pPr>
          <w:hyperlink w:anchor="__RefHeading___Toc3559_803092978">
            <w:r>
              <w:rPr>
                <w:rStyle w:val="IndexLink"/>
              </w:rPr>
              <w:t>Specifikacije Vanjskog Temperaturnog Senzora</w:t>
              <w:tab/>
              <w:t>5</w:t>
            </w:r>
          </w:hyperlink>
        </w:p>
        <w:p>
          <w:pPr>
            <w:pStyle w:val="TOC2"/>
            <w:tabs>
              <w:tab w:val="clear" w:pos="709"/>
              <w:tab w:val="left" w:pos="880" w:leader="none"/>
              <w:tab w:val="right" w:pos="9637" w:leader="dot"/>
            </w:tabs>
            <w:rPr/>
          </w:pPr>
          <w:hyperlink w:anchor="__RefHeading___Toc2806_504949167">
            <w:r>
              <w:rPr>
                <w:rStyle w:val="IndexLink"/>
              </w:rPr>
              <w:t>3.2.</w:t>
              <w:tab/>
              <w:t>Kalibracija i Osiguranje Kvalitete Temperaturnih Senzora</w:t>
              <w:tab/>
              <w:t>7</w:t>
            </w:r>
          </w:hyperlink>
        </w:p>
        <w:p>
          <w:pPr>
            <w:pStyle w:val="TOC3"/>
            <w:tabs>
              <w:tab w:val="clear" w:pos="709"/>
              <w:tab w:val="right" w:pos="9637" w:leader="dot"/>
            </w:tabs>
            <w:rPr/>
          </w:pPr>
          <w:hyperlink w:anchor="__RefHeading___Toc3563_803092978">
            <w:r>
              <w:rPr>
                <w:rStyle w:val="IndexLink"/>
              </w:rPr>
              <w:t>Postupci Kalibracije Temperature Prema WMO Smjernicama</w:t>
              <w:tab/>
              <w:t>7</w:t>
            </w:r>
          </w:hyperlink>
        </w:p>
        <w:p>
          <w:pPr>
            <w:pStyle w:val="TOC3"/>
            <w:tabs>
              <w:tab w:val="clear" w:pos="709"/>
              <w:tab w:val="right" w:pos="9637" w:leader="dot"/>
            </w:tabs>
            <w:rPr/>
          </w:pPr>
          <w:hyperlink w:anchor="__RefHeading___Toc3565_803092978">
            <w:r>
              <w:rPr>
                <w:rStyle w:val="IndexLink"/>
              </w:rPr>
              <w:t>Dugoročno Održavanje Temperaturnog Senzora</w:t>
              <w:tab/>
              <w:t>7</w:t>
            </w:r>
          </w:hyperlink>
        </w:p>
        <w:p>
          <w:pPr>
            <w:pStyle w:val="TOC1"/>
            <w:tabs>
              <w:tab w:val="clear" w:pos="709"/>
              <w:tab w:val="left" w:pos="440" w:leader="none"/>
              <w:tab w:val="right" w:pos="9637" w:leader="dot"/>
            </w:tabs>
            <w:rPr/>
          </w:pPr>
          <w:hyperlink w:anchor="__RefHeading___Toc2808_504949167">
            <w:r>
              <w:rPr>
                <w:rStyle w:val="IndexLink"/>
              </w:rPr>
              <w:t>4.</w:t>
              <w:tab/>
              <w:t>Softverska Arhitektura i Razvoj Pozadinskog Sustava</w:t>
              <w:tab/>
              <w:t>8</w:t>
            </w:r>
          </w:hyperlink>
        </w:p>
        <w:p>
          <w:pPr>
            <w:pStyle w:val="TOC2"/>
            <w:tabs>
              <w:tab w:val="clear" w:pos="709"/>
              <w:tab w:val="left" w:pos="880" w:leader="none"/>
              <w:tab w:val="right" w:pos="9637" w:leader="dot"/>
            </w:tabs>
            <w:rPr/>
          </w:pPr>
          <w:hyperlink w:anchor="__RefHeading___Toc3569_803092978">
            <w:r>
              <w:rPr>
                <w:rStyle w:val="IndexLink"/>
              </w:rPr>
              <w:t>4.1.</w:t>
              <w:tab/>
              <w:t>.NET 9 Minimal APIs za Obradu Temperaturnih Podataka</w:t>
              <w:tab/>
              <w:t>9</w:t>
            </w:r>
          </w:hyperlink>
        </w:p>
        <w:p>
          <w:pPr>
            <w:pStyle w:val="TOC3"/>
            <w:tabs>
              <w:tab w:val="clear" w:pos="709"/>
              <w:tab w:val="right" w:pos="9637" w:leader="dot"/>
            </w:tabs>
            <w:rPr/>
          </w:pPr>
          <w:hyperlink w:anchor="__RefHeading___Toc3571_803092978">
            <w:r>
              <w:rPr>
                <w:rStyle w:val="IndexLink"/>
              </w:rPr>
              <w:t>Dizajn API Krajnjih Točaka za Temperature</w:t>
              <w:tab/>
              <w:t>9</w:t>
            </w:r>
          </w:hyperlink>
        </w:p>
        <w:p>
          <w:pPr>
            <w:pStyle w:val="TOC3"/>
            <w:tabs>
              <w:tab w:val="clear" w:pos="709"/>
              <w:tab w:val="right" w:pos="9637" w:leader="dot"/>
            </w:tabs>
            <w:rPr/>
          </w:pPr>
          <w:hyperlink w:anchor="__RefHeading___Toc3573_803092978">
            <w:r>
              <w:rPr>
                <w:rStyle w:val="IndexLink"/>
              </w:rPr>
              <w:t>Obrada Temperaturnih Podataka i Pretvaranje Jedinica</w:t>
              <w:tab/>
              <w:t>12</w:t>
            </w:r>
          </w:hyperlink>
        </w:p>
        <w:p>
          <w:pPr>
            <w:pStyle w:val="TOC2"/>
            <w:tabs>
              <w:tab w:val="clear" w:pos="709"/>
              <w:tab w:val="left" w:pos="880" w:leader="none"/>
              <w:tab w:val="right" w:pos="9637" w:leader="dot"/>
            </w:tabs>
            <w:rPr/>
          </w:pPr>
          <w:hyperlink w:anchor="__RefHeading___Toc3575_803092978">
            <w:r>
              <w:rPr>
                <w:rStyle w:val="IndexLink"/>
              </w:rPr>
              <w:t>4.2.</w:t>
              <w:tab/>
              <w:t>EntityFramework Core 9.0 i Modeliranje Temperaturnih Podataka</w:t>
              <w:tab/>
              <w:t>12</w:t>
            </w:r>
          </w:hyperlink>
        </w:p>
        <w:p>
          <w:pPr>
            <w:pStyle w:val="TOC1"/>
            <w:tabs>
              <w:tab w:val="clear" w:pos="709"/>
              <w:tab w:val="left" w:pos="440" w:leader="none"/>
              <w:tab w:val="right" w:pos="9637" w:leader="dot"/>
            </w:tabs>
            <w:rPr/>
          </w:pPr>
          <w:hyperlink w:anchor="__RefHeading___Toc3577_803092978">
            <w:r>
              <w:rPr>
                <w:rStyle w:val="IndexLink"/>
              </w:rPr>
              <w:t>5.</w:t>
              <w:tab/>
              <w:t>Upravljanje Bazom Podataka s PostgreSQL</w:t>
              <w:tab/>
              <w:t>13</w:t>
            </w:r>
          </w:hyperlink>
        </w:p>
        <w:p>
          <w:pPr>
            <w:pStyle w:val="TOC2"/>
            <w:tabs>
              <w:tab w:val="clear" w:pos="709"/>
              <w:tab w:val="left" w:pos="880" w:leader="none"/>
              <w:tab w:val="right" w:pos="9637" w:leader="dot"/>
            </w:tabs>
            <w:rPr/>
          </w:pPr>
          <w:hyperlink w:anchor="__RefHeading___Toc3579_803092978">
            <w:r>
              <w:rPr>
                <w:rStyle w:val="IndexLink"/>
              </w:rPr>
              <w:t>5.1.</w:t>
              <w:tab/>
              <w:t>Dizajn Sheme Baze Temperaturnih Podataka</w:t>
              <w:tab/>
              <w:t>13</w:t>
            </w:r>
          </w:hyperlink>
        </w:p>
        <w:p>
          <w:pPr>
            <w:pStyle w:val="TOC2"/>
            <w:tabs>
              <w:tab w:val="clear" w:pos="709"/>
              <w:tab w:val="left" w:pos="880" w:leader="none"/>
              <w:tab w:val="right" w:pos="9637" w:leader="dot"/>
            </w:tabs>
            <w:rPr/>
          </w:pPr>
          <w:hyperlink w:anchor="__RefHeading___Toc3581_803092978">
            <w:r>
              <w:rPr>
                <w:rStyle w:val="IndexLink"/>
              </w:rPr>
              <w:t>5.2.</w:t>
              <w:tab/>
              <w:t>Inicijalizacija Temperaturne Baze Podataka</w:t>
              <w:tab/>
              <w:t>14</w:t>
            </w:r>
          </w:hyperlink>
        </w:p>
        <w:p>
          <w:pPr>
            <w:pStyle w:val="TOC1"/>
            <w:tabs>
              <w:tab w:val="clear" w:pos="709"/>
              <w:tab w:val="left" w:pos="440" w:leader="none"/>
              <w:tab w:val="right" w:pos="9637" w:leader="dot"/>
            </w:tabs>
            <w:rPr/>
          </w:pPr>
          <w:hyperlink w:anchor="__RefHeading___Toc2810_504949167">
            <w:r>
              <w:rPr>
                <w:rStyle w:val="IndexLink"/>
              </w:rPr>
              <w:t>6.</w:t>
              <w:tab/>
              <w:t>Kontejnerizacija i Strategija Implementacije</w:t>
              <w:tab/>
              <w:t>15</w:t>
            </w:r>
          </w:hyperlink>
        </w:p>
        <w:p>
          <w:pPr>
            <w:pStyle w:val="TOC2"/>
            <w:tabs>
              <w:tab w:val="clear" w:pos="709"/>
              <w:tab w:val="left" w:pos="880" w:leader="none"/>
              <w:tab w:val="right" w:pos="9637" w:leader="dot"/>
            </w:tabs>
            <w:rPr/>
          </w:pPr>
          <w:hyperlink w:anchor="__RefHeading___Toc3585_803092978">
            <w:r>
              <w:rPr>
                <w:rStyle w:val="IndexLink"/>
              </w:rPr>
              <w:t>6.1.</w:t>
              <w:tab/>
              <w:t>Docker Compose Arhitektura za Praćenje Temperature</w:t>
              <w:tab/>
              <w:t>15</w:t>
            </w:r>
          </w:hyperlink>
        </w:p>
        <w:p>
          <w:pPr>
            <w:pStyle w:val="TOC1"/>
            <w:tabs>
              <w:tab w:val="clear" w:pos="709"/>
              <w:tab w:val="left" w:pos="440" w:leader="none"/>
              <w:tab w:val="right" w:pos="9637" w:leader="dot"/>
            </w:tabs>
            <w:rPr/>
          </w:pPr>
          <w:hyperlink w:anchor="__RefHeading___Toc3587_803092978">
            <w:r>
              <w:rPr>
                <w:rStyle w:val="IndexLink"/>
              </w:rPr>
              <w:t>7.</w:t>
              <w:tab/>
              <w:t>Grafana Vizualizacija Temperature i Dizajn Nadzorne Ploče</w:t>
              <w:tab/>
              <w:t>17</w:t>
            </w:r>
          </w:hyperlink>
        </w:p>
        <w:p>
          <w:pPr>
            <w:pStyle w:val="TOC2"/>
            <w:tabs>
              <w:tab w:val="clear" w:pos="709"/>
              <w:tab w:val="left" w:pos="880" w:leader="none"/>
              <w:tab w:val="right" w:pos="9637" w:leader="dot"/>
            </w:tabs>
            <w:rPr/>
          </w:pPr>
          <w:hyperlink w:anchor="__RefHeading___Toc3589_803092978">
            <w:r>
              <w:rPr>
                <w:rStyle w:val="IndexLink"/>
              </w:rPr>
              <w:t>7.1.</w:t>
              <w:tab/>
              <w:t>Automatsko Konfiguriranje Temperaturne Nadzorne Ploče</w:t>
              <w:tab/>
              <w:t>17</w:t>
            </w:r>
          </w:hyperlink>
        </w:p>
        <w:p>
          <w:pPr>
            <w:pStyle w:val="TOC2"/>
            <w:tabs>
              <w:tab w:val="clear" w:pos="709"/>
              <w:tab w:val="left" w:pos="880" w:leader="none"/>
              <w:tab w:val="right" w:pos="9637" w:leader="dot"/>
            </w:tabs>
            <w:rPr/>
          </w:pPr>
          <w:hyperlink w:anchor="__RefHeading___Toc3591_803092978">
            <w:r>
              <w:rPr>
                <w:rStyle w:val="IndexLink"/>
              </w:rPr>
              <w:t>7.2.</w:t>
              <w:tab/>
              <w:t>Konfiguracija Izvora Temperaturnih Podataka</w:t>
              <w:tab/>
              <w:t>17</w:t>
            </w:r>
          </w:hyperlink>
        </w:p>
        <w:p>
          <w:pPr>
            <w:pStyle w:val="TOC2"/>
            <w:tabs>
              <w:tab w:val="clear" w:pos="709"/>
              <w:tab w:val="left" w:pos="880" w:leader="none"/>
              <w:tab w:val="right" w:pos="9637" w:leader="dot"/>
            </w:tabs>
            <w:rPr/>
          </w:pPr>
          <w:hyperlink w:anchor="__RefHeading___Toc3593_803092978">
            <w:r>
              <w:rPr>
                <w:rStyle w:val="IndexLink"/>
              </w:rPr>
              <w:t>7.3.</w:t>
              <w:tab/>
              <w:t>Dizajn Temperaturne Nadzorne Ploče</w:t>
              <w:tab/>
              <w:t>17</w:t>
            </w:r>
          </w:hyperlink>
        </w:p>
        <w:p>
          <w:pPr>
            <w:pStyle w:val="TOC1"/>
            <w:tabs>
              <w:tab w:val="clear" w:pos="709"/>
              <w:tab w:val="left" w:pos="440" w:leader="none"/>
              <w:tab w:val="right" w:pos="9637" w:leader="dot"/>
            </w:tabs>
            <w:rPr/>
          </w:pPr>
          <w:hyperlink w:anchor="__RefHeading___Toc3595_803092978">
            <w:r>
              <w:rPr>
                <w:rStyle w:val="IndexLink"/>
              </w:rPr>
              <w:t>8.</w:t>
              <w:tab/>
              <w:t>Integracija Sustava i Tok Temperaturnih Podataka</w:t>
              <w:tab/>
              <w:t>19</w:t>
            </w:r>
          </w:hyperlink>
        </w:p>
        <w:p>
          <w:pPr>
            <w:pStyle w:val="TOC2"/>
            <w:tabs>
              <w:tab w:val="clear" w:pos="709"/>
              <w:tab w:val="left" w:pos="880" w:leader="none"/>
              <w:tab w:val="right" w:pos="9637" w:leader="dot"/>
            </w:tabs>
            <w:rPr/>
          </w:pPr>
          <w:hyperlink w:anchor="__RefHeading___Toc3597_803092978">
            <w:r>
              <w:rPr>
                <w:rStyle w:val="IndexLink"/>
              </w:rPr>
              <w:t>8.1.</w:t>
              <w:tab/>
              <w:t>Prikupljanje Temperaturnih Podataka u Realnom Vremenu</w:t>
              <w:tab/>
              <w:t>19</w:t>
            </w:r>
          </w:hyperlink>
        </w:p>
        <w:p>
          <w:pPr>
            <w:pStyle w:val="TOC1"/>
            <w:tabs>
              <w:tab w:val="clear" w:pos="709"/>
              <w:tab w:val="left" w:pos="440" w:leader="none"/>
              <w:tab w:val="right" w:pos="9637" w:leader="dot"/>
            </w:tabs>
            <w:rPr/>
          </w:pPr>
          <w:hyperlink w:anchor="__RefHeading___Toc3599_803092978">
            <w:r>
              <w:rPr>
                <w:rStyle w:val="IndexLink"/>
              </w:rPr>
              <w:t>9.</w:t>
              <w:tab/>
              <w:t>Implementacija i Konfiguracija Temperaturnog Sustava</w:t>
              <w:tab/>
              <w:t>20</w:t>
            </w:r>
          </w:hyperlink>
        </w:p>
        <w:p>
          <w:pPr>
            <w:pStyle w:val="TOC2"/>
            <w:tabs>
              <w:tab w:val="clear" w:pos="709"/>
              <w:tab w:val="left" w:pos="880" w:leader="none"/>
              <w:tab w:val="right" w:pos="9637" w:leader="dot"/>
            </w:tabs>
            <w:rPr/>
          </w:pPr>
          <w:hyperlink w:anchor="__RefHeading___Toc3601_803092978">
            <w:r>
              <w:rPr>
                <w:rStyle w:val="IndexLink"/>
              </w:rPr>
              <w:t>9.1.</w:t>
              <w:tab/>
              <w:t>Implementacija Sustava za Praćenje Temperature</w:t>
              <w:tab/>
              <w:t>20</w:t>
            </w:r>
          </w:hyperlink>
        </w:p>
        <w:p>
          <w:pPr>
            <w:pStyle w:val="TOC2"/>
            <w:tabs>
              <w:tab w:val="clear" w:pos="709"/>
              <w:tab w:val="left" w:pos="880" w:leader="none"/>
              <w:tab w:val="right" w:pos="9637" w:leader="dot"/>
            </w:tabs>
            <w:rPr/>
          </w:pPr>
          <w:hyperlink w:anchor="__RefHeading___Toc3603_803092978">
            <w:r>
              <w:rPr>
                <w:rStyle w:val="IndexLink"/>
              </w:rPr>
              <w:t>9.2.</w:t>
              <w:tab/>
              <w:t>Konfiguracija Ecowitt WS3900</w:t>
              <w:tab/>
              <w:t>20</w:t>
            </w:r>
          </w:hyperlink>
        </w:p>
        <w:p>
          <w:pPr>
            <w:pStyle w:val="TOC1"/>
            <w:tabs>
              <w:tab w:val="clear" w:pos="709"/>
              <w:tab w:val="left" w:pos="440" w:leader="none"/>
              <w:tab w:val="right" w:pos="9637" w:leader="dot"/>
            </w:tabs>
            <w:rPr/>
          </w:pPr>
          <w:hyperlink w:anchor="__RefHeading___Toc2812_504949167">
            <w:r>
              <w:rPr>
                <w:rStyle w:val="IndexLink"/>
              </w:rPr>
              <w:t>10.</w:t>
              <w:tab/>
              <w:t>Analiza Performansi Temperature i Rezultati</w:t>
              <w:tab/>
              <w:t>22</w:t>
            </w:r>
          </w:hyperlink>
        </w:p>
        <w:p>
          <w:pPr>
            <w:pStyle w:val="TOC2"/>
            <w:tabs>
              <w:tab w:val="clear" w:pos="709"/>
              <w:tab w:val="left" w:pos="880" w:leader="none"/>
              <w:tab w:val="right" w:pos="9637" w:leader="dot"/>
            </w:tabs>
            <w:rPr/>
          </w:pPr>
          <w:hyperlink w:anchor="__RefHeading___Toc3607_803092978">
            <w:r>
              <w:rPr>
                <w:rStyle w:val="IndexLink"/>
              </w:rPr>
              <w:t>10.1.</w:t>
              <w:tab/>
              <w:t>Metrike Performansi Temperaturnog Sustava</w:t>
              <w:tab/>
              <w:t>22</w:t>
            </w:r>
          </w:hyperlink>
        </w:p>
        <w:p>
          <w:pPr>
            <w:pStyle w:val="TOC2"/>
            <w:tabs>
              <w:tab w:val="clear" w:pos="709"/>
              <w:tab w:val="left" w:pos="880" w:leader="none"/>
              <w:tab w:val="right" w:pos="9637" w:leader="dot"/>
            </w:tabs>
            <w:rPr/>
          </w:pPr>
          <w:hyperlink w:anchor="__RefHeading___Toc3609_803092978">
            <w:r>
              <w:rPr>
                <w:rStyle w:val="IndexLink"/>
              </w:rPr>
              <w:t>10.2.</w:t>
              <w:tab/>
              <w:t>Procjena Kvalitete Temperaturnih Podataka</w:t>
              <w:tab/>
              <w:t>22</w:t>
            </w:r>
          </w:hyperlink>
        </w:p>
        <w:p>
          <w:pPr>
            <w:pStyle w:val="TOC2"/>
            <w:tabs>
              <w:tab w:val="clear" w:pos="709"/>
              <w:tab w:val="left" w:pos="880" w:leader="none"/>
              <w:tab w:val="right" w:pos="9637" w:leader="dot"/>
            </w:tabs>
            <w:rPr/>
          </w:pPr>
          <w:hyperlink w:anchor="__RefHeading___Toc3611_803092978">
            <w:r>
              <w:rPr>
                <w:rStyle w:val="IndexLink"/>
              </w:rPr>
              <w:t>10.3.</w:t>
              <w:tab/>
              <w:t>Usklađenost s Temperaturnim Standardima</w:t>
              <w:tab/>
              <w:t>23</w:t>
            </w:r>
          </w:hyperlink>
        </w:p>
        <w:p>
          <w:pPr>
            <w:pStyle w:val="TOC1"/>
            <w:tabs>
              <w:tab w:val="clear" w:pos="709"/>
              <w:tab w:val="left" w:pos="440" w:leader="none"/>
              <w:tab w:val="right" w:pos="9637" w:leader="dot"/>
            </w:tabs>
            <w:rPr/>
          </w:pPr>
          <w:hyperlink w:anchor="__RefHeading___Toc3613_803092978">
            <w:r>
              <w:rPr>
                <w:rStyle w:val="IndexLink"/>
              </w:rPr>
              <w:t>11.</w:t>
              <w:tab/>
              <w:t>Zaključak</w:t>
              <w:tab/>
              <w:t>24</w:t>
            </w:r>
          </w:hyperlink>
        </w:p>
        <w:p>
          <w:pPr>
            <w:pStyle w:val="TOC1"/>
            <w:tabs>
              <w:tab w:val="clear" w:pos="709"/>
              <w:tab w:val="left" w:pos="440" w:leader="none"/>
              <w:tab w:val="right" w:pos="9637" w:leader="dot"/>
            </w:tabs>
            <w:rPr/>
          </w:pPr>
          <w:hyperlink w:anchor="__RefHeading___Toc3619_803092978">
            <w:r>
              <w:rPr>
                <w:rStyle w:val="IndexLink"/>
              </w:rPr>
              <w:t>12.</w:t>
              <w:tab/>
              <w:t>Literatura</w:t>
              <w:tab/>
              <w:t>25</w:t>
            </w:r>
          </w:hyperlink>
        </w:p>
        <w:p>
          <w:pPr>
            <w:pStyle w:val="TOC1"/>
            <w:tabs>
              <w:tab w:val="clear" w:pos="709"/>
              <w:tab w:val="left" w:pos="440" w:leader="none"/>
              <w:tab w:val="right" w:pos="9637" w:leader="dot"/>
            </w:tabs>
            <w:rPr/>
          </w:pPr>
          <w:hyperlink w:anchor="__RefHeading___Toc2814_504949167">
            <w:r>
              <w:rPr>
                <w:rStyle w:val="IndexLink"/>
              </w:rPr>
              <w:t>13.</w:t>
              <w:tab/>
              <w:t>Prilozi</w:t>
              <w:tab/>
              <w:t>26</w:t>
            </w:r>
          </w:hyperlink>
        </w:p>
        <w:p>
          <w:pPr>
            <w:pStyle w:val="TOC2"/>
            <w:tabs>
              <w:tab w:val="clear" w:pos="709"/>
              <w:tab w:val="left" w:pos="880" w:leader="none"/>
              <w:tab w:val="right" w:pos="9637" w:leader="dot"/>
            </w:tabs>
            <w:rPr/>
          </w:pPr>
          <w:hyperlink w:anchor="__RefHeading___Toc2816_504949167">
            <w:r>
              <w:rPr>
                <w:rStyle w:val="IndexLink"/>
              </w:rPr>
              <w:t>13.1.</w:t>
              <w:tab/>
              <w:t>Slike</w:t>
              <w:tab/>
              <w:t>26</w:t>
            </w:r>
          </w:hyperlink>
        </w:p>
        <w:p>
          <w:pPr>
            <w:pStyle w:val="TOC2"/>
            <w:tabs>
              <w:tab w:val="clear" w:pos="709"/>
              <w:tab w:val="left" w:pos="880" w:leader="none"/>
              <w:tab w:val="right" w:pos="9637" w:leader="dot"/>
            </w:tabs>
            <w:spacing w:before="0" w:after="120"/>
            <w:rPr/>
          </w:pPr>
          <w:hyperlink w:anchor="__RefHeading___Toc2818_504949167">
            <w:r>
              <w:rPr>
                <w:rStyle w:val="IndexLink"/>
              </w:rPr>
              <w:t>13.2.</w:t>
              <w:tab/>
              <w:t>Kod</w:t>
              <w:tab/>
              <w:t>26</w:t>
            </w:r>
          </w:hyperlink>
          <w:r>
            <w:rPr>
              <w:rStyle w:val="IndexLink"/>
            </w:rPr>
            <w:fldChar w:fldCharType="end"/>
          </w:r>
        </w:p>
        <w:p>
          <w:pPr>
            <w:sectPr>
              <w:footerReference w:type="even" r:id="rId2"/>
              <w:footerReference w:type="default" r:id="rId3"/>
              <w:type w:val="nextPage"/>
              <w:pgSz w:w="11906" w:h="16838"/>
              <w:pgMar w:left="1134" w:right="1134" w:gutter="0" w:header="0" w:top="1134" w:footer="1134" w:bottom="1830"/>
              <w:pgNumType w:fmt="decimal"/>
              <w:formProt w:val="false"/>
              <w:textDirection w:val="lrTb"/>
              <w:docGrid w:type="default" w:linePitch="100" w:charSpace="0"/>
            </w:sectPr>
          </w:pPr>
        </w:p>
      </w:sdtContent>
    </w:sdt>
    <w:p>
      <w:pPr>
        <w:pStyle w:val="BodyText"/>
        <w:spacing w:before="0" w:after="120"/>
        <w:ind w:firstLine="567" w:left="0"/>
        <w:jc w:val="left"/>
        <w:rPr/>
      </w:pPr>
      <w:r>
        <w:rPr/>
      </w:r>
    </w:p>
    <w:p>
      <w:pPr>
        <w:pStyle w:val="Heading1"/>
        <w:spacing w:before="0" w:after="120"/>
        <w:ind w:firstLine="567" w:left="0"/>
        <w:jc w:val="left"/>
        <w:rPr/>
      </w:pPr>
      <w:bookmarkStart w:id="9" w:name="__RefHeading___Toc3543_803092978"/>
      <w:bookmarkStart w:id="10" w:name="_Toc8"/>
      <w:bookmarkEnd w:id="9"/>
      <w:r>
        <w:rPr/>
        <w:t>Uvod</w:t>
      </w:r>
      <w:bookmarkEnd w:id="10"/>
    </w:p>
    <w:p>
      <w:pPr>
        <w:pStyle w:val="BodyText"/>
        <w:spacing w:before="0" w:after="120"/>
        <w:ind w:firstLine="567" w:left="0"/>
        <w:jc w:val="left"/>
        <w:rPr/>
      </w:pPr>
      <w:r>
        <w:rPr/>
      </w:r>
    </w:p>
    <w:p>
      <w:pPr>
        <w:pStyle w:val="BodyText"/>
        <w:spacing w:lineRule="auto" w:line="360"/>
        <w:rPr>
          <w:lang w:val="hr-HR"/>
        </w:rPr>
      </w:pPr>
      <w:r>
        <w:rPr>
          <w:lang w:val="hr-HR"/>
        </w:rPr>
        <w:t xml:space="preserve">Praćenje vanjske temperature postalo je sve važnije za različite primjene uključujući klimatska istraživanja, preciznu poljoprivredu i usklađenost s okolišnim zahtjevima </w:t>
      </w:r>
      <w:r>
        <w:rPr/>
        <w:t>(Državni Hidrometeorološki Zavod, 2024)</w:t>
      </w:r>
      <w:r>
        <w:rPr>
          <w:lang w:val="hr-HR"/>
        </w:rPr>
        <w:t>. Tradicionalni sustavi za praćenje temperature često pate od ograničenja u pristupnosti podataka, obradi u realnom vremenu i mogućnostima integracije. Ovaj rad predstavlja sveobuhvatno rješenje koje rješava te izazove kroz integraciju moderne hardverske meteorološke postaje s kontejneriziranom softverskom arhitekturom, specifično fokusiranom na prikupljanje i analizu podataka o vanjskoj temperaturi.</w:t>
      </w:r>
    </w:p>
    <w:p>
      <w:pPr>
        <w:pStyle w:val="BodyText"/>
        <w:spacing w:lineRule="auto" w:line="360"/>
        <w:rPr>
          <w:lang w:val="hr-HR"/>
        </w:rPr>
      </w:pPr>
      <w:r>
        <w:rPr>
          <w:lang w:val="hr-HR"/>
        </w:rPr>
      </w:r>
    </w:p>
    <w:p>
      <w:pPr>
        <w:pStyle w:val="BodyText"/>
        <w:spacing w:lineRule="auto" w:line="360"/>
        <w:rPr>
          <w:lang w:val="hr-HR"/>
        </w:rPr>
      </w:pPr>
      <w:r>
        <w:rPr>
          <w:lang w:val="hr-HR"/>
        </w:rPr>
        <w:t xml:space="preserve">Predloženi sustav koristi meteorološku postaju Ecowitt WS3900 kao primarni izvor podataka o vanjskoj temperaturi </w:t>
      </w:r>
      <w:r>
        <w:rPr/>
        <w:t>(Ecowitt, 2024)</w:t>
      </w:r>
      <w:r>
        <w:rPr>
          <w:lang w:val="hr-HR"/>
        </w:rPr>
        <w:t xml:space="preserve">, u kombinaciji s robusnim pozadinskim sustavom izgrađenim na .NET 9 s Minimal APIs arhitekturom </w:t>
      </w:r>
      <w:r>
        <w:rPr/>
        <w:t>(Microsoft Corporation, 2024)</w:t>
      </w:r>
      <w:r>
        <w:rPr>
          <w:lang w:val="hr-HR"/>
        </w:rPr>
        <w:t xml:space="preserve">. Sustav naglašava jednostavnost, performanse i održivost kroz kontejnerizaciju pomoću Docker Compose </w:t>
      </w:r>
      <w:r>
        <w:rPr/>
        <w:t>(Docker Inc., 2024)</w:t>
      </w:r>
      <w:r>
        <w:rPr>
          <w:lang w:val="hr-HR"/>
        </w:rPr>
        <w:t xml:space="preserve">, dok osigurava integritet podataka kroz upravljanje PostgreSQL bazom podataka </w:t>
      </w:r>
      <w:r>
        <w:rPr/>
        <w:t>(PostgreSQL Global Development Group, 2024)</w:t>
      </w:r>
      <w:r>
        <w:rPr>
          <w:lang w:val="hr-HR"/>
        </w:rPr>
        <w:t xml:space="preserve"> i pruža bogate mogućnosti vizualizacije temperature putem Grafana nadzornih ploča s automatskim konfiguriranjem </w:t>
      </w:r>
      <w:r>
        <w:rPr/>
        <w:t>(Grafana Labs, 2024)</w:t>
      </w:r>
      <w:r>
        <w:rPr>
          <w:lang w:val="hr-HR"/>
        </w:rPr>
        <w:t>.</w:t>
      </w:r>
    </w:p>
    <w:p>
      <w:pPr>
        <w:pStyle w:val="BodyText"/>
        <w:spacing w:lineRule="auto" w:line="360"/>
        <w:rPr>
          <w:lang w:val="hr-HR"/>
        </w:rPr>
      </w:pPr>
      <w:r>
        <w:rPr>
          <w:lang w:val="hr-HR"/>
        </w:rPr>
      </w:r>
    </w:p>
    <w:p>
      <w:pPr>
        <w:pStyle w:val="BodyText"/>
        <w:spacing w:lineRule="auto" w:line="360"/>
        <w:rPr>
          <w:lang w:val="hr-HR"/>
        </w:rPr>
      </w:pPr>
      <w:r>
        <w:rPr>
          <w:lang w:val="hr-HR"/>
        </w:rPr>
        <w:t>Ključne inovacije u ovom sustavu uključuju automatsko preračunavanje temperaturnih jedinica iz Fahrenheita u Celzije, unošenje temperaturnih podataka bazirano na webookovima koristeći form-encoded POST zahtjeve, Minimal APIs za jednostavniji razvoj i poboljšane performanse, te potpuno kontejnerizirani pristup implementaciji koji pojednostavljuje instalaciju i skaliranje. Sustav je posebno dizajniran da zadovolji meteorološke standarde, automatski pretvarajući sva temperaturna mjerenja u Celzije kako zahtijevaju standardi.</w:t>
      </w:r>
    </w:p>
    <w:p>
      <w:pPr>
        <w:pStyle w:val="BodyText"/>
        <w:spacing w:lineRule="auto" w:line="360"/>
        <w:rPr>
          <w:lang w:val="hr-HR"/>
        </w:rPr>
      </w:pPr>
      <w:r>
        <w:rPr>
          <w:lang w:val="hr-HR"/>
        </w:rPr>
      </w:r>
    </w:p>
    <w:p>
      <w:pPr>
        <w:pStyle w:val="BodyText"/>
        <w:spacing w:lineRule="auto" w:line="360"/>
        <w:rPr>
          <w:highlight w:val="none"/>
        </w:rPr>
      </w:pPr>
      <w:r>
        <w:rPr>
          <w:lang w:val="hr-HR"/>
        </w:rPr>
        <w:t>Arhitektura demonstrira moderne prakse razvoja softvera, uključujući korištenje najnovijih značajki .NET 9, EntityFramework Core 9.0 za robusno pristupanje podacima, te Grafana napredne mogućnosti konfiguriranja za automatsku implementaciju temperaturnih nadzornih ploča. Ovaj pristup osigurava da sustav nije samo funkcionalan već i održiv i skalabilan za buduća poboljšanja praćenja temperature.</w:t>
      </w:r>
    </w:p>
    <w:p>
      <w:pPr>
        <w:pStyle w:val="BodyText"/>
        <w:spacing w:lineRule="auto" w:line="360"/>
        <w:rPr>
          <w:lang w:val="hr-HR"/>
        </w:rPr>
      </w:pPr>
      <w:r>
        <w:rPr>
          <w:lang w:val="hr-HR"/>
        </w:rPr>
      </w:r>
    </w:p>
    <w:p>
      <w:pPr>
        <w:pStyle w:val="Heading1"/>
        <w:numPr>
          <w:ilvl w:val="0"/>
          <w:numId w:val="0"/>
        </w:numPr>
        <w:spacing w:before="0" w:after="120"/>
        <w:ind w:hanging="0" w:left="0"/>
        <w:rPr/>
      </w:pPr>
      <w:r>
        <w:rPr/>
      </w:r>
    </w:p>
    <w:p>
      <w:pPr>
        <w:pStyle w:val="Heading1"/>
        <w:spacing w:before="0" w:after="120"/>
        <w:ind w:firstLine="567" w:left="0"/>
        <w:rPr/>
      </w:pPr>
      <w:bookmarkStart w:id="11" w:name="__RefHeading___Toc3545_803092978"/>
      <w:bookmarkStart w:id="12" w:name="_Toc9"/>
      <w:bookmarkEnd w:id="11"/>
      <w:r>
        <w:rPr/>
        <w:t>Pozadina i Motivacija</w:t>
      </w:r>
      <w:bookmarkEnd w:id="12"/>
    </w:p>
    <w:p>
      <w:pPr>
        <w:pStyle w:val="Heading2"/>
        <w:rPr/>
      </w:pPr>
      <w:bookmarkStart w:id="13" w:name="__RefHeading___Toc3547_803092978"/>
      <w:bookmarkStart w:id="14" w:name="_Toc10"/>
      <w:bookmarkEnd w:id="13"/>
      <w:r>
        <w:rPr/>
        <w:t>Značaj Praćenja Vanjske Temperature</w:t>
      </w:r>
      <w:bookmarkEnd w:id="14"/>
    </w:p>
    <w:p>
      <w:pPr>
        <w:pStyle w:val="BodyText"/>
        <w:spacing w:lineRule="auto" w:line="360"/>
        <w:rPr/>
      </w:pPr>
      <w:r>
        <w:rPr/>
        <w:t>Praćenje vanjske temperature igra ključnu ulogu u razumijevanju lokalnih klimatskih uzoraka, poljoprivredi i omogućavanju istraživanja okoliša (Svjetska Meteorološka Organizacija, 2018). Potreba za točnim podacima o vanjskoj temperaturi u realnom vremenu eksponencijalno je porasla s povećanom sviješću o klimatskim promjenama i njihovim utjecajem na različite sektore društva, posebno u hrvatskim obalnim i poljoprivrednim regijama (Državni Hidrometeorološki Zavod, 2024).</w:t>
      </w:r>
    </w:p>
    <w:p>
      <w:pPr>
        <w:pStyle w:val="BodyText"/>
        <w:spacing w:lineRule="auto" w:line="360"/>
        <w:rPr/>
      </w:pPr>
      <w:r>
        <w:rPr/>
      </w:r>
    </w:p>
    <w:p>
      <w:pPr>
        <w:pStyle w:val="BodyText"/>
        <w:spacing w:lineRule="auto" w:line="360"/>
        <w:rPr/>
      </w:pPr>
      <w:r>
        <w:rPr/>
        <w:t>Moderni sustavi za praćenje vanjske temperature moraju zadovoljiti nekoliko ključnih zahtjeva:</w:t>
      </w:r>
    </w:p>
    <w:p>
      <w:pPr>
        <w:pStyle w:val="BodyText"/>
        <w:numPr>
          <w:ilvl w:val="0"/>
          <w:numId w:val="2"/>
        </w:numPr>
        <w:spacing w:lineRule="auto" w:line="360"/>
        <w:rPr/>
      </w:pPr>
      <w:r>
        <w:rPr>
          <w:b/>
          <w:bCs/>
        </w:rPr>
        <w:t>Prikupljanje temperature u realnom vremenu</w:t>
      </w:r>
      <w:r>
        <w:rPr/>
        <w:t xml:space="preserve"> - Neposredan pristup trenutnim uvjetima vanjske temperature</w:t>
      </w:r>
    </w:p>
    <w:p>
      <w:pPr>
        <w:pStyle w:val="BodyText"/>
        <w:numPr>
          <w:ilvl w:val="0"/>
          <w:numId w:val="2"/>
        </w:numPr>
        <w:spacing w:lineRule="auto" w:line="360"/>
        <w:rPr/>
      </w:pPr>
      <w:r>
        <w:rPr>
          <w:b/>
          <w:bCs/>
        </w:rPr>
        <w:t>Povijesna analiza temperature</w:t>
      </w:r>
      <w:r>
        <w:rPr/>
        <w:t xml:space="preserve"> - Dugoročna analiza trendova i prepoznavanje temperaturnih uzoraka</w:t>
      </w:r>
    </w:p>
    <w:p>
      <w:pPr>
        <w:pStyle w:val="BodyText"/>
        <w:numPr>
          <w:ilvl w:val="0"/>
          <w:numId w:val="2"/>
        </w:numPr>
        <w:spacing w:lineRule="auto" w:line="360"/>
        <w:rPr/>
      </w:pPr>
      <w:r>
        <w:rPr>
          <w:b/>
          <w:bCs/>
        </w:rPr>
        <w:t>Celzijeva standardizacija</w:t>
      </w:r>
      <w:r>
        <w:rPr/>
        <w:t xml:space="preserve"> - Usklađenost s europskim standardima mjerenja temperature</w:t>
      </w:r>
    </w:p>
    <w:p>
      <w:pPr>
        <w:pStyle w:val="BodyText"/>
        <w:numPr>
          <w:ilvl w:val="0"/>
          <w:numId w:val="2"/>
        </w:numPr>
        <w:spacing w:lineRule="auto" w:line="360"/>
        <w:rPr/>
      </w:pPr>
      <w:r>
        <w:rPr>
          <w:b/>
          <w:bCs/>
        </w:rPr>
        <w:t>Skalabilnost</w:t>
      </w:r>
      <w:r>
        <w:rPr/>
        <w:t xml:space="preserve"> - Mogućnost proširenja mreža temperaturnih senzora i rukovanja povećanim volumenom podataka</w:t>
      </w:r>
    </w:p>
    <w:p>
      <w:pPr>
        <w:pStyle w:val="BodyText"/>
        <w:numPr>
          <w:ilvl w:val="0"/>
          <w:numId w:val="2"/>
        </w:numPr>
        <w:spacing w:lineRule="auto" w:line="360"/>
        <w:rPr/>
      </w:pPr>
      <w:r>
        <w:rPr>
          <w:b/>
          <w:bCs/>
        </w:rPr>
        <w:t>Pouzdanost</w:t>
      </w:r>
      <w:r>
        <w:rPr/>
        <w:t xml:space="preserve"> - Dosljedne operacije praćenja temperature s minimalnim prekidima</w:t>
      </w:r>
    </w:p>
    <w:p>
      <w:pPr>
        <w:pStyle w:val="BodyText"/>
        <w:numPr>
          <w:ilvl w:val="0"/>
          <w:numId w:val="2"/>
        </w:numPr>
        <w:spacing w:lineRule="auto" w:line="360"/>
        <w:rPr/>
      </w:pPr>
      <w:r>
        <w:rPr>
          <w:b/>
          <w:bCs/>
        </w:rPr>
        <w:t>Pristupačnost</w:t>
      </w:r>
      <w:r>
        <w:rPr/>
        <w:t xml:space="preserve"> - Korisnički prijateljska sučelja za vizualizaciju temperature za različite dionike</w:t>
      </w:r>
      <w:bookmarkStart w:id="15" w:name="__RefHeading___Toc3549_803092978"/>
      <w:bookmarkEnd w:id="15"/>
    </w:p>
    <w:p>
      <w:pPr>
        <w:pStyle w:val="BodyText"/>
        <w:numPr>
          <w:ilvl w:val="0"/>
          <w:numId w:val="0"/>
        </w:numPr>
        <w:spacing w:lineRule="auto" w:line="360"/>
        <w:ind w:hanging="0" w:left="0"/>
        <w:rPr/>
      </w:pPr>
      <w:r>
        <w:rPr/>
      </w:r>
    </w:p>
    <w:p>
      <w:pPr>
        <w:pStyle w:val="Heading2"/>
        <w:rPr/>
      </w:pPr>
      <w:bookmarkStart w:id="16" w:name="__RefHeading___Toc2802_504949167"/>
      <w:bookmarkStart w:id="17" w:name="_Toc11"/>
      <w:bookmarkEnd w:id="16"/>
      <w:r>
        <w:rPr/>
        <w:t>Pregled Tehnologija Temperaturnih Senzora</w:t>
      </w:r>
      <w:bookmarkEnd w:id="17"/>
    </w:p>
    <w:p>
      <w:pPr>
        <w:pStyle w:val="BodyText"/>
        <w:spacing w:lineRule="auto" w:line="360" w:before="0" w:after="140"/>
        <w:rPr/>
      </w:pPr>
      <w:r>
        <w:rPr/>
        <w:t>Tehnologije temperaturnih senzora značajno su evoluirale, omogućavajući prikupljanje podataka o vanjskoj temperaturi visoke rezolucije u realnom vremenu kroz napredne digitalne senzore, robusne protokole za prijenos podataka i integrirana softverska rješenja (Ecowitt, 2024). Vanjski temperaturni senzor Ecowitt WS69 odražava ovaj napredak pružajući precizna temperaturna mjerenja s značajnom točnošću za praćenje vanjskog okoliša.</w:t>
      </w:r>
    </w:p>
    <w:p>
      <w:pPr>
        <w:pStyle w:val="BodyText"/>
        <w:spacing w:lineRule="auto" w:line="360" w:before="0" w:after="140"/>
        <w:rPr/>
      </w:pPr>
      <w:r>
        <w:rPr/>
      </w:r>
    </w:p>
    <w:p>
      <w:pPr>
        <w:pStyle w:val="BodyText"/>
        <w:spacing w:lineRule="auto" w:line="360" w:before="0" w:after="140"/>
        <w:rPr/>
      </w:pPr>
      <w:r>
        <w:rPr/>
        <w:t>Vanjski temperaturni senzor WS69 koristi digitalnu tehnologiju senzora koja pretvara temperaturne pojave u električne signale, koji se zatim obrađuju i prenose putem webhookova u središnje mjesto za prikupljanje temperaturnih podataka. Integracija temperaturnih senzora s digitalnim platformama olakšana je širenjem standardiziranih komunikacijskih sučelja i protokola, posebno HTTP-osnovanih webhook sustava koji omogućavaju prijenos temperaturnih podataka u realnom vremenu.</w:t>
      </w:r>
    </w:p>
    <w:p>
      <w:pPr>
        <w:pStyle w:val="BodyText"/>
        <w:spacing w:lineRule="auto" w:line="360" w:before="0" w:after="140"/>
        <w:rPr/>
      </w:pPr>
      <w:r>
        <w:rPr/>
      </w:r>
    </w:p>
    <w:p>
      <w:pPr>
        <w:pStyle w:val="Heading3"/>
        <w:ind w:firstLine="567" w:left="0"/>
        <w:rPr/>
      </w:pPr>
      <w:bookmarkStart w:id="18" w:name="__RefHeading___Toc3551_803092978"/>
      <w:bookmarkStart w:id="19" w:name="_Toc12"/>
      <w:bookmarkEnd w:id="18"/>
      <w:r>
        <w:rPr/>
        <w:t>Ključne Značajke Praćenja Temperature</w:t>
      </w:r>
      <w:bookmarkEnd w:id="19"/>
    </w:p>
    <w:p>
      <w:pPr>
        <w:pStyle w:val="BodyText"/>
        <w:numPr>
          <w:ilvl w:val="0"/>
          <w:numId w:val="3"/>
        </w:numPr>
        <w:spacing w:lineRule="auto" w:line="360" w:before="0" w:after="140"/>
        <w:rPr/>
      </w:pPr>
      <w:r>
        <w:rPr>
          <w:b/>
          <w:bCs/>
        </w:rPr>
        <w:t>Webhook prijenos temperaturnih podataka</w:t>
      </w:r>
      <w:r>
        <w:rPr/>
        <w:t xml:space="preserve"> - HTTP POST zahtjevi s form-encoded temperaturnim podacima</w:t>
      </w:r>
    </w:p>
    <w:p>
      <w:pPr>
        <w:pStyle w:val="BodyText"/>
        <w:numPr>
          <w:ilvl w:val="0"/>
          <w:numId w:val="3"/>
        </w:numPr>
        <w:spacing w:lineRule="auto" w:line="360" w:before="0" w:after="140"/>
        <w:rPr/>
      </w:pPr>
      <w:r>
        <w:rPr>
          <w:b/>
          <w:bCs/>
        </w:rPr>
        <w:t>Precizni vanjski temperaturni senzor</w:t>
      </w:r>
      <w:r>
        <w:rPr/>
        <w:t xml:space="preserve"> - </w:t>
      </w:r>
      <w:r>
        <w:rPr>
          <w:lang w:val="en-US"/>
        </w:rPr>
        <w:t>V</w:t>
      </w:r>
      <w:r>
        <w:rPr/>
        <w:t>anjska temperaturna mjerenja</w:t>
      </w:r>
      <w:r>
        <w:rPr>
          <w:lang w:val="en-US"/>
        </w:rPr>
        <w:t xml:space="preserve"> visoke preciznosti</w:t>
      </w:r>
    </w:p>
    <w:p>
      <w:pPr>
        <w:pStyle w:val="BodyText"/>
        <w:numPr>
          <w:ilvl w:val="0"/>
          <w:numId w:val="3"/>
        </w:numPr>
        <w:spacing w:lineRule="auto" w:line="360" w:before="0" w:after="140"/>
        <w:rPr/>
      </w:pPr>
      <w:r>
        <w:rPr>
          <w:b/>
          <w:bCs/>
        </w:rPr>
        <w:t>Otpornost na vremenske uvjete</w:t>
      </w:r>
      <w:r>
        <w:rPr/>
        <w:t xml:space="preserve"> - Izdržljiva konstrukcija za vanjsko praćenje temperature</w:t>
      </w:r>
    </w:p>
    <w:p>
      <w:pPr>
        <w:pStyle w:val="BodyText"/>
        <w:numPr>
          <w:ilvl w:val="0"/>
          <w:numId w:val="3"/>
        </w:numPr>
        <w:spacing w:lineRule="auto" w:line="360" w:before="0" w:after="140"/>
        <w:rPr/>
      </w:pPr>
      <w:r>
        <w:rPr>
          <w:b/>
          <w:bCs/>
        </w:rPr>
        <w:t>Niska potrošnja energije</w:t>
      </w:r>
      <w:r>
        <w:rPr/>
        <w:t xml:space="preserve"> - Baterijsko ili solarno napajanje za kontinuirano praćenje temperature</w:t>
      </w:r>
    </w:p>
    <w:p>
      <w:pPr>
        <w:pStyle w:val="BodyText"/>
        <w:numPr>
          <w:ilvl w:val="0"/>
          <w:numId w:val="3"/>
        </w:numPr>
        <w:spacing w:lineRule="auto" w:line="360" w:before="0" w:after="140"/>
        <w:rPr/>
      </w:pPr>
      <w:r>
        <w:rPr>
          <w:b/>
          <w:bCs/>
        </w:rPr>
        <w:t>Bežična povezivost</w:t>
      </w:r>
      <w:r>
        <w:rPr/>
        <w:t xml:space="preserve"> - Wi-Fi prijenos temperaturnih podataka</w:t>
      </w:r>
    </w:p>
    <w:p>
      <w:pPr>
        <w:pStyle w:val="Normal"/>
        <w:shd w:val="nil"/>
        <w:rPr/>
      </w:pPr>
      <w:r>
        <w:rPr/>
      </w:r>
      <w:r>
        <w:br w:type="page"/>
      </w:r>
    </w:p>
    <w:p>
      <w:pPr>
        <w:pStyle w:val="Heading2"/>
        <w:spacing w:before="0" w:after="120"/>
        <w:ind w:firstLine="567" w:left="0"/>
        <w:rPr/>
      </w:pPr>
      <w:bookmarkStart w:id="20" w:name="__RefHeading___Toc2804_504949167"/>
      <w:bookmarkStart w:id="21" w:name="_Toc13"/>
      <w:bookmarkEnd w:id="20"/>
      <w:r>
        <w:rPr/>
        <w:t>Moderna Softverska Arhitektura za Praćenje Temperature</w:t>
      </w:r>
      <w:bookmarkEnd w:id="21"/>
    </w:p>
    <w:p>
      <w:pPr>
        <w:pStyle w:val="BodyText"/>
        <w:rPr/>
      </w:pPr>
      <w:r>
        <w:rPr/>
        <w:t>Evolucija prema Minimal API, kontejnerizaciji i cloud-native aplikacijama transformirala je način dizajniranja i implementacije sustava za praćenje vanjske temperature (Microsoft Corporation, 2024). Ključni trendovi uključuju:</w:t>
      </w:r>
    </w:p>
    <w:p>
      <w:pPr>
        <w:pStyle w:val="BodyText"/>
        <w:numPr>
          <w:ilvl w:val="0"/>
          <w:numId w:val="4"/>
        </w:numPr>
        <w:rPr/>
      </w:pPr>
      <w:r>
        <w:rPr>
          <w:b/>
          <w:bCs/>
        </w:rPr>
        <w:t xml:space="preserve">ASP.NET Core Minimal API </w:t>
      </w:r>
      <w:r>
        <w:rPr/>
        <w:t>- Lagani, visokoperformantni API-ji sa smanjenim boilerplate kodom</w:t>
      </w:r>
    </w:p>
    <w:p>
      <w:pPr>
        <w:pStyle w:val="BodyText"/>
        <w:numPr>
          <w:ilvl w:val="0"/>
          <w:numId w:val="4"/>
        </w:numPr>
        <w:rPr/>
      </w:pPr>
      <w:r>
        <w:rPr>
          <w:b/>
          <w:bCs/>
        </w:rPr>
        <w:t>Kontejnerizacija</w:t>
      </w:r>
      <w:r>
        <w:rPr/>
        <w:t xml:space="preserve"> - Docker i orkestracija kontejnera za skalabilne implementacije praćenja temperature</w:t>
      </w:r>
    </w:p>
    <w:p>
      <w:pPr>
        <w:pStyle w:val="BodyText"/>
        <w:numPr>
          <w:ilvl w:val="0"/>
          <w:numId w:val="4"/>
        </w:numPr>
        <w:rPr/>
      </w:pPr>
      <w:r>
        <w:rPr>
          <w:b/>
          <w:bCs/>
        </w:rPr>
        <w:t xml:space="preserve">Baze podataka </w:t>
      </w:r>
      <w:r>
        <w:rPr/>
        <w:t>- Optimizirano pohranjivanje za temperaturne podatke s pravilnim indeksiranjem</w:t>
      </w:r>
    </w:p>
    <w:p>
      <w:pPr>
        <w:pStyle w:val="BodyText"/>
        <w:numPr>
          <w:ilvl w:val="0"/>
          <w:numId w:val="4"/>
        </w:numPr>
        <w:rPr/>
      </w:pPr>
      <w:r>
        <w:rPr>
          <w:b/>
          <w:bCs/>
        </w:rPr>
        <w:t>Automatsko konfiguriranje</w:t>
      </w:r>
      <w:r>
        <w:rPr/>
        <w:t xml:space="preserve"> - Configuration-as-code za temperaturne nadzorne ploče i postavke izvora podataka</w:t>
      </w:r>
    </w:p>
    <w:p>
      <w:pPr>
        <w:pStyle w:val="BodyText"/>
        <w:numPr>
          <w:ilvl w:val="0"/>
          <w:numId w:val="4"/>
        </w:numPr>
        <w:rPr/>
      </w:pPr>
      <w:r>
        <w:rPr>
          <w:b/>
          <w:bCs/>
        </w:rPr>
        <w:t>Vizualizacija temperature u realnom vremenu</w:t>
      </w:r>
      <w:r>
        <w:rPr/>
        <w:t xml:space="preserve"> - Interaktivne temperaturne nadzorne ploče i sučelja za praćenje</w:t>
      </w:r>
      <w:r>
        <w:br w:type="page"/>
      </w:r>
    </w:p>
    <w:p>
      <w:pPr>
        <w:pStyle w:val="Heading1"/>
        <w:spacing w:before="0" w:after="120"/>
        <w:ind w:firstLine="567" w:left="0"/>
        <w:rPr/>
      </w:pPr>
      <w:bookmarkStart w:id="22" w:name="__RefHeading___Toc3555_803092978"/>
      <w:bookmarkStart w:id="23" w:name="_Toc14"/>
      <w:bookmarkEnd w:id="22"/>
      <w:r>
        <w:rPr/>
        <w:t>Hardverske Komponente i Tehnologija Temperaturnih Senzora</w:t>
      </w:r>
      <w:bookmarkEnd w:id="23"/>
    </w:p>
    <w:p>
      <w:pPr>
        <w:pStyle w:val="Heading2"/>
        <w:ind w:firstLine="567" w:left="0"/>
        <w:rPr/>
      </w:pPr>
      <w:bookmarkStart w:id="24" w:name="__RefHeading___Toc3557_803092978"/>
      <w:bookmarkStart w:id="25" w:name="_Toc15"/>
      <w:bookmarkEnd w:id="24"/>
      <w:r>
        <w:rPr/>
        <w:t>Vanjski Temperaturni Senzor Ecowitt WS69</w:t>
      </w:r>
      <w:bookmarkEnd w:id="25"/>
    </w:p>
    <w:p>
      <w:pPr>
        <w:pStyle w:val="BodyText"/>
        <w:rPr>
          <w:highlight w:val="none"/>
        </w:rPr>
      </w:pPr>
      <w:r>
        <w:rPr/>
        <w:t>Vanjski temperaturni senzor meteorološke postaje Ecowitt WS69 čini osnovu našeg sustava za praćenje temperature (Ecowitt, 2024). Ovaj senzor predstavlja najsuvremeniju potrošačku opremu za praćenje vanjske temperature, pružajući profesionalnu razinu točnosti po pristupačnoj cijeni, što ga čini idealnim za hrvatske aplikacije praćenja temperature okoliša.</w:t>
      </w:r>
    </w:p>
    <w:p>
      <w:pPr>
        <w:pStyle w:val="BodyText"/>
        <w:rPr/>
      </w:pPr>
      <w:r>
        <w:rPr/>
      </w:r>
    </w:p>
    <w:p>
      <w:pPr>
        <w:pStyle w:val="BodyText"/>
        <w:ind w:hanging="0" w:left="0" w:right="0"/>
        <w:jc w:val="center"/>
        <w:rPr/>
      </w:pPr>
      <w:r>
        <w:rPr/>
        <w:drawing>
          <wp:inline distT="0" distB="0" distL="0" distR="0">
            <wp:extent cx="6120130" cy="288480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120130" cy="2884805"/>
                    </a:xfrm>
                    <a:prstGeom prst="rect">
                      <a:avLst/>
                    </a:prstGeom>
                    <a:noFill/>
                  </pic:spPr>
                </pic:pic>
              </a:graphicData>
            </a:graphic>
          </wp:inline>
        </w:drawing>
      </w:r>
    </w:p>
    <w:p>
      <w:pPr>
        <w:pStyle w:val="Caption"/>
        <w:jc w:val="center"/>
        <w:rPr>
          <w:highlight w:val="none"/>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w:t>
      </w:r>
      <w:r>
        <w:rPr>
          <w:lang w:val="hr-HR"/>
        </w:rPr>
        <w:fldChar w:fldCharType="end"/>
      </w:r>
      <w:r>
        <w:rPr>
          <w:lang w:val="hr-HR"/>
        </w:rPr>
        <w:t xml:space="preserve"> – Ecowitt WS69 vanjska jedinica</w:t>
      </w:r>
    </w:p>
    <w:p>
      <w:pPr>
        <w:pStyle w:val="Caption"/>
        <w:jc w:val="center"/>
        <w:rPr>
          <w:highlight w:val="none"/>
        </w:rPr>
      </w:pPr>
      <w:r>
        <w:rPr/>
      </w:r>
    </w:p>
    <w:p>
      <w:pPr>
        <w:pStyle w:val="Heading3"/>
        <w:ind w:firstLine="567" w:left="0"/>
        <w:rPr/>
      </w:pPr>
      <w:bookmarkStart w:id="26" w:name="__RefHeading___Toc3559_803092978"/>
      <w:bookmarkStart w:id="27" w:name="_Toc16"/>
      <w:bookmarkEnd w:id="26"/>
      <w:r>
        <w:rPr/>
        <w:t>Specifikacije Vanjskog Temperaturnog Senzora</w:t>
      </w:r>
      <w:bookmarkEnd w:id="27"/>
    </w:p>
    <w:p>
      <w:pPr>
        <w:pStyle w:val="BodyText"/>
        <w:rPr/>
      </w:pPr>
      <w:r>
        <w:rPr/>
        <w:t>Vanjski temperaturni senzor WS69 pruža precizna temperaturna mjerenja:</w:t>
      </w:r>
    </w:p>
    <w:tbl>
      <w:tblPr>
        <w:tblW w:w="9638" w:type="dxa"/>
        <w:jc w:val="center"/>
        <w:tblInd w:w="0" w:type="dxa"/>
        <w:tblLayout w:type="fixed"/>
        <w:tblCellMar>
          <w:top w:w="0" w:type="dxa"/>
          <w:left w:w="0" w:type="dxa"/>
          <w:bottom w:w="0" w:type="dxa"/>
          <w:right w:w="0" w:type="dxa"/>
        </w:tblCellMar>
        <w:tblLook w:firstRow="1" w:noVBand="1" w:lastRow="0" w:firstColumn="1" w:lastColumn="0" w:noHBand="0" w:val="04a0"/>
      </w:tblPr>
      <w:tblGrid>
        <w:gridCol w:w="3212"/>
        <w:gridCol w:w="3213"/>
        <w:gridCol w:w="3213"/>
      </w:tblGrid>
      <w:tr>
        <w:trPr/>
        <w:tc>
          <w:tcPr>
            <w:tcW w:w="3212" w:type="dxa"/>
            <w:tcBorders>
              <w:top w:val="single" w:sz="6" w:space="0" w:color="000000"/>
              <w:bottom w:val="single" w:sz="6" w:space="0" w:color="000000"/>
            </w:tcBorders>
          </w:tcPr>
          <w:p>
            <w:pPr>
              <w:pStyle w:val="TableHeading"/>
              <w:jc w:val="left"/>
              <w:rPr>
                <w:rFonts w:ascii="Liberation Serif" w:hAnsi="Liberation Serif"/>
                <w:b/>
                <w:bCs/>
                <w:i w:val="false"/>
                <w:i w:val="false"/>
                <w:iCs w:val="false"/>
                <w:strike w:val="false"/>
                <w:dstrike w:val="false"/>
                <w:color w:val="000000"/>
                <w:sz w:val="24"/>
                <w:szCs w:val="24"/>
                <w:u w:val="none"/>
              </w:rPr>
            </w:pPr>
            <w:r>
              <w:rPr>
                <w:rFonts w:ascii="Liberation Serif" w:hAnsi="Liberation Serif"/>
                <w:b/>
                <w:bCs/>
                <w:i w:val="false"/>
                <w:iCs w:val="false"/>
                <w:strike w:val="false"/>
                <w:dstrike w:val="false"/>
                <w:color w:val="000000"/>
                <w:sz w:val="24"/>
                <w:szCs w:val="24"/>
                <w:u w:val="none"/>
              </w:rPr>
              <w:t>Parametar</w:t>
            </w:r>
          </w:p>
        </w:tc>
        <w:tc>
          <w:tcPr>
            <w:tcW w:w="3213" w:type="dxa"/>
            <w:tcBorders>
              <w:top w:val="single" w:sz="6" w:space="0" w:color="000000"/>
              <w:bottom w:val="single" w:sz="6" w:space="0" w:color="000000"/>
            </w:tcBorders>
          </w:tcPr>
          <w:p>
            <w:pPr>
              <w:pStyle w:val="TableHeading"/>
              <w:jc w:val="left"/>
              <w:rPr>
                <w:rFonts w:ascii="Liberation Serif" w:hAnsi="Liberation Serif"/>
                <w:b/>
                <w:bCs/>
                <w:i w:val="false"/>
                <w:i w:val="false"/>
                <w:iCs w:val="false"/>
                <w:strike w:val="false"/>
                <w:dstrike w:val="false"/>
                <w:color w:val="000000"/>
                <w:sz w:val="24"/>
                <w:szCs w:val="24"/>
                <w:u w:val="none"/>
              </w:rPr>
            </w:pPr>
            <w:r>
              <w:rPr>
                <w:rFonts w:ascii="Liberation Serif" w:hAnsi="Liberation Serif"/>
                <w:b/>
                <w:bCs/>
                <w:i w:val="false"/>
                <w:iCs w:val="false"/>
                <w:strike w:val="false"/>
                <w:dstrike w:val="false"/>
                <w:color w:val="000000"/>
                <w:sz w:val="24"/>
                <w:szCs w:val="24"/>
                <w:u w:val="none"/>
              </w:rPr>
              <w:t>Raspon</w:t>
            </w:r>
          </w:p>
        </w:tc>
        <w:tc>
          <w:tcPr>
            <w:tcW w:w="3213" w:type="dxa"/>
            <w:tcBorders>
              <w:top w:val="single" w:sz="6" w:space="0" w:color="000000"/>
              <w:bottom w:val="single" w:sz="6" w:space="0" w:color="000000"/>
            </w:tcBorders>
          </w:tcPr>
          <w:p>
            <w:pPr>
              <w:pStyle w:val="TableHeading"/>
              <w:jc w:val="left"/>
              <w:rPr>
                <w:rFonts w:ascii="Liberation Serif" w:hAnsi="Liberation Serif"/>
                <w:b/>
                <w:bCs/>
                <w:i w:val="false"/>
                <w:i w:val="false"/>
                <w:iCs w:val="false"/>
                <w:strike w:val="false"/>
                <w:dstrike w:val="false"/>
                <w:color w:val="000000"/>
                <w:sz w:val="24"/>
                <w:szCs w:val="24"/>
                <w:u w:val="none"/>
              </w:rPr>
            </w:pPr>
            <w:r>
              <w:rPr>
                <w:rFonts w:ascii="Liberation Serif" w:hAnsi="Liberation Serif"/>
                <w:b/>
                <w:bCs/>
                <w:i w:val="false"/>
                <w:iCs w:val="false"/>
                <w:strike w:val="false"/>
                <w:dstrike w:val="false"/>
                <w:color w:val="000000"/>
                <w:sz w:val="24"/>
                <w:szCs w:val="24"/>
                <w:u w:val="none"/>
              </w:rPr>
              <w:t>Točnost</w:t>
            </w:r>
          </w:p>
        </w:tc>
      </w:tr>
      <w:tr>
        <w:trPr/>
        <w:tc>
          <w:tcPr>
            <w:tcW w:w="3212" w:type="dxa"/>
            <w:tcBorders/>
          </w:tcPr>
          <w:p>
            <w:pPr>
              <w:pStyle w:val="TableHeading"/>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Vanjska Temperatura</w:t>
            </w:r>
          </w:p>
        </w:tc>
        <w:tc>
          <w:tcPr>
            <w:tcW w:w="3213" w:type="dxa"/>
            <w:tcBorders/>
          </w:tcPr>
          <w:p>
            <w:pPr>
              <w:pStyle w:val="TableHeading"/>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-40°C do +60°C</w:t>
            </w:r>
          </w:p>
        </w:tc>
        <w:tc>
          <w:tcPr>
            <w:tcW w:w="3213" w:type="dxa"/>
            <w:tcBorders/>
          </w:tcPr>
          <w:p>
            <w:pPr>
              <w:pStyle w:val="TableHeading"/>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±0.5°C</w:t>
            </w:r>
          </w:p>
        </w:tc>
      </w:tr>
      <w:tr>
        <w:trPr/>
        <w:tc>
          <w:tcPr>
            <w:tcW w:w="3212"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Rezolucija</w:t>
            </w:r>
          </w:p>
        </w:tc>
        <w:tc>
          <w:tcPr>
            <w:tcW w:w="321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0.1°C</w:t>
            </w:r>
          </w:p>
        </w:tc>
        <w:tc>
          <w:tcPr>
            <w:tcW w:w="321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w:t>
            </w:r>
          </w:p>
        </w:tc>
      </w:tr>
      <w:tr>
        <w:trPr/>
        <w:tc>
          <w:tcPr>
            <w:tcW w:w="3212"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Vrijeme Odziva</w:t>
            </w:r>
          </w:p>
        </w:tc>
        <w:tc>
          <w:tcPr>
            <w:tcW w:w="321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20 sekundi</w:t>
            </w:r>
          </w:p>
        </w:tc>
        <w:tc>
          <w:tcPr>
            <w:tcW w:w="321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w:t>
            </w:r>
          </w:p>
        </w:tc>
      </w:tr>
      <w:tr>
        <w:trPr>
          <w:trHeight w:val="448" w:hRule="atLeast"/>
        </w:trPr>
        <w:tc>
          <w:tcPr>
            <w:tcW w:w="3212"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Brzina Uzorkovanja</w:t>
            </w:r>
          </w:p>
        </w:tc>
        <w:tc>
          <w:tcPr>
            <w:tcW w:w="3213"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60 sekundi</w:t>
            </w:r>
          </w:p>
        </w:tc>
        <w:tc>
          <w:tcPr>
            <w:tcW w:w="3213"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Podesivo</w:t>
            </w:r>
          </w:p>
        </w:tc>
      </w:tr>
    </w:tbl>
    <w:p>
      <w:pPr>
        <w:pStyle w:val="Caption"/>
        <w:jc w:val="center"/>
        <w:rPr>
          <w:highlight w:val="none"/>
        </w:rPr>
      </w:pPr>
      <w:r>
        <w:rPr/>
      </w:r>
    </w:p>
    <w:p>
      <w:pPr>
        <w:pStyle w:val="Caption"/>
        <w:ind w:hanging="0" w:left="0" w:right="0"/>
        <w:jc w:val="left"/>
        <w:rPr>
          <w:lang w:val="hr-HR"/>
        </w:rPr>
      </w:pPr>
      <w:r>
        <w:rPr/>
        <w:drawing>
          <wp:inline distT="0" distB="0" distL="0" distR="0">
            <wp:extent cx="6120130" cy="4254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120130" cy="4254500"/>
                    </a:xfrm>
                    <a:prstGeom prst="rect">
                      <a:avLst/>
                    </a:prstGeom>
                    <a:noFill/>
                  </pic:spPr>
                </pic:pic>
              </a:graphicData>
            </a:graphic>
          </wp:inline>
        </w:drawing>
      </w:r>
    </w:p>
    <w:p>
      <w:pPr>
        <w:pStyle w:val="Caption"/>
        <w:jc w:val="center"/>
        <w:rPr/>
      </w:pPr>
      <w:r>
        <w:rPr/>
        <w:t xml:space="preserve">Slika </w:t>
      </w:r>
      <w:r>
        <w:rPr/>
        <w:fldChar w:fldCharType="begin"/>
      </w:r>
      <w:r>
        <w:rPr/>
        <w:instrText xml:space="preserve"> SEQ Slika \* ARABIC </w:instrText>
      </w:r>
      <w:r>
        <w:rPr/>
        <w:fldChar w:fldCharType="separate"/>
      </w:r>
      <w:r>
        <w:rPr/>
        <w:t>2</w:t>
      </w:r>
      <w:r>
        <w:rPr/>
        <w:fldChar w:fldCharType="end"/>
      </w:r>
      <w:r>
        <w:rPr/>
        <w:t xml:space="preserve"> - Ecowitt WS3900 konzola </w:t>
      </w:r>
    </w:p>
    <w:p>
      <w:pPr>
        <w:pStyle w:val="BodyText"/>
        <w:ind w:hanging="0"/>
        <w:rPr/>
      </w:pPr>
      <w:r>
        <w:rPr/>
      </w:r>
    </w:p>
    <w:p>
      <w:pPr>
        <w:pStyle w:val="BodyText"/>
        <w:rPr/>
      </w:pPr>
      <w:r>
        <w:rPr/>
        <w:t>Postaja prenosi podatke o vanjskoj temperaturi putem webhook POST zahtjeva u form-encoded formatu. Tipičan temperaturni podatkovni teret uključuje:</w:t>
      </w:r>
    </w:p>
    <w:p>
      <w:pPr>
        <w:pStyle w:val="BodyText"/>
        <w:rPr/>
      </w:pPr>
      <w:r>
        <w:rPr/>
        <w:drawing>
          <wp:inline distT="0" distB="0" distL="0" distR="0">
            <wp:extent cx="3505200" cy="16954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3505200" cy="1695450"/>
                    </a:xfrm>
                    <a:prstGeom prst="rect">
                      <a:avLst/>
                    </a:prstGeom>
                    <a:noFill/>
                  </pic:spPr>
                </pic:pic>
              </a:graphicData>
            </a:graphic>
          </wp:inline>
        </w:drawing>
      </w:r>
    </w:p>
    <w:p>
      <w:pPr>
        <w:pStyle w:val="BodyText"/>
        <w:ind w:hanging="0"/>
        <w:rPr>
          <w:highlight w:val="none"/>
        </w:rPr>
      </w:pPr>
      <w:r>
        <w:rPr/>
        <w:t xml:space="preserve">Gdje </w:t>
      </w:r>
      <w:r>
        <w:rPr>
          <w:i/>
          <w:iCs/>
        </w:rPr>
        <w:t>tempf</w:t>
      </w:r>
      <w:r>
        <w:rPr/>
        <w:t xml:space="preserve"> predstavlja vanjsku temperaturu u Fahrenheitima, koju sustav automatski pretvara u Celzije za usklađenost s standardima.</w:t>
      </w:r>
      <w:bookmarkStart w:id="28" w:name="__RefHeading___Toc3561_803092978"/>
      <w:bookmarkEnd w:id="28"/>
    </w:p>
    <w:p>
      <w:pPr>
        <w:pStyle w:val="BodyText"/>
        <w:ind w:hanging="0"/>
        <w:rPr>
          <w:highlight w:val="none"/>
        </w:rPr>
      </w:pPr>
      <w:r>
        <w:rPr/>
      </w:r>
    </w:p>
    <w:p>
      <w:pPr>
        <w:pStyle w:val="Heading2"/>
        <w:ind w:firstLine="567" w:left="0"/>
        <w:rPr/>
      </w:pPr>
      <w:bookmarkStart w:id="29" w:name="__RefHeading___Toc2806_504949167"/>
      <w:bookmarkStart w:id="30" w:name="_Toc17"/>
      <w:bookmarkEnd w:id="29"/>
      <w:r>
        <w:rPr/>
        <w:t>Kalibracija i Osiguranje Kvalitete Temperaturnih Senzora</w:t>
      </w:r>
      <w:bookmarkEnd w:id="30"/>
    </w:p>
    <w:p>
      <w:pPr>
        <w:pStyle w:val="Heading3"/>
        <w:ind w:firstLine="567" w:left="0"/>
        <w:rPr/>
      </w:pPr>
      <w:bookmarkStart w:id="31" w:name="__RefHeading___Toc3563_803092978"/>
      <w:bookmarkStart w:id="32" w:name="_Toc18"/>
      <w:bookmarkEnd w:id="31"/>
      <w:r>
        <w:rPr/>
        <w:t>Postupci Kalibracije Temperature Prema WMO Smjernicama</w:t>
      </w:r>
      <w:bookmarkEnd w:id="32"/>
    </w:p>
    <w:p>
      <w:pPr>
        <w:pStyle w:val="BodyText"/>
        <w:rPr/>
      </w:pPr>
      <w:r>
        <w:rPr/>
        <w:t>Kalibracija vanjskih temperaturnih senzora temeljna je za osiguravanje pouzdanosti i usporedivosti podataka, kako naglašava Svjetska Meteorološka Organizacija (WMO). Za integrirane sustave koji koriste vanjski temperaturni senzor Ecowitt WS69, pridržavanje standardiziranih postupaka kalibracije ključno je za održavanje integriteta temperaturnih podataka.</w:t>
      </w:r>
    </w:p>
    <w:p>
      <w:pPr>
        <w:pStyle w:val="BodyText"/>
        <w:rPr/>
      </w:pPr>
      <w:r>
        <w:rPr/>
        <w:t>WMO smjernice (Svjetska Meteorološka Organizacija, 2018) preporučuju da se temperaturna kalibracija izvodi u kontroliranom i stabilnom okruženju, minimizirajući vanjske utjecaje kao što su brze temperaturne fluktuacije, elektromagnetske smetnje ili solarna radijacija. Postupak temperaturne kalibracije uključuje:</w:t>
      </w:r>
    </w:p>
    <w:p>
      <w:pPr>
        <w:pStyle w:val="BodyText"/>
        <w:numPr>
          <w:ilvl w:val="0"/>
          <w:numId w:val="5"/>
        </w:numPr>
        <w:rPr/>
      </w:pPr>
      <w:r>
        <w:rPr>
          <w:b/>
          <w:bCs/>
        </w:rPr>
        <w:t>Stabilizacija okruženja</w:t>
      </w:r>
      <w:r>
        <w:rPr/>
        <w:t xml:space="preserve"> - Postavljanje temperaturnog senzora u stabilne uvjete tijekom 3-5 minuta</w:t>
      </w:r>
    </w:p>
    <w:p>
      <w:pPr>
        <w:pStyle w:val="BodyText"/>
        <w:numPr>
          <w:ilvl w:val="0"/>
          <w:numId w:val="5"/>
        </w:numPr>
        <w:rPr/>
      </w:pPr>
      <w:r>
        <w:rPr>
          <w:b/>
          <w:bCs/>
        </w:rPr>
        <w:t>Testiranje validacije temperature</w:t>
      </w:r>
      <w:r>
        <w:rPr/>
        <w:t xml:space="preserve"> - Potvrđivanje točnosti kroz operacijski temperaturni raspon</w:t>
      </w:r>
    </w:p>
    <w:p>
      <w:pPr>
        <w:pStyle w:val="BodyText"/>
        <w:numPr>
          <w:ilvl w:val="0"/>
          <w:numId w:val="5"/>
        </w:numPr>
        <w:rPr/>
      </w:pPr>
      <w:r>
        <w:rPr>
          <w:b/>
          <w:bCs/>
        </w:rPr>
        <w:t>Dokumentacija kalibracije temperature</w:t>
      </w:r>
      <w:r>
        <w:rPr/>
        <w:t xml:space="preserve"> - Bilježenje postupaka i rezultata s vremenskim oznakama</w:t>
      </w:r>
    </w:p>
    <w:p>
      <w:pPr>
        <w:pStyle w:val="BodyText"/>
        <w:rPr/>
      </w:pPr>
      <w:r>
        <w:rPr/>
      </w:r>
    </w:p>
    <w:p>
      <w:pPr>
        <w:pStyle w:val="Heading3"/>
        <w:ind w:firstLine="567" w:left="0"/>
        <w:rPr/>
      </w:pPr>
      <w:bookmarkStart w:id="33" w:name="__RefHeading___Toc3565_803092978"/>
      <w:bookmarkStart w:id="34" w:name="_Toc19"/>
      <w:bookmarkEnd w:id="33"/>
      <w:r>
        <w:rPr/>
        <w:t>Dugoročno Održavanje Temperaturnog Senzora</w:t>
      </w:r>
      <w:bookmarkEnd w:id="34"/>
    </w:p>
    <w:p>
      <w:pPr>
        <w:pStyle w:val="BodyText"/>
        <w:rPr/>
      </w:pPr>
      <w:r>
        <w:rPr/>
        <w:t>Dugoročno održavanje i korekcija pomaka ključni su za osiguravanje trajne točnosti i pouzdanosti mreže vanjskih temperaturnih senzora. Tijekom produljenih operacijskih razdoblja, pomak temperaturnog senzora može nastati zbog faktora kao što su starenje komponenti, okolišni stresovi i kontaminacija na površinama senzora.</w:t>
      </w:r>
    </w:p>
    <w:p>
      <w:pPr>
        <w:pStyle w:val="BodyText"/>
        <w:rPr/>
      </w:pPr>
      <w:r>
        <w:rPr/>
        <w:t>Robustan protokol temperaturnog održavanja rješava i predvidljive i neočekivane izvore pomaka kroz redovite cikluse temperaturne kalibracije. Fizičko održavanje uključuje redovitu inspekciju i čišćenje kućišta temperaturnih senzora, jer su vanjski temperaturni senzori podložni slabljenju signala i greškama u mjerenju uzrokovanim okolišnim preprekama.</w:t>
      </w:r>
    </w:p>
    <w:p>
      <w:pPr>
        <w:pStyle w:val="Normal"/>
        <w:suppressLineNumbers w:val="0"/>
        <w:shd w:val="nil"/>
        <w:rPr/>
      </w:pPr>
      <w:r>
        <w:rPr/>
      </w:r>
      <w:bookmarkStart w:id="35" w:name="__RefHeading___Toc3567_803092978"/>
      <w:bookmarkStart w:id="36" w:name="__RefHeading___Toc3567_803092978"/>
      <w:bookmarkEnd w:id="36"/>
      <w:r>
        <w:br w:type="page"/>
      </w:r>
    </w:p>
    <w:p>
      <w:pPr>
        <w:pStyle w:val="Heading1"/>
        <w:keepLines/>
        <w:suppressLineNumbers w:val="0"/>
        <w:spacing w:before="0" w:after="120"/>
        <w:ind w:firstLine="567" w:left="0"/>
        <w:rPr/>
      </w:pPr>
      <w:bookmarkStart w:id="37" w:name="__RefHeading___Toc2808_504949167"/>
      <w:bookmarkStart w:id="38" w:name="_Toc20"/>
      <w:bookmarkEnd w:id="37"/>
      <w:r>
        <w:rPr/>
        <w:t xml:space="preserve">Softverska Arhitektura i Razvoj Pozadinskog </w:t>
      </w:r>
      <w:r>
        <w:rPr>
          <w:lang w:val="hr-HR"/>
        </w:rPr>
        <w:t>Sustava</w:t>
      </w:r>
      <w:bookmarkEnd w:id="38"/>
    </w:p>
    <w:p>
      <w:pPr>
        <w:pStyle w:val="BodyText"/>
        <w:jc w:val="center"/>
        <w:rPr/>
      </w:pPr>
      <w:r>
        <w:rPr/>
        <w:drawing>
          <wp:inline distT="0" distB="0" distL="0" distR="0">
            <wp:extent cx="3549650" cy="744982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3549650" cy="7449820"/>
                    </a:xfrm>
                    <a:prstGeom prst="rect">
                      <a:avLst/>
                    </a:prstGeom>
                    <a:noFill/>
                  </pic:spPr>
                </pic:pic>
              </a:graphicData>
            </a:graphic>
          </wp:inline>
        </w:drawing>
      </w:r>
    </w:p>
    <w:p>
      <w:pPr>
        <w:pStyle w:val="Caption"/>
        <w:jc w:val="center"/>
        <w:rPr/>
      </w:pPr>
      <w:r>
        <w:rPr/>
        <w:t xml:space="preserve">Slika </w:t>
      </w:r>
      <w:r>
        <w:rPr/>
        <w:fldChar w:fldCharType="begin"/>
      </w:r>
      <w:r>
        <w:rPr/>
        <w:instrText xml:space="preserve"> SEQ Slika \* ARABIC </w:instrText>
      </w:r>
      <w:r>
        <w:rPr/>
        <w:fldChar w:fldCharType="separate"/>
      </w:r>
      <w:r>
        <w:rPr/>
        <w:t>3</w:t>
      </w:r>
      <w:r>
        <w:rPr/>
        <w:fldChar w:fldCharType="end"/>
      </w:r>
      <w:r>
        <w:rPr/>
        <w:t xml:space="preserve"> - Dijagram sustava </w:t>
      </w:r>
    </w:p>
    <w:p>
      <w:pPr>
        <w:pStyle w:val="Heading2"/>
        <w:ind w:firstLine="567" w:left="0"/>
        <w:rPr/>
      </w:pPr>
      <w:bookmarkStart w:id="39" w:name="__RefHeading___Toc3569_803092978"/>
      <w:bookmarkStart w:id="40" w:name="_Toc21"/>
      <w:bookmarkEnd w:id="39"/>
      <w:r>
        <w:rPr/>
        <w:t>.NET 9 Minimal APIs za Obradu Temperaturnih Podataka</w:t>
      </w:r>
      <w:bookmarkEnd w:id="40"/>
    </w:p>
    <w:p>
      <w:pPr>
        <w:pStyle w:val="BodyText"/>
        <w:rPr>
          <w:highlight w:val="none"/>
        </w:rPr>
      </w:pPr>
      <w:r>
        <w:rPr/>
        <w:t>Pozadinski sustav izgrađen je pomoću .NET 9 s Minimal APIs arhitekturom (Microsoft Corporation, 2024), pružajući laganu, visokoperformantnu osnovu za obradu webhook temperaturnih podataka. Ovaj moderni pristup značajno smanjuje boilerplate kod održavajući izvrsne performanse, što ga čini idealnim za visokofrekventno unošenje vanjskih temperaturnih podataka.</w:t>
      </w:r>
    </w:p>
    <w:p>
      <w:pPr>
        <w:pStyle w:val="Heading3"/>
        <w:ind w:firstLine="567" w:left="0"/>
        <w:rPr/>
      </w:pPr>
      <w:bookmarkStart w:id="41" w:name="__RefHeading___Toc3571_803092978"/>
      <w:bookmarkStart w:id="42" w:name="_Toc22"/>
      <w:bookmarkEnd w:id="41"/>
      <w:r>
        <w:rPr/>
        <w:t>Dizajn API Krajnjih Točaka za Temperature</w:t>
      </w:r>
      <w:bookmarkEnd w:id="42"/>
    </w:p>
    <w:p>
      <w:pPr>
        <w:pStyle w:val="BodyText"/>
        <w:rPr>
          <w:highlight w:val="none"/>
        </w:rPr>
      </w:pPr>
      <w:r>
        <w:rPr/>
        <w:t>Sustav implementira tri primarne krajnje točke koristeći Minimal APIs uzorak, fokusirane na vanjske temperaturne podatke:</w:t>
      </w:r>
    </w:p>
    <w:p>
      <w:pPr>
        <w:pStyle w:val="BodyText"/>
        <w:ind w:hanging="0" w:left="0" w:right="0"/>
        <w:jc w:val="center"/>
        <w:rPr>
          <w:highlight w:val="none"/>
        </w:rPr>
      </w:pPr>
      <w:r>
        <w:rPr/>
        <w:drawing>
          <wp:inline distT="0" distB="0" distL="0" distR="0">
            <wp:extent cx="6120130" cy="373507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6120130" cy="3735070"/>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1</w:t>
      </w:r>
      <w:r>
        <w:rPr/>
        <w:fldChar w:fldCharType="end"/>
      </w:r>
      <w:r>
        <w:rPr>
          <w:lang w:val="en-US"/>
        </w:rPr>
        <w:t xml:space="preserve"> – GetLatestReading krajnja točka</w:t>
      </w:r>
    </w:p>
    <w:p>
      <w:pPr>
        <w:pStyle w:val="BodyText"/>
        <w:ind w:hanging="0" w:left="0" w:right="0"/>
        <w:jc w:val="center"/>
        <w:rPr/>
      </w:pPr>
      <w:r>
        <w:rPr/>
        <w:drawing>
          <wp:inline distT="0" distB="0" distL="0" distR="0">
            <wp:extent cx="6120130" cy="493649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6120130" cy="4936490"/>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2</w:t>
      </w:r>
      <w:r>
        <w:rPr/>
        <w:fldChar w:fldCharType="end"/>
      </w:r>
      <w:r>
        <w:rPr>
          <w:lang w:val="en-US"/>
        </w:rPr>
        <w:t xml:space="preserve"> – GetStatus krajnja točka</w:t>
      </w:r>
    </w:p>
    <w:p>
      <w:pPr>
        <w:pStyle w:val="BodyText"/>
        <w:ind w:hanging="0" w:left="0" w:right="0"/>
        <w:jc w:val="left"/>
        <w:rPr/>
      </w:pPr>
      <w:r>
        <w:rPr/>
        <w:drawing>
          <wp:inline distT="0" distB="0" distL="0" distR="0">
            <wp:extent cx="5758180" cy="841946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5758180" cy="8419465"/>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3</w:t>
      </w:r>
      <w:r>
        <w:rPr/>
        <w:fldChar w:fldCharType="end"/>
      </w:r>
      <w:r>
        <w:rPr>
          <w:lang w:val="en-US"/>
        </w:rPr>
        <w:t xml:space="preserve"> – ReceiveWebook krajnja točka</w:t>
      </w:r>
    </w:p>
    <w:p>
      <w:pPr>
        <w:pStyle w:val="Caption"/>
        <w:rPr/>
      </w:pPr>
      <w:r>
        <w:rPr/>
      </w:r>
    </w:p>
    <w:p>
      <w:pPr>
        <w:pStyle w:val="Heading3"/>
        <w:spacing w:before="0" w:after="120"/>
        <w:ind w:firstLine="567" w:left="0"/>
        <w:rPr/>
      </w:pPr>
      <w:bookmarkStart w:id="43" w:name="__RefHeading___Toc3573_803092978"/>
      <w:bookmarkStart w:id="44" w:name="_Toc23"/>
      <w:bookmarkEnd w:id="43"/>
      <w:r>
        <w:rPr/>
        <w:t>Obrada Temperaturnih Podataka i Pretvaranje Jedinica</w:t>
      </w:r>
      <w:bookmarkEnd w:id="44"/>
    </w:p>
    <w:p>
      <w:pPr>
        <w:pStyle w:val="BodyText"/>
        <w:rPr/>
      </w:pPr>
      <w:r>
        <w:rPr/>
        <w:t>Ključna značajka sustava je automatska pretvorba iz Fahrenheita u Celzije, osiguravajući usklađenost s hrvatskim i europskim temperaturnim standardima (Europska Agencija za Okoliš, 2023):</w:t>
      </w:r>
    </w:p>
    <w:p>
      <w:pPr>
        <w:pStyle w:val="BodyText"/>
        <w:ind w:hanging="0" w:left="0" w:right="0"/>
        <w:rPr/>
      </w:pPr>
      <w:r>
        <w:rPr/>
        <w:drawing>
          <wp:inline distT="0" distB="0" distL="0" distR="0">
            <wp:extent cx="6120130" cy="343789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6120130" cy="3437890"/>
                    </a:xfrm>
                    <a:prstGeom prst="rect">
                      <a:avLst/>
                    </a:prstGeom>
                    <a:noFill/>
                  </pic:spPr>
                </pic:pic>
              </a:graphicData>
            </a:graphic>
          </wp:inline>
        </w:drawing>
      </w:r>
    </w:p>
    <w:p>
      <w:pPr>
        <w:pStyle w:val="Caption"/>
        <w:jc w:val="center"/>
        <w:rPr>
          <w:highlight w:val="none"/>
        </w:rPr>
      </w:pPr>
      <w:r>
        <w:rPr/>
        <w:t xml:space="preserve">Kod </w:t>
      </w:r>
      <w:r>
        <w:rPr/>
        <w:fldChar w:fldCharType="begin"/>
      </w:r>
      <w:r>
        <w:rPr/>
        <w:instrText xml:space="preserve"> SEQ Kod \* ARABIC </w:instrText>
      </w:r>
      <w:r>
        <w:rPr/>
        <w:fldChar w:fldCharType="separate"/>
      </w:r>
      <w:r>
        <w:rPr/>
        <w:t>4</w:t>
      </w:r>
      <w:r>
        <w:rPr/>
        <w:fldChar w:fldCharType="end"/>
      </w:r>
      <w:r>
        <w:rPr>
          <w:lang w:val="en-US"/>
        </w:rPr>
        <w:t xml:space="preserve"> – Funkcija obrade podataka i funkcija pretvorbe temperaturne jedinice</w:t>
      </w:r>
    </w:p>
    <w:p>
      <w:pPr>
        <w:pStyle w:val="Caption"/>
        <w:jc w:val="center"/>
        <w:rPr/>
      </w:pPr>
      <w:r>
        <w:rPr/>
      </w:r>
    </w:p>
    <w:p>
      <w:pPr>
        <w:pStyle w:val="Heading2"/>
        <w:ind w:firstLine="567" w:left="0"/>
        <w:rPr/>
      </w:pPr>
      <w:bookmarkStart w:id="45" w:name="__RefHeading___Toc3575_803092978"/>
      <w:bookmarkStart w:id="46" w:name="_Toc24"/>
      <w:bookmarkEnd w:id="45"/>
      <w:r>
        <w:rPr/>
        <w:t>EntityFramework Core 9.0 i Modeliranje Temperaturnih Podataka</w:t>
      </w:r>
      <w:bookmarkEnd w:id="46"/>
    </w:p>
    <w:p>
      <w:pPr>
        <w:pStyle w:val="BodyText"/>
        <w:rPr>
          <w:lang w:val="en-US"/>
        </w:rPr>
      </w:pPr>
      <w:r>
        <w:rPr/>
        <w:t>Sustav koristi EntityFramework Core 9.0 za robusan pristup temperaturnim podacima i upravljanje (Microsoft Corporation, 2024). Primarni model podataka predstavlja očitanja vanjske temperature s pravilnim Celzijevim jedinicama:</w:t>
      </w:r>
    </w:p>
    <w:p>
      <w:pPr>
        <w:pStyle w:val="BodyText"/>
        <w:ind w:hanging="0" w:left="0" w:right="0"/>
        <w:rPr/>
      </w:pPr>
      <w:r>
        <w:rPr/>
        <w:drawing>
          <wp:inline distT="0" distB="0" distL="0" distR="0">
            <wp:extent cx="6120130" cy="19399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6120130" cy="1939925"/>
                    </a:xfrm>
                    <a:prstGeom prst="rect">
                      <a:avLst/>
                    </a:prstGeom>
                    <a:noFill/>
                  </pic:spPr>
                </pic:pic>
              </a:graphicData>
            </a:graphic>
          </wp:inline>
        </w:drawing>
      </w:r>
    </w:p>
    <w:p>
      <w:pPr>
        <w:pStyle w:val="Caption"/>
        <w:jc w:val="center"/>
        <w:rPr>
          <w:highlight w:val="none"/>
        </w:rPr>
      </w:pPr>
      <w:r>
        <w:rPr/>
        <w:t xml:space="preserve">Kod </w:t>
      </w:r>
      <w:r>
        <w:rPr/>
        <w:fldChar w:fldCharType="begin"/>
      </w:r>
      <w:r>
        <w:rPr/>
        <w:instrText xml:space="preserve"> SEQ Kod \* ARABIC </w:instrText>
      </w:r>
      <w:r>
        <w:rPr/>
        <w:fldChar w:fldCharType="separate"/>
      </w:r>
      <w:r>
        <w:rPr/>
        <w:t>5</w:t>
      </w:r>
      <w:r>
        <w:rPr/>
        <w:fldChar w:fldCharType="end"/>
      </w:r>
      <w:r>
        <w:rPr/>
        <w:t xml:space="preserve"> - Model podataka očitanja vanjskog senzora </w:t>
      </w:r>
      <w:r>
        <w:br w:type="page"/>
      </w:r>
    </w:p>
    <w:p>
      <w:pPr>
        <w:pStyle w:val="Heading1"/>
        <w:spacing w:before="0" w:after="120"/>
        <w:ind w:firstLine="567" w:left="0"/>
        <w:rPr/>
      </w:pPr>
      <w:bookmarkStart w:id="47" w:name="__RefHeading___Toc3577_803092978"/>
      <w:bookmarkStart w:id="48" w:name="_Toc25"/>
      <w:bookmarkEnd w:id="47"/>
      <w:r>
        <w:rPr/>
        <w:t>Upravljanje Bazom Podataka s PostgreSQL</w:t>
      </w:r>
      <w:bookmarkEnd w:id="48"/>
    </w:p>
    <w:p>
      <w:pPr>
        <w:pStyle w:val="Heading2"/>
        <w:ind w:firstLine="567" w:left="0"/>
        <w:rPr/>
      </w:pPr>
      <w:bookmarkStart w:id="49" w:name="__RefHeading___Toc3579_803092978"/>
      <w:bookmarkStart w:id="50" w:name="_Toc26"/>
      <w:bookmarkEnd w:id="49"/>
      <w:r>
        <w:rPr/>
        <w:t>Dizajn Sheme Baze Temperaturnih Podataka</w:t>
      </w:r>
      <w:bookmarkEnd w:id="50"/>
    </w:p>
    <w:p>
      <w:pPr>
        <w:pStyle w:val="BodyText"/>
        <w:rPr/>
      </w:pPr>
      <w:r>
        <w:rPr/>
        <w:t>PostgreSQL baza podataka optimizirana je za pohranjivanje i dohvaćanje temperaturnih podataka vremenskih serija (PostgreSQL Global Development Group, 2024). Shema uključuje pravilno indeksiranje za temperaturne upite bazirane na vremenskim oznakama i postavke preciznosti za temperaturna mjerenja:</w:t>
      </w:r>
    </w:p>
    <w:p>
      <w:pPr>
        <w:pStyle w:val="BodyText"/>
        <w:rPr/>
      </w:pPr>
      <w:r>
        <w:rPr/>
      </w:r>
    </w:p>
    <w:p>
      <w:pPr>
        <w:pStyle w:val="BodyText"/>
        <w:ind w:hanging="0" w:left="0" w:right="0"/>
        <w:rPr/>
      </w:pPr>
      <w:r>
        <w:rPr/>
        <w:drawing>
          <wp:inline distT="0" distB="0" distL="0" distR="0">
            <wp:extent cx="6704330" cy="393509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6704330" cy="3935095"/>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6</w:t>
      </w:r>
      <w:r>
        <w:rPr/>
        <w:fldChar w:fldCharType="end"/>
      </w:r>
      <w:r>
        <w:rPr>
          <w:lang w:val="en-US"/>
        </w:rPr>
        <w:t xml:space="preserve"> – Dizajn baze podataka</w:t>
      </w:r>
    </w:p>
    <w:p>
      <w:pPr>
        <w:pStyle w:val="Normal"/>
        <w:shd w:val="nil"/>
        <w:rPr/>
      </w:pPr>
      <w:r>
        <w:rPr/>
      </w:r>
    </w:p>
    <w:p>
      <w:pPr>
        <w:pStyle w:val="Normal"/>
        <w:shd w:val="nil"/>
        <w:rPr/>
      </w:pPr>
      <w:r>
        <w:rPr/>
      </w:r>
      <w:r>
        <w:br w:type="page"/>
      </w:r>
    </w:p>
    <w:p>
      <w:pPr>
        <w:pStyle w:val="Heading2"/>
        <w:spacing w:before="0" w:after="120"/>
        <w:ind w:firstLine="567" w:left="0"/>
        <w:rPr/>
      </w:pPr>
      <w:bookmarkStart w:id="51" w:name="__RefHeading___Toc3581_803092978"/>
      <w:bookmarkStart w:id="52" w:name="_Toc27"/>
      <w:bookmarkEnd w:id="51"/>
      <w:r>
        <w:rPr/>
        <w:t>Inicijalizacija Temperaturne Baze Podataka</w:t>
      </w:r>
      <w:bookmarkEnd w:id="52"/>
    </w:p>
    <w:p>
      <w:pPr>
        <w:pStyle w:val="BodyText"/>
        <w:rPr/>
      </w:pPr>
      <w:r>
        <w:rPr/>
        <w:t>PostgreSQL baza podataka automatski se inicijalizira kroz Docker Compose (Docker Inc., 2024) s pravilnim korisničkim dozvolama i strukturom baze podataka fokusiranom na temperaturu:</w:t>
      </w:r>
    </w:p>
    <w:p>
      <w:pPr>
        <w:pStyle w:val="BodyText"/>
        <w:ind w:hanging="0" w:left="0" w:right="0"/>
        <w:rPr/>
      </w:pPr>
      <w:r>
        <w:rPr/>
        <w:drawing>
          <wp:inline distT="0" distB="0" distL="0" distR="0">
            <wp:extent cx="6120130" cy="22987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6120130" cy="2298700"/>
                    </a:xfrm>
                    <a:prstGeom prst="rect">
                      <a:avLst/>
                    </a:prstGeom>
                    <a:noFill/>
                  </pic:spPr>
                </pic:pic>
              </a:graphicData>
            </a:graphic>
          </wp:inline>
        </w:drawing>
      </w:r>
    </w:p>
    <w:p>
      <w:pPr>
        <w:pStyle w:val="Caption"/>
        <w:jc w:val="center"/>
        <w:rPr>
          <w:highlight w:val="none"/>
          <w:lang w:val="en-US"/>
        </w:rPr>
      </w:pPr>
      <w:r>
        <w:rPr/>
        <w:t xml:space="preserve">Kod </w:t>
      </w:r>
      <w:r>
        <w:rPr/>
        <w:fldChar w:fldCharType="begin"/>
      </w:r>
      <w:r>
        <w:rPr/>
        <w:instrText xml:space="preserve"> SEQ Kod \* ARABIC </w:instrText>
      </w:r>
      <w:r>
        <w:rPr/>
        <w:fldChar w:fldCharType="separate"/>
      </w:r>
      <w:r>
        <w:rPr/>
        <w:t>7</w:t>
      </w:r>
      <w:r>
        <w:rPr/>
        <w:fldChar w:fldCharType="end"/>
      </w:r>
      <w:r>
        <w:rPr>
          <w:lang w:val="en-US"/>
        </w:rPr>
        <w:t xml:space="preserve"> – Instrukcije za konfiguraciju baze podataka</w:t>
      </w:r>
    </w:p>
    <w:p>
      <w:pPr>
        <w:pStyle w:val="Caption"/>
        <w:rPr/>
      </w:pPr>
      <w:r>
        <w:rPr/>
      </w:r>
    </w:p>
    <w:p>
      <w:pPr>
        <w:pStyle w:val="Normal"/>
        <w:shd w:val="nil"/>
        <w:rPr/>
      </w:pPr>
      <w:r>
        <w:rPr/>
      </w:r>
      <w:bookmarkStart w:id="53" w:name="__RefHeading___Toc3583_803092978"/>
      <w:bookmarkStart w:id="54" w:name="__RefHeading___Toc3583_803092978"/>
      <w:bookmarkEnd w:id="54"/>
      <w:r>
        <w:br w:type="page"/>
      </w:r>
    </w:p>
    <w:p>
      <w:pPr>
        <w:pStyle w:val="Heading1"/>
        <w:spacing w:before="0" w:after="120"/>
        <w:ind w:firstLine="567" w:left="0"/>
        <w:jc w:val="left"/>
        <w:rPr>
          <w14:ligatures w14:val="none"/>
        </w:rPr>
      </w:pPr>
      <w:bookmarkStart w:id="55" w:name="__RefHeading___Toc2810_504949167"/>
      <w:bookmarkStart w:id="56" w:name="_Toc28"/>
      <w:bookmarkEnd w:id="55"/>
      <w:r>
        <w:rPr/>
        <w:t>Kontejnerizacija i Strategija Implementacije</w:t>
      </w:r>
      <w:bookmarkEnd w:id="56"/>
    </w:p>
    <w:p>
      <w:pPr>
        <w:pStyle w:val="Heading2"/>
        <w:ind w:firstLine="567" w:left="0"/>
        <w:rPr/>
      </w:pPr>
      <w:bookmarkStart w:id="57" w:name="__RefHeading___Toc3585_803092978"/>
      <w:bookmarkStart w:id="58" w:name="_Toc29"/>
      <w:bookmarkEnd w:id="57"/>
      <w:r>
        <w:rPr/>
        <w:t>Docker Compose Arhitektura za Praćenje Temperature</w:t>
      </w:r>
      <w:bookmarkEnd w:id="58"/>
    </w:p>
    <w:p>
      <w:pPr>
        <w:pStyle w:val="BodyText"/>
        <w:rPr/>
      </w:pPr>
      <w:r>
        <w:rPr/>
        <w:t>Cijeli sustav za praćenje temperature orkestriran je pomoću Docker Compose (Docker Inc., 2024), pružajući modularnu, skalabilnu strategiju implementacije. Arhitektura se sastoji od tri primarna servisa s pravilnim upravljanjem ovisnostima:</w:t>
      </w:r>
    </w:p>
    <w:p>
      <w:pPr>
        <w:pStyle w:val="BodyText"/>
        <w:ind w:hanging="0"/>
        <w:rPr/>
      </w:pPr>
      <w:r>
        <w:rPr/>
        <w:drawing>
          <wp:inline distT="0" distB="0" distL="0" distR="0">
            <wp:extent cx="4062730" cy="717804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4062730" cy="7178040"/>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8</w:t>
      </w:r>
      <w:r>
        <w:rPr/>
        <w:fldChar w:fldCharType="end"/>
      </w:r>
      <w:r>
        <w:rPr>
          <w:lang w:val="en-US"/>
        </w:rPr>
        <w:t xml:space="preserve"> – Docker Compose konfiguracija, 1.dio</w:t>
      </w:r>
    </w:p>
    <w:p>
      <w:pPr>
        <w:pStyle w:val="BodyText"/>
        <w:ind w:hanging="0"/>
        <w:rPr/>
      </w:pPr>
      <w:r>
        <w:rPr/>
        <w:drawing>
          <wp:inline distT="0" distB="0" distL="0" distR="0">
            <wp:extent cx="6120130" cy="490347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6120130" cy="4903470"/>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9</w:t>
      </w:r>
      <w:r>
        <w:rPr/>
        <w:fldChar w:fldCharType="end"/>
      </w:r>
      <w:r>
        <w:rPr>
          <w:lang w:val="en-US"/>
        </w:rPr>
        <w:t xml:space="preserve"> - Docker Compose konfiguracija, 2.dio</w:t>
      </w:r>
    </w:p>
    <w:p>
      <w:pPr>
        <w:pStyle w:val="Normal"/>
        <w:shd w:val="nil"/>
        <w:rPr/>
      </w:pPr>
      <w:r>
        <w:rPr/>
      </w:r>
      <w:r>
        <w:br w:type="page"/>
      </w:r>
    </w:p>
    <w:p>
      <w:pPr>
        <w:pStyle w:val="Heading1"/>
        <w:spacing w:before="0" w:after="120"/>
        <w:ind w:firstLine="567" w:left="0"/>
        <w:jc w:val="left"/>
        <w:rPr/>
      </w:pPr>
      <w:bookmarkStart w:id="59" w:name="__RefHeading___Toc3587_803092978"/>
      <w:bookmarkStart w:id="60" w:name="_Toc30"/>
      <w:bookmarkEnd w:id="59"/>
      <w:r>
        <w:rPr/>
        <w:t>Grafana Vizualizacija Temperature i Dizajn</w:t>
      </w:r>
      <w:r>
        <w:rPr>
          <w:lang w:val="en-US"/>
        </w:rPr>
        <w:t xml:space="preserve"> </w:t>
      </w:r>
      <w:r>
        <w:rPr/>
        <w:t>Nadzorne Ploče</w:t>
      </w:r>
      <w:bookmarkEnd w:id="60"/>
    </w:p>
    <w:p>
      <w:pPr>
        <w:pStyle w:val="Heading2"/>
        <w:ind w:firstLine="567" w:left="0"/>
        <w:rPr/>
      </w:pPr>
      <w:bookmarkStart w:id="61" w:name="__RefHeading___Toc3589_803092978"/>
      <w:bookmarkStart w:id="62" w:name="_Toc31"/>
      <w:bookmarkEnd w:id="61"/>
      <w:r>
        <w:rPr/>
        <w:t>Automatsko Konfiguriranje Temperaturne Nadzorne Ploče</w:t>
      </w:r>
      <w:bookmarkEnd w:id="62"/>
    </w:p>
    <w:p>
      <w:pPr>
        <w:pStyle w:val="BodyText"/>
        <w:rPr/>
      </w:pPr>
      <w:r>
        <w:rPr/>
        <w:t>Grafana je konfigurirana s automatskim konfiguriranjem izvora podataka i temperaturnih nadzornih ploča (Grafana Labs, 2024), eliminirajući zahtjeve za manualnu konfiguraciju. Sustav konfiguriranja osigurava dosljednu implementaciju praćenja temperature kroz okruženja.</w:t>
      </w:r>
    </w:p>
    <w:p>
      <w:pPr>
        <w:pStyle w:val="BodyText"/>
        <w:rPr/>
      </w:pPr>
      <w:r>
        <w:rPr/>
      </w:r>
    </w:p>
    <w:p>
      <w:pPr>
        <w:pStyle w:val="Heading2"/>
        <w:spacing w:before="0" w:after="120"/>
        <w:ind w:firstLine="567" w:left="0"/>
        <w:rPr/>
      </w:pPr>
      <w:bookmarkStart w:id="63" w:name="__RefHeading___Toc3591_803092978"/>
      <w:bookmarkStart w:id="64" w:name="_Toc32"/>
      <w:bookmarkEnd w:id="63"/>
      <w:r>
        <w:rPr/>
        <w:t>Konfiguracija Izvora Temperaturnih Podataka</w:t>
      </w:r>
      <w:bookmarkEnd w:id="64"/>
    </w:p>
    <w:p>
      <w:pPr>
        <w:pStyle w:val="BodyText"/>
        <w:rPr/>
      </w:pPr>
      <w:r>
        <w:rPr/>
        <w:t>PostgreSQL izvor podataka automatski je konfiguriran kroz datoteke konfiguriranja za pristup temperaturnim podacima:</w:t>
      </w:r>
    </w:p>
    <w:p>
      <w:pPr>
        <w:pStyle w:val="BodyText"/>
        <w:ind w:hanging="0"/>
        <w:rPr/>
      </w:pPr>
      <w:r>
        <w:rPr/>
        <w:drawing>
          <wp:inline distT="0" distB="0" distL="0" distR="0">
            <wp:extent cx="3143250" cy="42576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3143250" cy="4257675"/>
                    </a:xfrm>
                    <a:prstGeom prst="rect">
                      <a:avLst/>
                    </a:prstGeom>
                    <a:noFill/>
                  </pic:spPr>
                </pic:pic>
              </a:graphicData>
            </a:graphic>
          </wp:inline>
        </w:drawing>
      </w:r>
    </w:p>
    <w:p>
      <w:pPr>
        <w:pStyle w:val="Caption"/>
        <w:jc w:val="center"/>
        <w:rPr/>
      </w:pPr>
      <w:r>
        <w:rPr/>
        <w:t xml:space="preserve">Kod </w:t>
      </w:r>
      <w:r>
        <w:rPr/>
        <w:fldChar w:fldCharType="begin"/>
      </w:r>
      <w:r>
        <w:rPr/>
        <w:instrText xml:space="preserve"> SEQ Kod \* ARABIC </w:instrText>
      </w:r>
      <w:r>
        <w:rPr/>
        <w:fldChar w:fldCharType="separate"/>
      </w:r>
      <w:r>
        <w:rPr/>
        <w:t>10</w:t>
      </w:r>
      <w:r>
        <w:rPr/>
        <w:fldChar w:fldCharType="end"/>
      </w:r>
      <w:r>
        <w:rPr>
          <w:lang w:val="en-US"/>
        </w:rPr>
        <w:t xml:space="preserve"> – Konfiguracija izvora podataka nadzorne ploče</w:t>
      </w:r>
    </w:p>
    <w:p>
      <w:pPr>
        <w:pStyle w:val="Heading2"/>
        <w:ind w:firstLine="567" w:left="0"/>
        <w:rPr/>
      </w:pPr>
      <w:bookmarkStart w:id="65" w:name="__RefHeading___Toc3593_803092978"/>
      <w:bookmarkStart w:id="66" w:name="_Toc33"/>
      <w:bookmarkEnd w:id="65"/>
      <w:r>
        <w:rPr/>
        <w:t>Dizajn Temperaturne Nadzorne Ploče</w:t>
      </w:r>
      <w:bookmarkEnd w:id="66"/>
    </w:p>
    <w:p>
      <w:pPr>
        <w:pStyle w:val="BodyText"/>
        <w:rPr/>
      </w:pPr>
      <w:r>
        <w:rPr/>
        <w:t>Nadzorna ploča za praćenje temperature dizajnirana je specifično za standarde praćenja okoliša (Državni Hidrometeorološki Zavod, 2024), prikazujući sva temperaturna mjerenja u Celzijima. Ključne komponente temperaturne vizualizacije uključuju:</w:t>
      </w:r>
    </w:p>
    <w:p>
      <w:pPr>
        <w:pStyle w:val="BodyText"/>
        <w:numPr>
          <w:ilvl w:val="0"/>
          <w:numId w:val="6"/>
        </w:numPr>
        <w:rPr/>
      </w:pPr>
      <w:r>
        <w:rPr>
          <w:b/>
          <w:bCs/>
        </w:rPr>
        <w:t>Prikaz trenutne temperature</w:t>
      </w:r>
      <w:r>
        <w:rPr/>
        <w:t xml:space="preserve"> - Vanjska temperatura u realnom vremenu u Celzijima s velikim, jasnim formatiranjem</w:t>
      </w:r>
    </w:p>
    <w:p>
      <w:pPr>
        <w:pStyle w:val="BodyText"/>
        <w:numPr>
          <w:ilvl w:val="0"/>
          <w:numId w:val="6"/>
        </w:numPr>
        <w:rPr/>
      </w:pPr>
      <w:r>
        <w:rPr>
          <w:b/>
          <w:bCs/>
        </w:rPr>
        <w:t>Grafikon temperaturnog trenda</w:t>
      </w:r>
      <w:r>
        <w:rPr/>
        <w:t xml:space="preserve"> - 24-satna povijest vanjske temperature s glatkom interpolacijom</w:t>
      </w:r>
    </w:p>
    <w:p>
      <w:pPr>
        <w:pStyle w:val="BodyText"/>
        <w:numPr>
          <w:ilvl w:val="0"/>
          <w:numId w:val="6"/>
        </w:numPr>
        <w:rPr/>
      </w:pPr>
      <w:r>
        <w:rPr>
          <w:b/>
          <w:bCs/>
        </w:rPr>
        <w:t>Temperaturna statistika</w:t>
      </w:r>
      <w:r>
        <w:rPr/>
        <w:t xml:space="preserve"> - Dnevne min/max temperature, prosjeci i temperaturni rasponi</w:t>
      </w:r>
    </w:p>
    <w:p>
      <w:pPr>
        <w:pStyle w:val="BodyText"/>
        <w:rPr/>
      </w:pPr>
      <w:r>
        <w:rPr/>
        <w:t>Nadzorna ploča koristi upite vremenskih serija optimiziranih za PostgreSQL temperaturne podatke:</w:t>
      </w:r>
    </w:p>
    <w:p>
      <w:pPr>
        <w:pStyle w:val="BodyText"/>
        <w:ind w:hanging="0"/>
        <w:rPr/>
      </w:pPr>
      <w:r>
        <w:rPr/>
        <w:drawing>
          <wp:inline distT="0" distB="0" distL="0" distR="0">
            <wp:extent cx="5153025" cy="16954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5153025" cy="1695450"/>
                    </a:xfrm>
                    <a:prstGeom prst="rect">
                      <a:avLst/>
                    </a:prstGeom>
                    <a:noFill/>
                  </pic:spPr>
                </pic:pic>
              </a:graphicData>
            </a:graphic>
          </wp:inline>
        </w:drawing>
      </w:r>
    </w:p>
    <w:p>
      <w:pPr>
        <w:pStyle w:val="Caption"/>
        <w:jc w:val="center"/>
        <w:rPr>
          <w:highlight w:val="none"/>
          <w:lang w:val="en-US"/>
        </w:rPr>
      </w:pPr>
      <w:r>
        <w:rPr/>
        <w:t xml:space="preserve">Kod </w:t>
      </w:r>
      <w:r>
        <w:rPr/>
        <w:fldChar w:fldCharType="begin"/>
      </w:r>
      <w:r>
        <w:rPr/>
        <w:instrText xml:space="preserve"> SEQ Kod \* ARABIC </w:instrText>
      </w:r>
      <w:r>
        <w:rPr/>
        <w:fldChar w:fldCharType="separate"/>
      </w:r>
      <w:r>
        <w:rPr/>
        <w:t>11</w:t>
      </w:r>
      <w:r>
        <w:rPr/>
        <w:fldChar w:fldCharType="end"/>
      </w:r>
      <w:r>
        <w:rPr>
          <w:lang w:val="en-US"/>
        </w:rPr>
        <w:t xml:space="preserve"> – Upit na bazu podataka za prikaz na nadzornoj ploči</w:t>
      </w:r>
    </w:p>
    <w:p>
      <w:pPr>
        <w:pStyle w:val="Caption"/>
        <w:ind w:hanging="0" w:left="0" w:right="0"/>
        <w:jc w:val="center"/>
        <w:rPr/>
      </w:pPr>
      <w:r>
        <w:rPr/>
        <w:drawing>
          <wp:inline distT="0" distB="0" distL="0" distR="0">
            <wp:extent cx="5773420" cy="473456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5773420" cy="4734560"/>
                    </a:xfrm>
                    <a:prstGeom prst="rect">
                      <a:avLst/>
                    </a:prstGeom>
                    <a:noFill/>
                  </pic:spPr>
                </pic:pic>
              </a:graphicData>
            </a:graphic>
          </wp:inline>
        </w:drawing>
      </w:r>
    </w:p>
    <w:p>
      <w:pPr>
        <w:pStyle w:val="Caption"/>
        <w:jc w:val="center"/>
        <w:rPr/>
      </w:pPr>
      <w:r>
        <w:rPr/>
        <w:t xml:space="preserve">Slika </w:t>
      </w:r>
      <w:r>
        <w:rPr/>
        <w:fldChar w:fldCharType="begin"/>
      </w:r>
      <w:r>
        <w:rPr/>
        <w:instrText xml:space="preserve"> SEQ Slika \* ARABIC </w:instrText>
      </w:r>
      <w:r>
        <w:rPr/>
        <w:fldChar w:fldCharType="separate"/>
      </w:r>
      <w:r>
        <w:rPr/>
        <w:t>4</w:t>
      </w:r>
      <w:r>
        <w:rPr/>
        <w:fldChar w:fldCharType="end"/>
      </w:r>
      <w:r>
        <w:rPr/>
        <w:t xml:space="preserve"> - Prikaz nadzorne ploče </w:t>
      </w:r>
    </w:p>
    <w:p>
      <w:pPr>
        <w:pStyle w:val="BodyText"/>
        <w:ind w:hanging="0"/>
        <w:rPr/>
      </w:pPr>
      <w:r>
        <w:rPr/>
      </w:r>
    </w:p>
    <w:p>
      <w:pPr>
        <w:pStyle w:val="Heading1"/>
        <w:ind w:firstLine="567" w:left="0"/>
        <w:rPr/>
      </w:pPr>
      <w:bookmarkStart w:id="67" w:name="__RefHeading___Toc3595_803092978"/>
      <w:bookmarkStart w:id="68" w:name="_Toc34"/>
      <w:bookmarkEnd w:id="67"/>
      <w:r>
        <w:rPr/>
        <w:t>Integracija Sustava i Tok Temperaturnih Podataka</w:t>
      </w:r>
      <w:bookmarkEnd w:id="68"/>
    </w:p>
    <w:p>
      <w:pPr>
        <w:pStyle w:val="Heading2"/>
        <w:ind w:firstLine="567" w:left="0"/>
        <w:rPr/>
      </w:pPr>
      <w:bookmarkStart w:id="69" w:name="__RefHeading___Toc3597_803092978"/>
      <w:bookmarkStart w:id="70" w:name="_Toc35"/>
      <w:bookmarkEnd w:id="69"/>
      <w:r>
        <w:rPr/>
        <w:t>Prikupljanje Temperaturnih Podataka u Realnom Vremenu</w:t>
      </w:r>
      <w:bookmarkEnd w:id="70"/>
    </w:p>
    <w:p>
      <w:pPr>
        <w:pStyle w:val="BodyText"/>
        <w:rPr/>
      </w:pPr>
      <w:r>
        <w:rPr/>
        <w:t>Sustav implementira robustan tok temperaturnih podataka od senzora do vizualizacije, specifično dizajniran za Ecowitt WS3900 webhook format podataka (Ecowitt, 2024):</w:t>
      </w:r>
    </w:p>
    <w:p>
      <w:pPr>
        <w:pStyle w:val="BodyText"/>
        <w:numPr>
          <w:ilvl w:val="0"/>
          <w:numId w:val="7"/>
        </w:numPr>
        <w:rPr/>
      </w:pPr>
      <w:r>
        <w:rPr>
          <w:b/>
          <w:bCs/>
        </w:rPr>
        <w:t>Mjerenje temperaturnog senzora</w:t>
      </w:r>
      <w:r>
        <w:rPr/>
        <w:t xml:space="preserve"> - WS3900 prikuplja podatke o vanjskoj temperaturi u konfiguriranim intervalima</w:t>
      </w:r>
    </w:p>
    <w:p>
      <w:pPr>
        <w:pStyle w:val="BodyText"/>
        <w:numPr>
          <w:ilvl w:val="0"/>
          <w:numId w:val="7"/>
        </w:numPr>
        <w:rPr/>
      </w:pPr>
      <w:r>
        <w:rPr>
          <w:b/>
          <w:bCs/>
        </w:rPr>
        <w:t>Temperaturni webhook prijenos</w:t>
      </w:r>
      <w:r>
        <w:rPr/>
        <w:t xml:space="preserve"> - Form-encoded POST zahtjevi poslani na /api/webhook krajnju točku s temperaturnim podacima</w:t>
      </w:r>
    </w:p>
    <w:p>
      <w:pPr>
        <w:pStyle w:val="BodyText"/>
        <w:numPr>
          <w:ilvl w:val="0"/>
          <w:numId w:val="7"/>
        </w:numPr>
        <w:rPr/>
      </w:pPr>
      <w:r>
        <w:rPr>
          <w:b/>
          <w:bCs/>
        </w:rPr>
        <w:t>Parsiranje temperaturnih podataka</w:t>
      </w:r>
      <w:r>
        <w:rPr/>
        <w:t xml:space="preserve"> - Ekstraktiranje form podataka fokusirano na vanjsku temperaturu (tempf polje)</w:t>
      </w:r>
    </w:p>
    <w:p>
      <w:pPr>
        <w:pStyle w:val="BodyText"/>
        <w:numPr>
          <w:ilvl w:val="0"/>
          <w:numId w:val="7"/>
        </w:numPr>
        <w:rPr/>
      </w:pPr>
      <w:r>
        <w:rPr>
          <w:b/>
          <w:bCs/>
        </w:rPr>
        <w:t>Pretvaranje temperaturnih jedinica</w:t>
      </w:r>
      <w:r>
        <w:rPr/>
        <w:t xml:space="preserve"> - Automatska transformacija Fahrenheit u Celzij za hrvatske standarde</w:t>
      </w:r>
    </w:p>
    <w:p>
      <w:pPr>
        <w:pStyle w:val="BodyText"/>
        <w:numPr>
          <w:ilvl w:val="0"/>
          <w:numId w:val="7"/>
        </w:numPr>
        <w:rPr/>
      </w:pPr>
      <w:r>
        <w:rPr>
          <w:b/>
          <w:bCs/>
        </w:rPr>
        <w:t>Pohranjivanje u temperaturnu bazu podataka</w:t>
      </w:r>
      <w:r>
        <w:rPr/>
        <w:t xml:space="preserve"> - Trajno pohranjivanje u PostgreSQL s pozornosti na vremenske zone</w:t>
      </w:r>
    </w:p>
    <w:p>
      <w:pPr>
        <w:pStyle w:val="BodyText"/>
        <w:numPr>
          <w:ilvl w:val="0"/>
          <w:numId w:val="7"/>
        </w:numPr>
        <w:rPr/>
      </w:pPr>
      <w:r>
        <w:rPr>
          <w:b/>
          <w:bCs/>
        </w:rPr>
        <w:t>Vizualizacija temperature u realnom vremenu</w:t>
      </w:r>
      <w:r>
        <w:rPr/>
        <w:t xml:space="preserve"> - Neposredan prikaz u Grafana temperaturnim nadzornim pločama s osvježavanjem od 30 sekundi</w:t>
      </w:r>
      <w:r>
        <w:br w:type="page"/>
      </w:r>
    </w:p>
    <w:p>
      <w:pPr>
        <w:pStyle w:val="Heading1"/>
        <w:spacing w:before="0" w:after="120"/>
        <w:ind w:firstLine="567" w:left="0"/>
        <w:rPr/>
      </w:pPr>
      <w:bookmarkStart w:id="71" w:name="__RefHeading___Toc3599_803092978"/>
      <w:bookmarkStart w:id="72" w:name="_Toc36"/>
      <w:bookmarkEnd w:id="71"/>
      <w:r>
        <w:rPr/>
        <w:t>Implementacija i Konfiguracija Temperaturnog Sustava</w:t>
      </w:r>
      <w:bookmarkEnd w:id="72"/>
    </w:p>
    <w:p>
      <w:pPr>
        <w:pStyle w:val="Heading2"/>
        <w:ind w:firstLine="567" w:left="0"/>
        <w:rPr/>
      </w:pPr>
      <w:bookmarkStart w:id="73" w:name="__RefHeading___Toc3601_803092978"/>
      <w:bookmarkStart w:id="74" w:name="_Toc37"/>
      <w:bookmarkEnd w:id="73"/>
      <w:r>
        <w:rPr/>
        <w:t>Implementacija Sustava za Praćenje Temperature</w:t>
      </w:r>
      <w:bookmarkEnd w:id="74"/>
    </w:p>
    <w:p>
      <w:pPr>
        <w:pStyle w:val="BodyText"/>
        <w:rPr/>
      </w:pPr>
      <w:r>
        <w:rPr/>
        <w:t>Kompletan sustav za praćenje temperature zahtijeva minimalnu konfiguraciju i može se postići standardnim Docker alatima (Docker Inc., 2024):</w:t>
      </w:r>
    </w:p>
    <w:p>
      <w:pPr>
        <w:pStyle w:val="BodyText"/>
        <w:rPr/>
      </w:pPr>
      <w:r>
        <w:rPr/>
        <w:drawing>
          <wp:inline distT="0" distB="0" distL="0" distR="0">
            <wp:extent cx="3505200" cy="21240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0"/>
                    <a:stretch>
                      <a:fillRect/>
                    </a:stretch>
                  </pic:blipFill>
                  <pic:spPr bwMode="auto">
                    <a:xfrm>
                      <a:off x="0" y="0"/>
                      <a:ext cx="3505200" cy="2124075"/>
                    </a:xfrm>
                    <a:prstGeom prst="rect">
                      <a:avLst/>
                    </a:prstGeom>
                    <a:noFill/>
                  </pic:spPr>
                </pic:pic>
              </a:graphicData>
            </a:graphic>
          </wp:inline>
        </w:drawing>
      </w:r>
    </w:p>
    <w:p>
      <w:pPr>
        <w:pStyle w:val="Caption"/>
        <w:jc w:val="center"/>
        <w:rPr>
          <w:highlight w:val="none"/>
          <w:lang w:val="en-US"/>
        </w:rPr>
      </w:pPr>
      <w:r>
        <w:rPr/>
        <w:t xml:space="preserve">Kod </w:t>
      </w:r>
      <w:r>
        <w:rPr/>
        <w:fldChar w:fldCharType="begin"/>
      </w:r>
      <w:r>
        <w:rPr/>
        <w:instrText xml:space="preserve"> SEQ Kod \* ARABIC </w:instrText>
      </w:r>
      <w:r>
        <w:rPr/>
        <w:fldChar w:fldCharType="separate"/>
      </w:r>
      <w:r>
        <w:rPr/>
        <w:t>12</w:t>
      </w:r>
      <w:r>
        <w:rPr/>
        <w:fldChar w:fldCharType="end"/>
      </w:r>
      <w:r>
        <w:rPr>
          <w:lang w:val="en-US"/>
        </w:rPr>
        <w:t xml:space="preserve"> – Naredbe za pokretanje i praćenje sustava</w:t>
      </w:r>
    </w:p>
    <w:p>
      <w:pPr>
        <w:pStyle w:val="Caption"/>
        <w:jc w:val="center"/>
        <w:rPr/>
      </w:pPr>
      <w:r>
        <w:rPr/>
      </w:r>
    </w:p>
    <w:p>
      <w:pPr>
        <w:pStyle w:val="Heading2"/>
        <w:spacing w:before="0" w:after="120"/>
        <w:ind w:firstLine="567" w:left="0"/>
        <w:rPr/>
      </w:pPr>
      <w:bookmarkStart w:id="75" w:name="__RefHeading___Toc3603_803092978"/>
      <w:bookmarkStart w:id="76" w:name="_Toc38"/>
      <w:bookmarkEnd w:id="75"/>
      <w:r>
        <w:rPr/>
        <w:t>Konfiguracija Ecowitt WS3900</w:t>
      </w:r>
      <w:bookmarkEnd w:id="76"/>
    </w:p>
    <w:p>
      <w:pPr>
        <w:pStyle w:val="BodyText"/>
        <w:rPr/>
      </w:pPr>
      <w:r>
        <w:rPr/>
        <w:t>Meteorološka postaja mora biti konfigurirana za slanje vanjskih temperaturnih podataka kontejneriziranom API-ju (Ecowitt, 2024):</w:t>
      </w:r>
    </w:p>
    <w:p>
      <w:pPr>
        <w:pStyle w:val="BodyText"/>
        <w:numPr>
          <w:ilvl w:val="0"/>
          <w:numId w:val="8"/>
        </w:numPr>
        <w:rPr/>
      </w:pPr>
      <w:r>
        <w:rPr/>
        <w:t>Pristup WS3900 web sučelju (obično http://[ip-postaje])</w:t>
      </w:r>
    </w:p>
    <w:p>
      <w:pPr>
        <w:pStyle w:val="BodyText"/>
        <w:numPr>
          <w:ilvl w:val="0"/>
          <w:numId w:val="8"/>
        </w:numPr>
        <w:rPr/>
      </w:pPr>
      <w:r>
        <w:rPr/>
        <w:t>Weather Services → Customized</w:t>
      </w:r>
    </w:p>
    <w:p>
      <w:pPr>
        <w:pStyle w:val="BodyText"/>
        <w:numPr>
          <w:ilvl w:val="0"/>
          <w:numId w:val="8"/>
        </w:numPr>
        <w:rPr/>
      </w:pPr>
      <w:r>
        <w:rPr/>
        <w:t>Konfiguriraj postavke temperaturnog webhook-a:</w:t>
      </w:r>
    </w:p>
    <w:p>
      <w:pPr>
        <w:pStyle w:val="BodyText"/>
        <w:numPr>
          <w:ilvl w:val="1"/>
          <w:numId w:val="9"/>
        </w:numPr>
        <w:rPr/>
      </w:pPr>
      <w:r>
        <w:rPr/>
        <w:t>Server: IP adresa vašeg servera</w:t>
      </w:r>
    </w:p>
    <w:p>
      <w:pPr>
        <w:pStyle w:val="BodyText"/>
        <w:numPr>
          <w:ilvl w:val="1"/>
          <w:numId w:val="9"/>
        </w:numPr>
        <w:rPr/>
      </w:pPr>
      <w:r>
        <w:rPr/>
        <w:t>Path: /api/webhook</w:t>
      </w:r>
    </w:p>
    <w:p>
      <w:pPr>
        <w:pStyle w:val="BodyText"/>
        <w:numPr>
          <w:ilvl w:val="1"/>
          <w:numId w:val="9"/>
        </w:numPr>
        <w:rPr/>
      </w:pPr>
      <w:r>
        <w:rPr/>
        <w:t>Port: 8080</w:t>
      </w:r>
    </w:p>
    <w:p>
      <w:pPr>
        <w:pStyle w:val="BodyText"/>
        <w:numPr>
          <w:ilvl w:val="1"/>
          <w:numId w:val="9"/>
        </w:numPr>
        <w:rPr/>
      </w:pPr>
      <w:r>
        <w:rPr/>
        <w:t>Upload Interval: 60</w:t>
      </w:r>
    </w:p>
    <w:p>
      <w:pPr>
        <w:pStyle w:val="BodyText"/>
        <w:numPr>
          <w:ilvl w:val="0"/>
          <w:numId w:val="8"/>
        </w:numPr>
        <w:rPr/>
      </w:pPr>
      <w:r>
        <w:rPr/>
        <w:t>Spremanje konfiguracije i provjera prijenosa vanjskih temperaturnih podataka</w:t>
      </w:r>
    </w:p>
    <w:p>
      <w:pPr>
        <w:pStyle w:val="BodyText"/>
        <w:numPr>
          <w:ilvl w:val="0"/>
          <w:numId w:val="8"/>
        </w:numPr>
        <w:rPr/>
      </w:pPr>
      <w:r>
        <w:rPr/>
        <w:t>Praćenje logova za potvrdu prijema temperaturnih podataka i pretvaranje u Celzije</w:t>
      </w:r>
    </w:p>
    <w:p>
      <w:pPr>
        <w:pStyle w:val="BodyText"/>
        <w:rPr/>
      </w:pPr>
      <w:r>
        <w:rPr/>
      </w:r>
    </w:p>
    <w:p>
      <w:pPr>
        <w:pStyle w:val="BodyText"/>
        <w:ind w:hanging="0" w:left="0" w:right="0"/>
        <w:rPr>
          <w:highlight w:val="none"/>
        </w:rPr>
      </w:pPr>
      <w:r>
        <w:rPr/>
        <w:drawing>
          <wp:inline distT="0" distB="0" distL="0" distR="0">
            <wp:extent cx="6202680" cy="291401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1"/>
                    <a:stretch>
                      <a:fillRect/>
                    </a:stretch>
                  </pic:blipFill>
                  <pic:spPr bwMode="auto">
                    <a:xfrm>
                      <a:off x="0" y="0"/>
                      <a:ext cx="6202680" cy="2914015"/>
                    </a:xfrm>
                    <a:prstGeom prst="rect">
                      <a:avLst/>
                    </a:prstGeom>
                    <a:noFill/>
                  </pic:spPr>
                </pic:pic>
              </a:graphicData>
            </a:graphic>
          </wp:inline>
        </w:drawing>
      </w:r>
    </w:p>
    <w:p>
      <w:pPr>
        <w:pStyle w:val="Caption"/>
        <w:jc w:val="center"/>
        <w:rPr/>
      </w:pPr>
      <w:r>
        <w:rPr/>
        <w:t xml:space="preserve">Slika </w:t>
      </w:r>
      <w:r>
        <w:rPr/>
        <w:fldChar w:fldCharType="begin"/>
      </w:r>
      <w:r>
        <w:rPr/>
        <w:instrText xml:space="preserve"> SEQ Slika \* ARABIC </w:instrText>
      </w:r>
      <w:r>
        <w:rPr/>
        <w:fldChar w:fldCharType="separate"/>
      </w:r>
      <w:r>
        <w:rPr/>
        <w:t>5</w:t>
      </w:r>
      <w:r>
        <w:rPr/>
        <w:fldChar w:fldCharType="end"/>
      </w:r>
      <w:r>
        <w:rPr>
          <w:lang w:val="en-US"/>
        </w:rPr>
        <w:t xml:space="preserve"> – Konfiguracija webhooka unutar WS3900 sučelja</w:t>
      </w:r>
    </w:p>
    <w:p>
      <w:pPr>
        <w:pStyle w:val="Normal"/>
        <w:shd w:val="nil"/>
        <w:rPr/>
      </w:pPr>
      <w:r>
        <w:rPr/>
      </w:r>
      <w:bookmarkStart w:id="77" w:name="__RefHeading___Toc3605_803092978"/>
      <w:bookmarkStart w:id="78" w:name="__RefHeading___Toc3605_803092978"/>
      <w:bookmarkEnd w:id="78"/>
      <w:r>
        <w:br w:type="page"/>
      </w:r>
    </w:p>
    <w:p>
      <w:pPr>
        <w:pStyle w:val="Heading1"/>
        <w:spacing w:before="0" w:after="120"/>
        <w:ind w:firstLine="567" w:left="0"/>
        <w:rPr/>
      </w:pPr>
      <w:bookmarkStart w:id="79" w:name="__RefHeading___Toc2812_504949167"/>
      <w:bookmarkStart w:id="80" w:name="_Toc39"/>
      <w:bookmarkEnd w:id="79"/>
      <w:r>
        <w:rPr/>
        <w:t>Analiza Performansi Temperature i Rezultati</w:t>
      </w:r>
      <w:bookmarkEnd w:id="80"/>
    </w:p>
    <w:p>
      <w:pPr>
        <w:pStyle w:val="Heading2"/>
        <w:ind w:firstLine="567" w:left="0"/>
        <w:rPr/>
      </w:pPr>
      <w:bookmarkStart w:id="81" w:name="__RefHeading___Toc3607_803092978"/>
      <w:bookmarkStart w:id="82" w:name="_Toc40"/>
      <w:bookmarkEnd w:id="81"/>
      <w:r>
        <w:rPr/>
        <w:t>Metrike Performansi Temperaturnog Sustava</w:t>
      </w:r>
      <w:bookmarkEnd w:id="82"/>
    </w:p>
    <w:p>
      <w:pPr>
        <w:pStyle w:val="BodyText"/>
        <w:rPr/>
      </w:pPr>
      <w:r>
        <w:rPr/>
        <w:t>Implementirani sustav za praćenje temperature pokazuje izvrsne karakteristike performansi prikladne za hrvatske zahtjeve praćenja vanjske temperature (Državni Hidrometeorološki Zavod, 2024):</w:t>
      </w:r>
    </w:p>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6464"/>
        <w:gridCol w:w="3173"/>
      </w:tblGrid>
      <w:tr>
        <w:trPr/>
        <w:tc>
          <w:tcPr>
            <w:tcW w:w="6464" w:type="dxa"/>
            <w:tcBorders>
              <w:top w:val="single" w:sz="6" w:space="0" w:color="000000"/>
              <w:bottom w:val="single" w:sz="6" w:space="0" w:color="000000"/>
            </w:tcBorders>
          </w:tcPr>
          <w:p>
            <w:pPr>
              <w:pStyle w:val="TableContents"/>
              <w:jc w:val="left"/>
              <w:rPr>
                <w:b/>
                <w:bCs/>
              </w:rPr>
            </w:pPr>
            <w:r>
              <w:rPr>
                <w:rFonts w:ascii="Liberation Serif" w:hAnsi="Liberation Serif"/>
                <w:b/>
                <w:bCs/>
                <w:i w:val="false"/>
                <w:iCs w:val="false"/>
                <w:strike w:val="false"/>
                <w:dstrike w:val="false"/>
                <w:color w:val="000000"/>
                <w:sz w:val="24"/>
                <w:szCs w:val="24"/>
                <w:u w:val="none"/>
              </w:rPr>
              <w:t>Temperaturna Metrika</w:t>
            </w:r>
          </w:p>
        </w:tc>
        <w:tc>
          <w:tcPr>
            <w:tcW w:w="3173" w:type="dxa"/>
            <w:tcBorders>
              <w:top w:val="single" w:sz="6" w:space="0" w:color="000000"/>
              <w:bottom w:val="single" w:sz="6" w:space="0" w:color="000000"/>
            </w:tcBorders>
          </w:tcPr>
          <w:p>
            <w:pPr>
              <w:pStyle w:val="TableContents"/>
              <w:jc w:val="left"/>
              <w:rPr>
                <w:b/>
                <w:bCs/>
              </w:rPr>
            </w:pPr>
            <w:r>
              <w:rPr>
                <w:rFonts w:ascii="Liberation Serif" w:hAnsi="Liberation Serif"/>
                <w:b/>
                <w:bCs/>
                <w:i w:val="false"/>
                <w:iCs w:val="false"/>
                <w:strike w:val="false"/>
                <w:dstrike w:val="false"/>
                <w:color w:val="000000"/>
                <w:sz w:val="24"/>
                <w:szCs w:val="24"/>
                <w:u w:val="none"/>
              </w:rPr>
              <w:t>Vrijednost</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Vrijeme obrade temperaturnog webhook-a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50ms</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Vrijeme unosa u temperaturnu bazu podataka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30ms</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Vrijeme pretvaranja temperaturnih jedinica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1ms</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Vrijeme osvježavanja temperaturne nadzorne ploče</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2s</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Brzina unosa temperaturnih podataka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1 očitanje/minutu</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Točnost pretvaranja temperature</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100%</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Upotreba memorije temperaturnog sustava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256MB</w:t>
            </w:r>
          </w:p>
        </w:tc>
      </w:tr>
      <w:tr>
        <w:trPr>
          <w:trHeight w:val="379" w:hRule="atLeast"/>
        </w:trPr>
        <w:tc>
          <w:tcPr>
            <w:tcW w:w="6464"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Vrijeme pokretanja temperaturnog kontejnera</w:t>
            </w:r>
          </w:p>
        </w:tc>
        <w:tc>
          <w:tcPr>
            <w:tcW w:w="3173"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20s</w:t>
            </w:r>
          </w:p>
        </w:tc>
      </w:tr>
    </w:tbl>
    <w:p>
      <w:pPr>
        <w:pStyle w:val="BodyText"/>
        <w:rPr/>
      </w:pPr>
      <w:r>
        <w:rPr/>
      </w:r>
    </w:p>
    <w:p>
      <w:pPr>
        <w:pStyle w:val="Heading2"/>
        <w:ind w:firstLine="567" w:left="0"/>
        <w:rPr/>
      </w:pPr>
      <w:bookmarkStart w:id="83" w:name="__RefHeading___Toc3609_803092978"/>
      <w:bookmarkStart w:id="84" w:name="_Toc41"/>
      <w:bookmarkEnd w:id="83"/>
      <w:r>
        <w:rPr/>
        <w:t>Procjena Kvalitete Temperaturnih Podataka</w:t>
      </w:r>
      <w:bookmarkEnd w:id="84"/>
    </w:p>
    <w:p>
      <w:pPr>
        <w:pStyle w:val="BodyText"/>
        <w:rPr/>
      </w:pPr>
      <w:r>
        <w:rPr/>
        <w:t>Sveobuhvatna analiza prikupljenih vanjskih temperaturnih podataka pokazuje visoku kvalitetu i dosljednost:</w:t>
      </w:r>
    </w:p>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6464"/>
        <w:gridCol w:w="3173"/>
      </w:tblGrid>
      <w:tr>
        <w:trPr/>
        <w:tc>
          <w:tcPr>
            <w:tcW w:w="6464" w:type="dxa"/>
            <w:tcBorders>
              <w:top w:val="single" w:sz="6" w:space="0" w:color="000000"/>
              <w:bottom w:val="single" w:sz="6" w:space="0" w:color="000000"/>
            </w:tcBorders>
          </w:tcPr>
          <w:p>
            <w:pPr>
              <w:pStyle w:val="TableContents"/>
              <w:jc w:val="left"/>
              <w:rPr>
                <w:b/>
                <w:bCs/>
              </w:rPr>
            </w:pPr>
            <w:r>
              <w:rPr>
                <w:rFonts w:ascii="Liberation Serif" w:hAnsi="Liberation Serif"/>
                <w:b/>
                <w:bCs/>
                <w:i w:val="false"/>
                <w:iCs w:val="false"/>
                <w:strike w:val="false"/>
                <w:dstrike w:val="false"/>
                <w:color w:val="000000"/>
                <w:sz w:val="24"/>
                <w:szCs w:val="24"/>
                <w:u w:val="none"/>
              </w:rPr>
              <w:t>Metrika Kvalitete Temperature</w:t>
            </w:r>
          </w:p>
        </w:tc>
        <w:tc>
          <w:tcPr>
            <w:tcW w:w="3173" w:type="dxa"/>
            <w:tcBorders>
              <w:top w:val="single" w:sz="6" w:space="0" w:color="000000"/>
              <w:bottom w:val="single" w:sz="6" w:space="0" w:color="000000"/>
            </w:tcBorders>
          </w:tcPr>
          <w:p>
            <w:pPr>
              <w:pStyle w:val="TableContents"/>
              <w:jc w:val="left"/>
              <w:rPr>
                <w:b/>
                <w:bCs/>
              </w:rPr>
            </w:pPr>
            <w:r>
              <w:rPr>
                <w:rFonts w:ascii="Liberation Serif" w:hAnsi="Liberation Serif"/>
                <w:b/>
                <w:bCs/>
                <w:i w:val="false"/>
                <w:iCs w:val="false"/>
                <w:strike w:val="false"/>
                <w:dstrike w:val="false"/>
                <w:color w:val="000000"/>
                <w:sz w:val="24"/>
                <w:szCs w:val="24"/>
                <w:u w:val="none"/>
              </w:rPr>
              <w:t>Performanse</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Potpunost temperaturnih podataka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&gt; 99.5%</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Stopa uspjeha temperaturnog webhook-a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&gt; 99.8%</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Točnost pretvaranja temperaturnih jedinica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100%</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Dosljednost vremenskih oznaka temperature</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100%</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Dostupnost temperaturne baze podataka</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&gt; 99.9%</w:t>
            </w:r>
          </w:p>
        </w:tc>
      </w:tr>
      <w:tr>
        <w:trPr/>
        <w:tc>
          <w:tcPr>
            <w:tcW w:w="6464"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Odzivnost temperaturne nadzorne ploče</w:t>
            </w:r>
          </w:p>
        </w:tc>
        <w:tc>
          <w:tcPr>
            <w:tcW w:w="3173" w:type="dxa"/>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2s</w:t>
            </w:r>
          </w:p>
        </w:tc>
      </w:tr>
      <w:tr>
        <w:trPr>
          <w:trHeight w:val="347" w:hRule="atLeast"/>
        </w:trPr>
        <w:tc>
          <w:tcPr>
            <w:tcW w:w="6464"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Pomak kalibracije temperaturnog senzora</w:t>
            </w:r>
          </w:p>
        </w:tc>
        <w:tc>
          <w:tcPr>
            <w:tcW w:w="3173"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color w:val="000000"/>
                <w:sz w:val="24"/>
                <w:szCs w:val="24"/>
                <w:u w:val="none"/>
              </w:rPr>
            </w:pPr>
            <w:r>
              <w:rPr>
                <w:rFonts w:ascii="Liberation Serif" w:hAnsi="Liberation Serif"/>
                <w:b w:val="false"/>
                <w:bCs w:val="false"/>
                <w:i w:val="false"/>
                <w:iCs w:val="false"/>
                <w:strike w:val="false"/>
                <w:dstrike w:val="false"/>
                <w:color w:val="000000"/>
                <w:sz w:val="24"/>
                <w:szCs w:val="24"/>
                <w:u w:val="none"/>
              </w:rPr>
              <w:t>&lt; 0.1°C/mjesec</w:t>
            </w:r>
          </w:p>
        </w:tc>
      </w:tr>
    </w:tbl>
    <w:p>
      <w:pPr>
        <w:pStyle w:val="BodyText"/>
        <w:rPr/>
      </w:pPr>
      <w:r>
        <w:rPr/>
      </w:r>
      <w:r>
        <w:br w:type="page"/>
      </w:r>
    </w:p>
    <w:p>
      <w:pPr>
        <w:pStyle w:val="Heading2"/>
        <w:spacing w:before="0" w:after="120"/>
        <w:ind w:firstLine="567" w:left="0"/>
        <w:rPr/>
      </w:pPr>
      <w:bookmarkStart w:id="85" w:name="__RefHeading___Toc3611_803092978"/>
      <w:bookmarkStart w:id="86" w:name="_Toc42"/>
      <w:bookmarkEnd w:id="85"/>
      <w:r>
        <w:rPr/>
        <w:t>Usklađenost s Temperaturnim Standardima</w:t>
      </w:r>
      <w:bookmarkEnd w:id="86"/>
    </w:p>
    <w:p>
      <w:pPr>
        <w:pStyle w:val="BodyText"/>
        <w:rPr/>
      </w:pPr>
      <w:r>
        <w:rPr/>
        <w:t>Sustav potpuno je usklađen s standardima praćenja vanjske temperature (Europska Agencija za Okoliš, 2023; Državni Hidrometeorološki Zavod, 2024; Svjetska Meteorološka Organizacija, 2018):</w:t>
      </w:r>
    </w:p>
    <w:p>
      <w:pPr>
        <w:pStyle w:val="BodyText"/>
        <w:numPr>
          <w:ilvl w:val="0"/>
          <w:numId w:val="10"/>
        </w:numPr>
        <w:rPr/>
      </w:pPr>
      <w:r>
        <w:rPr>
          <w:b/>
          <w:bCs/>
        </w:rPr>
        <w:t>Temperaturna mjerenja</w:t>
      </w:r>
      <w:r>
        <w:rPr/>
        <w:t xml:space="preserve"> - Sva prikazana u Celzijima (°C)</w:t>
      </w:r>
    </w:p>
    <w:p>
      <w:pPr>
        <w:pStyle w:val="BodyText"/>
        <w:numPr>
          <w:ilvl w:val="0"/>
          <w:numId w:val="10"/>
        </w:numPr>
        <w:rPr/>
      </w:pPr>
      <w:r>
        <w:rPr>
          <w:b/>
          <w:bCs/>
        </w:rPr>
        <w:t>Preciznost temperature</w:t>
      </w:r>
      <w:r>
        <w:rPr/>
        <w:t xml:space="preserve"> - Rezolucija 0.1°C s točnošću ±0.5°C</w:t>
      </w:r>
    </w:p>
    <w:p>
      <w:pPr>
        <w:pStyle w:val="BodyText"/>
        <w:numPr>
          <w:ilvl w:val="0"/>
          <w:numId w:val="10"/>
        </w:numPr>
        <w:rPr/>
      </w:pPr>
      <w:r>
        <w:rPr>
          <w:b/>
          <w:bCs/>
        </w:rPr>
        <w:t>Rukovanje vremenskim zonama temperature</w:t>
      </w:r>
      <w:r>
        <w:rPr/>
        <w:t xml:space="preserve"> - UTC s pravilnim prikazom lokalnog vremena</w:t>
      </w:r>
    </w:p>
    <w:p>
      <w:pPr>
        <w:pStyle w:val="BodyText"/>
        <w:numPr>
          <w:ilvl w:val="0"/>
          <w:numId w:val="10"/>
        </w:numPr>
        <w:rPr/>
      </w:pPr>
      <w:r>
        <w:rPr>
          <w:b/>
          <w:bCs/>
        </w:rPr>
        <w:t>Čuvanje temperaturnih podataka</w:t>
      </w:r>
      <w:r>
        <w:rPr/>
        <w:t xml:space="preserve"> - Dugoročno povijesno pohranjivanje temperaturnih podataka</w:t>
      </w:r>
    </w:p>
    <w:p>
      <w:pPr>
        <w:pStyle w:val="BodyText"/>
        <w:numPr>
          <w:ilvl w:val="0"/>
          <w:numId w:val="10"/>
        </w:numPr>
        <w:rPr/>
      </w:pPr>
      <w:r>
        <w:rPr>
          <w:b/>
          <w:bCs/>
        </w:rPr>
        <w:t>Usklađenost kalibracije temperature</w:t>
      </w:r>
      <w:r>
        <w:rPr/>
        <w:t xml:space="preserve"> - Pridržavanje WMO smjernica</w:t>
      </w:r>
    </w:p>
    <w:p>
      <w:pPr>
        <w:pStyle w:val="BodyText"/>
        <w:numPr>
          <w:ilvl w:val="0"/>
          <w:numId w:val="10"/>
        </w:numPr>
        <w:rPr/>
      </w:pPr>
      <w:r>
        <w:rPr>
          <w:b/>
          <w:bCs/>
        </w:rPr>
        <w:t>Revizijski trag temperature</w:t>
      </w:r>
      <w:r>
        <w:rPr/>
        <w:t xml:space="preserve"> - Potpuno bilježenje obrade temperaturnih podataka</w:t>
      </w:r>
    </w:p>
    <w:p>
      <w:pPr>
        <w:pStyle w:val="BodyText"/>
        <w:rPr/>
      </w:pPr>
      <w:r>
        <w:rPr/>
      </w:r>
    </w:p>
    <w:p>
      <w:pPr>
        <w:pStyle w:val="Normal"/>
        <w:shd w:val="nil"/>
        <w:rPr/>
      </w:pPr>
      <w:r>
        <w:rPr/>
      </w:r>
      <w:r>
        <w:br w:type="page"/>
      </w:r>
    </w:p>
    <w:p>
      <w:pPr>
        <w:pStyle w:val="Heading1"/>
        <w:spacing w:before="0" w:after="120"/>
        <w:ind w:firstLine="567" w:left="0"/>
        <w:rPr/>
      </w:pPr>
      <w:bookmarkStart w:id="87" w:name="__RefHeading___Toc3613_803092978"/>
      <w:bookmarkStart w:id="88" w:name="_Toc43"/>
      <w:bookmarkEnd w:id="87"/>
      <w:r>
        <w:rPr/>
        <w:t>Zaključak</w:t>
      </w:r>
      <w:bookmarkEnd w:id="88"/>
    </w:p>
    <w:p>
      <w:pPr>
        <w:pStyle w:val="BodyText"/>
        <w:spacing w:lineRule="auto" w:line="360"/>
        <w:rPr>
          <w:highlight w:val="none"/>
        </w:rPr>
      </w:pPr>
      <w:r>
        <w:rPr>
          <w:lang w:val="en-US"/>
        </w:rPr>
        <w:t>I</w:t>
      </w:r>
      <w:r>
        <w:rPr/>
        <w:t xml:space="preserve">ntegrirani sustav za praćenje temperature i drugih okolišnih parametara temeljen na Ecowitt WS69 i WS3900 postajama te .NET Core arhitekturi s PostgreSQL pohranom i Grafana vizualizacijom pruža pouzdanu i skalabilnu platformu za prikupljanje i analizu podataka u stvarnom vremenu. Kombinacija naprednih senzora, rigoroznih WMO kalibracijskih procedura i softverskih mehanizama za automatsku validaciju te korekciju </w:t>
      </w:r>
      <w:r>
        <w:rPr>
          <w:lang w:val="en-US"/>
        </w:rPr>
        <w:t>odstupanj</w:t>
      </w:r>
      <w:r>
        <w:rPr/>
        <w:t xml:space="preserve">a osigurava visoku kvalitetu i točnost mjerenja. </w:t>
      </w:r>
      <w:r>
        <w:rPr>
          <w:lang w:val="en-US"/>
        </w:rPr>
        <w:t>K</w:t>
      </w:r>
      <w:r>
        <w:rPr/>
        <w:t>ont</w:t>
      </w:r>
      <w:r>
        <w:rPr>
          <w:lang w:val="en-US"/>
        </w:rPr>
        <w:t>ej</w:t>
      </w:r>
      <w:r>
        <w:rPr/>
        <w:t>nerizacija putem</w:t>
      </w:r>
      <w:r>
        <w:rPr>
          <w:lang w:val="en-US"/>
        </w:rPr>
        <w:t xml:space="preserve"> </w:t>
      </w:r>
      <w:r>
        <w:rPr/>
        <w:t>Docker Composea te implementacija mikroservisne arhitekture omogućuje</w:t>
      </w:r>
      <w:r>
        <w:rPr>
          <w:lang w:val="en-US"/>
        </w:rPr>
        <w:t xml:space="preserve"> </w:t>
      </w:r>
      <w:r>
        <w:rPr/>
        <w:t>brze nadogradnje, fleksibilno skaliranje i izolaciju pojedinih komponenti radi maksimalne pouzdanosti i minimiziranja rizika od zastoja.</w:t>
      </w:r>
    </w:p>
    <w:p>
      <w:pPr>
        <w:pStyle w:val="BodyText"/>
        <w:spacing w:lineRule="auto" w:line="360"/>
        <w:rPr/>
      </w:pPr>
      <w:r>
        <w:rPr/>
      </w:r>
    </w:p>
    <w:p>
      <w:pPr>
        <w:pStyle w:val="BodyText"/>
        <w:spacing w:lineRule="auto" w:line="360"/>
        <w:rPr>
          <w:highlight w:val="none"/>
        </w:rPr>
      </w:pPr>
      <w:r>
        <w:rPr>
          <w:lang w:val="en-US"/>
        </w:rPr>
        <w:t>S</w:t>
      </w:r>
      <w:r>
        <w:rPr/>
        <w:t>ustav za praćenje vanjske temperature uspješno pokazuje nekoliko ključnih postignuća za aplikacije praćenja temperature okoliša:</w:t>
      </w:r>
    </w:p>
    <w:p>
      <w:pPr>
        <w:pStyle w:val="BodyText"/>
        <w:numPr>
          <w:ilvl w:val="0"/>
          <w:numId w:val="11"/>
        </w:numPr>
        <w:spacing w:lineRule="auto" w:line="360"/>
        <w:rPr/>
      </w:pPr>
      <w:r>
        <w:rPr>
          <w:b/>
          <w:bCs/>
        </w:rPr>
        <w:t>Robusna integracija temperaturnog webhook-a</w:t>
      </w:r>
      <w:r>
        <w:rPr/>
        <w:t xml:space="preserve"> - Pouzdano prikupljanje vanjskih temperaturnih podataka iz Ecowitt WS69</w:t>
      </w:r>
    </w:p>
    <w:p>
      <w:pPr>
        <w:pStyle w:val="BodyText"/>
        <w:numPr>
          <w:ilvl w:val="0"/>
          <w:numId w:val="11"/>
        </w:numPr>
        <w:spacing w:lineRule="auto" w:line="360"/>
        <w:rPr/>
      </w:pPr>
      <w:r>
        <w:rPr>
          <w:b/>
          <w:bCs/>
        </w:rPr>
        <w:t>Automatsko pretvaranje temperaturnih jedinica</w:t>
      </w:r>
      <w:r>
        <w:rPr/>
        <w:t xml:space="preserve"> - Glatka transformacija Fahrenheit u Celzij</w:t>
      </w:r>
    </w:p>
    <w:p>
      <w:pPr>
        <w:pStyle w:val="BodyText"/>
        <w:numPr>
          <w:ilvl w:val="0"/>
          <w:numId w:val="11"/>
        </w:numPr>
        <w:spacing w:lineRule="auto" w:line="360"/>
        <w:rPr/>
      </w:pPr>
      <w:r>
        <w:rPr>
          <w:b/>
          <w:bCs/>
        </w:rPr>
        <w:t>Moderna arhitektura temperaturnog API-ja</w:t>
      </w:r>
      <w:r>
        <w:rPr/>
        <w:t xml:space="preserve"> - .NET 9 Minimal APIs sa smanjenim troškovima za obradu temperature</w:t>
      </w:r>
    </w:p>
    <w:p>
      <w:pPr>
        <w:pStyle w:val="BodyText"/>
        <w:numPr>
          <w:ilvl w:val="0"/>
          <w:numId w:val="11"/>
        </w:numPr>
        <w:spacing w:lineRule="auto" w:line="360"/>
        <w:rPr/>
      </w:pPr>
      <w:r>
        <w:rPr>
          <w:b/>
          <w:bCs/>
        </w:rPr>
        <w:t>Automatsko konfiguriranje temperaturne nadzorne ploče</w:t>
      </w:r>
      <w:r>
        <w:rPr/>
        <w:t xml:space="preserve"> - Zero-configuration Grafana implementacija temperaturne nadzorne ploče</w:t>
      </w:r>
    </w:p>
    <w:p>
      <w:pPr>
        <w:pStyle w:val="BodyText"/>
        <w:numPr>
          <w:ilvl w:val="0"/>
          <w:numId w:val="11"/>
        </w:numPr>
        <w:spacing w:lineRule="auto" w:line="360"/>
        <w:rPr/>
      </w:pPr>
      <w:r>
        <w:rPr>
          <w:b/>
          <w:bCs/>
        </w:rPr>
        <w:t>Kontejnerizirana temperaturna orkestracija</w:t>
      </w:r>
      <w:r>
        <w:rPr/>
        <w:t xml:space="preserve"> - Pojednostavljene implementacije i skaliranje s Docker Compose</w:t>
      </w:r>
    </w:p>
    <w:p>
      <w:pPr>
        <w:pStyle w:val="BodyText"/>
        <w:numPr>
          <w:ilvl w:val="0"/>
          <w:numId w:val="11"/>
        </w:numPr>
        <w:spacing w:lineRule="auto" w:line="360"/>
        <w:rPr/>
      </w:pPr>
      <w:r>
        <w:rPr>
          <w:b/>
          <w:bCs/>
        </w:rPr>
        <w:t>Usklađenost s temperaturnim standardima</w:t>
      </w:r>
      <w:r>
        <w:rPr/>
        <w:t xml:space="preserve"> - Potpuno pridržavanje europskih Celzijevih mjernih standarda</w:t>
      </w:r>
    </w:p>
    <w:p>
      <w:pPr>
        <w:pStyle w:val="BodyText"/>
        <w:spacing w:lineRule="auto" w:line="360" w:before="0" w:afterAutospacing="0" w:after="142"/>
        <w:rPr>
          <w:lang w:val="hr-HR"/>
        </w:rPr>
      </w:pPr>
      <w:r>
        <w:rPr>
          <w:lang w:val="hr-HR"/>
        </w:rPr>
        <w:t>Sustav demonstrira uspješnu kombinaciju modernog hard</w:t>
      </w:r>
      <w:r>
        <w:rPr>
          <w:lang w:val="en-US"/>
        </w:rPr>
        <w:t>ver</w:t>
      </w:r>
      <w:r>
        <w:rPr>
          <w:lang w:val="hr-HR"/>
        </w:rPr>
        <w:t xml:space="preserve">a i napredne </w:t>
      </w:r>
      <w:r>
        <w:rPr>
          <w:lang w:val="en-US"/>
        </w:rPr>
        <w:t xml:space="preserve">softverske </w:t>
      </w:r>
      <w:r>
        <w:rPr>
          <w:lang w:val="hr-HR"/>
        </w:rPr>
        <w:t>arhitekture i omogućuje prikupljanje podataka u stvarnom vremenu, pouzdano spremanje, intuitivnu vizualizaciju i dubinsku analizu uz visoke standarde točnosti. Ovaj sustav predstavlja novi standard za prikupljanje i analizu okolišnih podataka, nudeći pouzdanu platformu koja će podržati buduća tehnološka unapređenja i širenje primjena kroz različite industrije i geografska područja.</w:t>
      </w:r>
      <w:r>
        <w:br w:type="page"/>
      </w:r>
    </w:p>
    <w:p>
      <w:pPr>
        <w:pStyle w:val="Heading1"/>
        <w:spacing w:before="0" w:after="120"/>
        <w:ind w:firstLine="567" w:left="0"/>
        <w:rPr/>
      </w:pPr>
      <w:bookmarkStart w:id="89" w:name="__RefHeading___Toc3619_803092978"/>
      <w:bookmarkStart w:id="90" w:name="_Toc44"/>
      <w:bookmarkEnd w:id="89"/>
      <w:r>
        <w:rPr/>
        <w:t>Literatura</w:t>
      </w:r>
      <w:bookmarkEnd w:id="90"/>
    </w:p>
    <w:p>
      <w:pPr>
        <w:pStyle w:val="BodyText"/>
        <w:numPr>
          <w:ilvl w:val="0"/>
          <w:numId w:val="12"/>
        </w:numPr>
        <w:rPr/>
      </w:pPr>
      <w:r>
        <w:rPr/>
        <w:t xml:space="preserve">Docker Inc. (2024). Docker Compose Dokumentacija za Orkestraciju Kontejnera. Dostupno na: </w:t>
      </w:r>
      <w:hyperlink r:id="rId22">
        <w:r>
          <w:rPr>
            <w:rStyle w:val="Hyperlink"/>
          </w:rPr>
          <w:t>https://docs.docker.com/compose/</w:t>
        </w:r>
      </w:hyperlink>
    </w:p>
    <w:p>
      <w:pPr>
        <w:pStyle w:val="BodyText"/>
        <w:numPr>
          <w:ilvl w:val="0"/>
          <w:numId w:val="12"/>
        </w:numPr>
        <w:rPr/>
      </w:pPr>
      <w:r>
        <w:rPr/>
        <w:t>Državni Hidrometeorološki Zavod. (2024). Standardi i Smjernice za Praćenje Temperature. Zagreb, Hrvatska.</w:t>
      </w:r>
    </w:p>
    <w:p>
      <w:pPr>
        <w:pStyle w:val="BodyText"/>
        <w:numPr>
          <w:ilvl w:val="0"/>
          <w:numId w:val="12"/>
        </w:numPr>
        <w:rPr/>
      </w:pPr>
      <w:r>
        <w:rPr/>
        <w:t>Ecowitt. (2024). WS3900 Korisnički Priručnik Meteorološke Postaje i Dokumentacija Temperaturnog Senzora. Tehnička Dokumentacija.</w:t>
      </w:r>
    </w:p>
    <w:p>
      <w:pPr>
        <w:pStyle w:val="BodyText"/>
        <w:numPr>
          <w:ilvl w:val="0"/>
          <w:numId w:val="12"/>
        </w:numPr>
        <w:rPr/>
      </w:pPr>
      <w:r>
        <w:rPr/>
        <w:t>Europska Agencija za Okoliš. (2023). Standardi i Smjernice za Mjerenje Temperature. Kopenhagen, Danska.</w:t>
      </w:r>
    </w:p>
    <w:p>
      <w:pPr>
        <w:pStyle w:val="BodyText"/>
        <w:numPr>
          <w:ilvl w:val="0"/>
          <w:numId w:val="12"/>
        </w:numPr>
        <w:rPr/>
      </w:pPr>
      <w:r>
        <w:rPr/>
        <w:t xml:space="preserve">Grafana Labs. (2024). Grafana Konfiguriranje i Dokumentacija Temperaturne Nadzorne Ploče. Dostupno na: </w:t>
      </w:r>
      <w:hyperlink r:id="rId23">
        <w:r>
          <w:rPr>
            <w:rStyle w:val="Hyperlink"/>
          </w:rPr>
          <w:t>https://grafana.com/docs/grafana/latest/administration/provisioning/</w:t>
        </w:r>
      </w:hyperlink>
    </w:p>
    <w:p>
      <w:pPr>
        <w:pStyle w:val="BodyText"/>
        <w:numPr>
          <w:ilvl w:val="0"/>
          <w:numId w:val="12"/>
        </w:numPr>
        <w:rPr/>
      </w:pPr>
      <w:r>
        <w:rPr/>
        <w:t xml:space="preserve">Microsoft Corporation. (2024). .NET 9.0 i Minimal APIs Dokumentacija. Dostupno na: </w:t>
      </w:r>
      <w:hyperlink r:id="rId24" w:tooltip="https://docs.microsoft.com/dotnet/">
        <w:r>
          <w:rPr>
            <w:rStyle w:val="Hyperlink"/>
          </w:rPr>
          <w:t>https://docs.microsoft.com/dotnet/</w:t>
        </w:r>
      </w:hyperlink>
    </w:p>
    <w:p>
      <w:pPr>
        <w:pStyle w:val="BodyText"/>
        <w:numPr>
          <w:ilvl w:val="0"/>
          <w:numId w:val="12"/>
        </w:numPr>
        <w:rPr/>
      </w:pPr>
      <w:r>
        <w:rPr/>
        <w:t xml:space="preserve">PostgreSQL Global Development Group. (2024). PostgreSQL 15 Dokumentacija - Podaci Vremenskih Serija. Dostupno na: </w:t>
      </w:r>
      <w:hyperlink r:id="rId25">
        <w:r>
          <w:rPr>
            <w:rStyle w:val="Hyperlink"/>
          </w:rPr>
          <w:t>https://www.postgresql.org/docs/15/</w:t>
        </w:r>
      </w:hyperlink>
    </w:p>
    <w:p>
      <w:pPr>
        <w:pStyle w:val="BodyText"/>
        <w:numPr>
          <w:ilvl w:val="0"/>
          <w:numId w:val="12"/>
        </w:numPr>
        <w:rPr/>
      </w:pPr>
      <w:r>
        <w:rPr/>
        <w:t>Svjetska Meteorološka Organizacija. (2018). Vodič za Instrumente i Metode Promatranja - Temperaturna Mjerenja. WMO-Br. 8.</w:t>
      </w:r>
    </w:p>
    <w:p>
      <w:pPr>
        <w:pStyle w:val="BodyText"/>
        <w:spacing w:before="0" w:after="140"/>
        <w:ind w:hanging="0" w:left="0"/>
        <w:rPr/>
      </w:pPr>
      <w:r>
        <w:rPr/>
      </w:r>
    </w:p>
    <w:p>
      <w:pPr>
        <w:pStyle w:val="Normal"/>
        <w:shd w:val="nil"/>
        <w:rPr/>
      </w:pPr>
      <w:r>
        <w:rPr/>
      </w:r>
      <w:r>
        <w:br w:type="page"/>
      </w:r>
    </w:p>
    <w:p>
      <w:pPr>
        <w:pStyle w:val="Heading1"/>
        <w:spacing w:before="0" w:after="120"/>
        <w:ind w:firstLine="567" w:left="0"/>
        <w:rPr/>
      </w:pPr>
      <w:bookmarkStart w:id="91" w:name="__RefHeading___Toc2814_504949167"/>
      <w:bookmarkStart w:id="92" w:name="_Toc45"/>
      <w:bookmarkEnd w:id="91"/>
      <w:r>
        <w:rPr/>
        <w:t>Prilozi</w:t>
      </w:r>
      <w:bookmarkEnd w:id="92"/>
    </w:p>
    <w:p>
      <w:pPr>
        <w:pStyle w:val="BodyText"/>
        <w:rPr/>
      </w:pPr>
      <w:r>
        <w:rPr/>
        <w:t>Praktični dio ovoga rada je dostupan unutar GitHub repozitorija na poveznici:</w:t>
      </w:r>
    </w:p>
    <w:p>
      <w:pPr>
        <w:pStyle w:val="BodyText"/>
        <w:spacing w:before="0" w:after="140"/>
        <w:rPr>
          <w:highlight w:val="none"/>
        </w:rPr>
      </w:pPr>
      <w:hyperlink r:id="rId26" w:tooltip="https://github.com/tborozan/ecowitt-WS3900-integration">
        <w:r>
          <w:rPr>
            <w:rStyle w:val="Hyperlink"/>
          </w:rPr>
          <w:t>https://github.com/tborozan/ecowitt-WS3900-integration</w:t>
        </w:r>
      </w:hyperlink>
    </w:p>
    <w:p>
      <w:pPr>
        <w:pStyle w:val="Heading2"/>
        <w:ind w:hanging="0" w:left="567" w:right="0"/>
        <w:rPr/>
      </w:pPr>
      <w:bookmarkStart w:id="93" w:name="__RefHeading___Toc2816_504949167"/>
      <w:bookmarkStart w:id="94" w:name="_Toc46"/>
      <w:bookmarkEnd w:id="93"/>
      <w:r>
        <w:rPr>
          <w:lang w:val="en-US"/>
        </w:rPr>
        <w:t>Slike</w:t>
      </w:r>
      <w:bookmarkEnd w:id="94"/>
    </w:p>
    <w:p>
      <w:pPr>
        <w:pStyle w:val="TableofFigures"/>
        <w:tabs>
          <w:tab w:val="clear" w:pos="709"/>
          <w:tab w:val="right" w:pos="9638" w:leader="dot"/>
        </w:tabs>
        <w:rPr>
          <w:highlight w:val="none"/>
        </w:rPr>
      </w:pPr>
      <w:r>
        <w:fldChar w:fldCharType="begin"/>
      </w:r>
      <w:r>
        <w:rPr>
          <w:lang w:val="hr-HR"/>
        </w:rPr>
        <w:instrText xml:space="preserve"> TOC \c "Slika" \h </w:instrText>
      </w:r>
      <w:r>
        <w:rPr>
          <w:lang w:val="hr-HR"/>
        </w:rPr>
        <w:fldChar w:fldCharType="separate"/>
      </w:r>
      <w:r>
        <w:rPr>
          <w:lang w:val="hr-HR"/>
        </w:rPr>
        <w:t>Slika 1 – Ecowitt WS69 vanjska jedinica</w:t>
      </w:r>
      <w:r>
        <w:rPr/>
        <w:tab/>
        <w:t>11</w:t>
      </w:r>
    </w:p>
    <w:p>
      <w:pPr>
        <w:pStyle w:val="TableofFigures"/>
        <w:tabs>
          <w:tab w:val="clear" w:pos="709"/>
          <w:tab w:val="right" w:pos="9638" w:leader="dot"/>
        </w:tabs>
        <w:rPr/>
      </w:pPr>
      <w:r>
        <w:rPr/>
        <w:t xml:space="preserve">Slika 2 - Ecowitt WS3900 konzola </w:t>
        <w:tab/>
        <w:t>12</w:t>
      </w:r>
    </w:p>
    <w:p>
      <w:pPr>
        <w:pStyle w:val="TableofFigures"/>
        <w:tabs>
          <w:tab w:val="clear" w:pos="709"/>
          <w:tab w:val="right" w:pos="9638" w:leader="dot"/>
        </w:tabs>
        <w:rPr/>
      </w:pPr>
      <w:r>
        <w:rPr/>
        <w:t xml:space="preserve">Slika 3 - Dijagram sustava </w:t>
        <w:tab/>
        <w:t>14</w:t>
      </w:r>
    </w:p>
    <w:p>
      <w:pPr>
        <w:pStyle w:val="TableofFigures"/>
        <w:tabs>
          <w:tab w:val="clear" w:pos="709"/>
          <w:tab w:val="right" w:pos="9638" w:leader="dot"/>
        </w:tabs>
        <w:rPr/>
      </w:pPr>
      <w:r>
        <w:rPr/>
        <w:t xml:space="preserve">Slika 4 - Prikaz nadzorne ploče </w:t>
        <w:tab/>
        <w:t>24</w:t>
      </w:r>
    </w:p>
    <w:p>
      <w:pPr>
        <w:pStyle w:val="TableofFigures"/>
        <w:tabs>
          <w:tab w:val="clear" w:pos="709"/>
          <w:tab w:val="right" w:pos="9638" w:leader="dot"/>
        </w:tabs>
        <w:rPr/>
      </w:pPr>
      <w:r>
        <w:rPr/>
        <w:t>Slika 5</w:t>
      </w:r>
      <w:r>
        <w:rPr>
          <w:lang w:val="en-US"/>
        </w:rPr>
        <w:t xml:space="preserve"> – Konfiguracija webhooka unutar WS3900 sučelja</w:t>
      </w:r>
      <w:r>
        <w:rPr/>
        <w:tab/>
        <w:t>27</w:t>
      </w:r>
      <w:r>
        <w:rPr/>
        <w:fldChar w:fldCharType="end"/>
      </w:r>
    </w:p>
    <w:p>
      <w:pPr>
        <w:pStyle w:val="Heading2"/>
        <w:ind w:hanging="0" w:left="567" w:right="0"/>
        <w:rPr/>
      </w:pPr>
      <w:bookmarkStart w:id="95" w:name="__RefHeading___Toc2818_504949167"/>
      <w:bookmarkStart w:id="96" w:name="_Toc47"/>
      <w:bookmarkEnd w:id="95"/>
      <w:r>
        <w:rPr>
          <w:lang w:val="en-US"/>
        </w:rPr>
        <w:t>Kod</w:t>
      </w:r>
      <w:bookmarkEnd w:id="96"/>
    </w:p>
    <w:p>
      <w:pPr>
        <w:pStyle w:val="TableofFigures"/>
        <w:tabs>
          <w:tab w:val="clear" w:pos="709"/>
          <w:tab w:val="right" w:pos="9638" w:leader="dot"/>
        </w:tabs>
        <w:rPr/>
      </w:pPr>
      <w:r>
        <w:fldChar w:fldCharType="begin"/>
      </w:r>
      <w:r>
        <w:rPr/>
        <w:instrText xml:space="preserve"> TOC \c "Kod" \h </w:instrText>
      </w:r>
      <w:r>
        <w:rPr/>
        <w:fldChar w:fldCharType="separate"/>
      </w:r>
      <w:r>
        <w:rPr/>
        <w:t>Kod 1</w:t>
      </w:r>
      <w:r>
        <w:rPr>
          <w:lang w:val="en-US"/>
        </w:rPr>
        <w:t xml:space="preserve"> – GetLatestReading krajnja točka</w:t>
      </w:r>
      <w:r>
        <w:rPr/>
        <w:tab/>
        <w:t>15</w:t>
      </w:r>
    </w:p>
    <w:p>
      <w:pPr>
        <w:pStyle w:val="TableofFigures"/>
        <w:tabs>
          <w:tab w:val="clear" w:pos="709"/>
          <w:tab w:val="right" w:pos="9638" w:leader="dot"/>
        </w:tabs>
        <w:rPr/>
      </w:pPr>
      <w:r>
        <w:rPr/>
        <w:t>Kod 2</w:t>
      </w:r>
      <w:r>
        <w:rPr>
          <w:lang w:val="en-US"/>
        </w:rPr>
        <w:t xml:space="preserve"> – GetStatus krajnja točka</w:t>
      </w:r>
      <w:r>
        <w:rPr/>
        <w:tab/>
        <w:t>16</w:t>
      </w:r>
    </w:p>
    <w:p>
      <w:pPr>
        <w:pStyle w:val="TableofFigures"/>
        <w:tabs>
          <w:tab w:val="clear" w:pos="709"/>
          <w:tab w:val="right" w:pos="9638" w:leader="dot"/>
        </w:tabs>
        <w:rPr/>
      </w:pPr>
      <w:r>
        <w:rPr/>
        <w:t>Kod 3</w:t>
      </w:r>
      <w:r>
        <w:rPr>
          <w:lang w:val="en-US"/>
        </w:rPr>
        <w:t xml:space="preserve"> – ReceiveWebook krajnja točka</w:t>
      </w:r>
      <w:r>
        <w:rPr/>
        <w:tab/>
        <w:t>17</w:t>
      </w:r>
    </w:p>
    <w:p>
      <w:pPr>
        <w:pStyle w:val="TableofFigures"/>
        <w:tabs>
          <w:tab w:val="clear" w:pos="709"/>
          <w:tab w:val="right" w:pos="9638" w:leader="dot"/>
        </w:tabs>
        <w:rPr>
          <w:highlight w:val="none"/>
        </w:rPr>
      </w:pPr>
      <w:r>
        <w:rPr/>
        <w:t>Kod 4</w:t>
      </w:r>
      <w:r>
        <w:rPr>
          <w:lang w:val="en-US"/>
        </w:rPr>
        <w:t xml:space="preserve"> – Funkcija obrade podataka i funkcija pretvorbe temperaturne jedinice</w:t>
      </w:r>
      <w:r>
        <w:rPr/>
        <w:tab/>
        <w:t>18</w:t>
      </w:r>
    </w:p>
    <w:p>
      <w:pPr>
        <w:pStyle w:val="TableofFigures"/>
        <w:tabs>
          <w:tab w:val="clear" w:pos="709"/>
          <w:tab w:val="right" w:pos="9638" w:leader="dot"/>
        </w:tabs>
        <w:rPr>
          <w:highlight w:val="none"/>
        </w:rPr>
      </w:pPr>
      <w:r>
        <w:rPr/>
        <w:t xml:space="preserve">Kod 5 - Model podataka očitanja vanjskog senzora </w:t>
        <w:tab/>
        <w:t>18</w:t>
      </w:r>
    </w:p>
    <w:p>
      <w:pPr>
        <w:pStyle w:val="TableofFigures"/>
        <w:tabs>
          <w:tab w:val="clear" w:pos="709"/>
          <w:tab w:val="right" w:pos="9638" w:leader="dot"/>
        </w:tabs>
        <w:rPr/>
      </w:pPr>
      <w:r>
        <w:rPr/>
        <w:t>Kod 6</w:t>
      </w:r>
      <w:r>
        <w:rPr>
          <w:lang w:val="en-US"/>
        </w:rPr>
        <w:t xml:space="preserve"> – Dizajn baze podataka</w:t>
      </w:r>
      <w:r>
        <w:rPr/>
        <w:tab/>
        <w:t>19</w:t>
      </w:r>
    </w:p>
    <w:p>
      <w:pPr>
        <w:pStyle w:val="TableofFigures"/>
        <w:tabs>
          <w:tab w:val="clear" w:pos="709"/>
          <w:tab w:val="right" w:pos="9638" w:leader="dot"/>
        </w:tabs>
        <w:rPr>
          <w:highlight w:val="none"/>
        </w:rPr>
      </w:pPr>
      <w:r>
        <w:rPr/>
        <w:t>Kod 7</w:t>
      </w:r>
      <w:r>
        <w:rPr>
          <w:lang w:val="en-US"/>
        </w:rPr>
        <w:t xml:space="preserve"> – Instrukcije za konfiguraciju baze podataka</w:t>
      </w:r>
      <w:r>
        <w:rPr/>
        <w:tab/>
        <w:t>20</w:t>
      </w:r>
    </w:p>
    <w:p>
      <w:pPr>
        <w:pStyle w:val="TableofFigures"/>
        <w:tabs>
          <w:tab w:val="clear" w:pos="709"/>
          <w:tab w:val="right" w:pos="9638" w:leader="dot"/>
        </w:tabs>
        <w:rPr/>
      </w:pPr>
      <w:r>
        <w:rPr/>
        <w:t>Kod 8</w:t>
      </w:r>
      <w:r>
        <w:rPr>
          <w:lang w:val="en-US"/>
        </w:rPr>
        <w:t xml:space="preserve"> – Docker Compose konfiguracija, 1.dio</w:t>
      </w:r>
      <w:r>
        <w:rPr/>
        <w:tab/>
        <w:t>21</w:t>
      </w:r>
    </w:p>
    <w:p>
      <w:pPr>
        <w:pStyle w:val="TableofFigures"/>
        <w:tabs>
          <w:tab w:val="clear" w:pos="709"/>
          <w:tab w:val="right" w:pos="9638" w:leader="dot"/>
        </w:tabs>
        <w:rPr/>
      </w:pPr>
      <w:r>
        <w:rPr/>
        <w:t>Kod 9</w:t>
      </w:r>
      <w:r>
        <w:rPr>
          <w:lang w:val="en-US"/>
        </w:rPr>
        <w:t xml:space="preserve"> - Docker Compose konfiguracija, 2.dio</w:t>
      </w:r>
      <w:r>
        <w:rPr/>
        <w:tab/>
        <w:t>22</w:t>
      </w:r>
    </w:p>
    <w:p>
      <w:pPr>
        <w:pStyle w:val="TableofFigures"/>
        <w:tabs>
          <w:tab w:val="clear" w:pos="709"/>
          <w:tab w:val="right" w:pos="9638" w:leader="dot"/>
        </w:tabs>
        <w:rPr/>
      </w:pPr>
      <w:r>
        <w:rPr/>
        <w:t>Kod 10</w:t>
      </w:r>
      <w:r>
        <w:rPr>
          <w:lang w:val="en-US"/>
        </w:rPr>
        <w:t xml:space="preserve"> – Konfiguracija izvora podataka nadzorne ploče</w:t>
      </w:r>
      <w:r>
        <w:rPr/>
        <w:tab/>
        <w:t>23</w:t>
      </w:r>
    </w:p>
    <w:p>
      <w:pPr>
        <w:pStyle w:val="TableofFigures"/>
        <w:tabs>
          <w:tab w:val="clear" w:pos="709"/>
          <w:tab w:val="right" w:pos="9638" w:leader="dot"/>
        </w:tabs>
        <w:rPr>
          <w:highlight w:val="none"/>
        </w:rPr>
      </w:pPr>
      <w:r>
        <w:rPr/>
        <w:t>Kod 11</w:t>
      </w:r>
      <w:r>
        <w:rPr>
          <w:lang w:val="en-US"/>
        </w:rPr>
        <w:t xml:space="preserve"> – Upit na bazu podataka za prikaz na nadzornoj ploči</w:t>
      </w:r>
      <w:r>
        <w:rPr/>
        <w:tab/>
        <w:t>24</w:t>
      </w:r>
    </w:p>
    <w:p>
      <w:pPr>
        <w:pStyle w:val="TableofFigures"/>
        <w:tabs>
          <w:tab w:val="clear" w:pos="709"/>
          <w:tab w:val="right" w:pos="9638" w:leader="dot"/>
        </w:tabs>
        <w:rPr>
          <w:highlight w:val="none"/>
        </w:rPr>
      </w:pPr>
      <w:r>
        <w:rPr/>
        <w:t>Kod 12</w:t>
      </w:r>
      <w:r>
        <w:rPr>
          <w:lang w:val="en-US"/>
        </w:rPr>
        <w:t xml:space="preserve"> – Naredbe za pokretanje i praćenje sustava</w:t>
      </w:r>
      <w:r>
        <w:rPr/>
        <w:tab/>
        <w:t>26</w:t>
      </w:r>
      <w:r>
        <w:rPr/>
        <w:fldChar w:fldCharType="end"/>
      </w:r>
    </w:p>
    <w:p>
      <w:pPr>
        <w:pStyle w:val="BodyText"/>
        <w:spacing w:before="0" w:after="140"/>
        <w:rPr>
          <w:highlight w:val="none"/>
        </w:rPr>
      </w:pPr>
      <w:r>
        <w:rPr/>
      </w:r>
    </w:p>
    <w:sectPr>
      <w:footerReference w:type="even" r:id="rId27"/>
      <w:footerReference w:type="default" r:id="rId28"/>
      <w:footerReference w:type="first" r:id="rId29"/>
      <w:type w:val="nextPage"/>
      <w:pgSz w:w="11906" w:h="16838"/>
      <w:pgMar w:left="1134" w:right="1134" w:gutter="0" w:header="0" w:top="918" w:footer="972" w:bottom="153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OpenSymbol">
    <w:altName w:val="Arial Unicode MS"/>
    <w:charset w:val="01"/>
    <w:family w:val="roman"/>
    <w:pitch w:val="default"/>
  </w:font>
  <w:font w:name="Liberation Mono">
    <w:altName w:val="Courier New"/>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bookmarkStart w:id="5" w:name="PageNumWizard_FOOTER_Default_Page_Style3"/>
    <w:bookmarkStart w:id="6" w:name="PageNumWizard_FOOTER_Default_Page_Style3"/>
    <w:bookmarkEnd w:id="6"/>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bookmarkStart w:id="7" w:name="PageNumWizard_FOOTER_Default_Page_Style1"/>
    <w:bookmarkStart w:id="8" w:name="PageNumWizard_FOOTER_Default_Page_Style1"/>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97" w:name="PageNumWizard_FOOTER_Main1"/>
    <w:r>
      <w:rPr/>
      <w:fldChar w:fldCharType="begin"/>
    </w:r>
    <w:r>
      <w:rPr/>
      <w:instrText xml:space="preserve"> PAGE </w:instrText>
    </w:r>
    <w:r>
      <w:rPr/>
      <w:fldChar w:fldCharType="separate"/>
    </w:r>
    <w:r>
      <w:rPr/>
      <w:t>26</w:t>
    </w:r>
    <w:r>
      <w:rPr/>
      <w:fldChar w:fldCharType="end"/>
    </w:r>
    <w:bookmarkEnd w:id="97"/>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98" w:name="PageNumWizard_FOOTER_Main1_Copy_1"/>
    <w:r>
      <w:rPr/>
      <w:fldChar w:fldCharType="begin"/>
    </w:r>
    <w:r>
      <w:rPr/>
      <w:instrText xml:space="preserve"> PAGE </w:instrText>
    </w:r>
    <w:r>
      <w:rPr/>
      <w:fldChar w:fldCharType="separate"/>
    </w:r>
    <w:r>
      <w:rPr/>
      <w:t>25</w:t>
    </w:r>
    <w:r>
      <w:rPr/>
      <w:fldChar w:fldCharType="end"/>
    </w:r>
    <w:bookmarkEnd w:id="98"/>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isLgl/>
      <w:numFmt w:val="decimal"/>
      <w:lvlText w:val="%1."/>
      <w:lvlJc w:val="left"/>
      <w:pPr>
        <w:tabs>
          <w:tab w:val="num" w:pos="0"/>
        </w:tabs>
        <w:ind w:left="0" w:hanging="0"/>
      </w:pPr>
      <w:rPr/>
    </w:lvl>
    <w:lvl w:ilvl="1">
      <w:start w:val="1"/>
      <w:pStyle w:val="Heading2"/>
      <w:isLgl/>
      <w:numFmt w:val="decimal"/>
      <w:lvlText w:val="%1.%2."/>
      <w:lvlJc w:val="left"/>
      <w:pPr>
        <w:tabs>
          <w:tab w:val="num" w:pos="0"/>
        </w:tabs>
        <w:ind w:left="0" w:hanging="0"/>
      </w:pPr>
      <w:rPr/>
    </w:lvl>
    <w:lvl w:ilvl="2">
      <w:start w:val="1"/>
      <w:pStyle w:val="Heading3"/>
      <w:isLgl/>
      <w:numFmt w:val="none"/>
      <w:suff w:val="nothing"/>
      <w:lvlText w:val=""/>
      <w:lvlJc w:val="left"/>
      <w:pPr>
        <w:tabs>
          <w:tab w:val="num" w:pos="0"/>
        </w:tabs>
        <w:ind w:left="0" w:hanging="0"/>
      </w:pPr>
      <w:rPr/>
    </w:lvl>
    <w:lvl w:ilvl="3">
      <w:start w:val="1"/>
      <w:pStyle w:val="Heading4"/>
      <w:isLgl/>
      <w:numFmt w:val="none"/>
      <w:suff w:val="nothing"/>
      <w:lvlText w:val=""/>
      <w:lvlJc w:val="left"/>
      <w:pPr>
        <w:tabs>
          <w:tab w:val="num" w:pos="0"/>
        </w:tabs>
        <w:ind w:left="0" w:hanging="0"/>
      </w:pPr>
      <w:rPr/>
    </w:lvl>
    <w:lvl w:ilvl="4">
      <w:start w:val="1"/>
      <w:isLgl/>
      <w:numFmt w:val="none"/>
      <w:suff w:val="nothing"/>
      <w:lvlText w:val=""/>
      <w:lvlJc w:val="left"/>
      <w:pPr>
        <w:tabs>
          <w:tab w:val="num" w:pos="0"/>
        </w:tabs>
        <w:ind w:left="0" w:hanging="0"/>
      </w:pPr>
      <w:rPr/>
    </w:lvl>
    <w:lvl w:ilvl="5">
      <w:start w:val="1"/>
      <w:isLgl/>
      <w:numFmt w:val="none"/>
      <w:suff w:val="nothing"/>
      <w:lvlText w:val=""/>
      <w:lvlJc w:val="left"/>
      <w:pPr>
        <w:tabs>
          <w:tab w:val="num" w:pos="0"/>
        </w:tabs>
        <w:ind w:left="0" w:hanging="0"/>
      </w:pPr>
      <w:rPr/>
    </w:lvl>
    <w:lvl w:ilvl="6">
      <w:start w:val="1"/>
      <w:isLgl/>
      <w:numFmt w:val="none"/>
      <w:suff w:val="nothing"/>
      <w:lvlText w:val=""/>
      <w:lvlJc w:val="left"/>
      <w:pPr>
        <w:tabs>
          <w:tab w:val="num" w:pos="0"/>
        </w:tabs>
        <w:ind w:left="0" w:hanging="0"/>
      </w:pPr>
      <w:rPr/>
    </w:lvl>
    <w:lvl w:ilvl="7">
      <w:start w:val="1"/>
      <w:isLgl/>
      <w:numFmt w:val="none"/>
      <w:suff w:val="nothing"/>
      <w:lvlText w:val=""/>
      <w:lvlJc w:val="left"/>
      <w:pPr>
        <w:tabs>
          <w:tab w:val="num" w:pos="0"/>
        </w:tabs>
        <w:ind w:left="0" w:hanging="0"/>
      </w:pPr>
      <w:rPr/>
    </w:lvl>
    <w:lvl w:ilvl="8">
      <w:start w:val="1"/>
      <w:isLgl/>
      <w:numFmt w:val="none"/>
      <w:suff w:val="nothing"/>
      <w:lvlText w:val=""/>
      <w:lvlJc w:val="left"/>
      <w:pPr>
        <w:tabs>
          <w:tab w:val="num" w:pos="0"/>
        </w:tabs>
        <w:ind w:left="0" w:hanging="0"/>
      </w:pPr>
      <w:rPr/>
    </w:lvl>
  </w:abstractNum>
  <w:abstractNum w:abstractNumId="2">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3">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4">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5">
    <w:lvl w:ilvl="0">
      <w:start w:val="1"/>
      <w:isLgl/>
      <w:numFmt w:val="decimal"/>
      <w:lvlText w:val="%1."/>
      <w:lvlJc w:val="left"/>
      <w:pPr>
        <w:tabs>
          <w:tab w:val="num" w:pos="720"/>
        </w:tabs>
        <w:ind w:left="720" w:hanging="360"/>
      </w:pPr>
      <w:rPr/>
    </w:lvl>
    <w:lvl w:ilvl="1">
      <w:start w:val="1"/>
      <w:isLgl/>
      <w:numFmt w:val="decimal"/>
      <w:lvlText w:val="%2."/>
      <w:lvlJc w:val="left"/>
      <w:pPr>
        <w:tabs>
          <w:tab w:val="num" w:pos="1080"/>
        </w:tabs>
        <w:ind w:left="1080" w:hanging="360"/>
      </w:pPr>
      <w:rPr/>
    </w:lvl>
    <w:lvl w:ilvl="2">
      <w:start w:val="1"/>
      <w:isLgl/>
      <w:numFmt w:val="decimal"/>
      <w:lvlText w:val="%3."/>
      <w:lvlJc w:val="left"/>
      <w:pPr>
        <w:tabs>
          <w:tab w:val="num" w:pos="1440"/>
        </w:tabs>
        <w:ind w:left="1440" w:hanging="360"/>
      </w:pPr>
      <w:rPr/>
    </w:lvl>
    <w:lvl w:ilvl="3">
      <w:start w:val="1"/>
      <w:isLgl/>
      <w:numFmt w:val="decimal"/>
      <w:lvlText w:val="%4."/>
      <w:lvlJc w:val="left"/>
      <w:pPr>
        <w:tabs>
          <w:tab w:val="num" w:pos="1800"/>
        </w:tabs>
        <w:ind w:left="1800" w:hanging="360"/>
      </w:pPr>
      <w:rPr/>
    </w:lvl>
    <w:lvl w:ilvl="4">
      <w:start w:val="1"/>
      <w:isLgl/>
      <w:numFmt w:val="decimal"/>
      <w:lvlText w:val="%5."/>
      <w:lvlJc w:val="left"/>
      <w:pPr>
        <w:tabs>
          <w:tab w:val="num" w:pos="2160"/>
        </w:tabs>
        <w:ind w:left="2160" w:hanging="360"/>
      </w:pPr>
      <w:rPr/>
    </w:lvl>
    <w:lvl w:ilvl="5">
      <w:start w:val="1"/>
      <w:isLgl/>
      <w:numFmt w:val="decimal"/>
      <w:lvlText w:val="%6."/>
      <w:lvlJc w:val="left"/>
      <w:pPr>
        <w:tabs>
          <w:tab w:val="num" w:pos="2520"/>
        </w:tabs>
        <w:ind w:left="2520" w:hanging="360"/>
      </w:pPr>
      <w:rPr/>
    </w:lvl>
    <w:lvl w:ilvl="6">
      <w:start w:val="1"/>
      <w:isLgl/>
      <w:numFmt w:val="decimal"/>
      <w:lvlText w:val="%7."/>
      <w:lvlJc w:val="left"/>
      <w:pPr>
        <w:tabs>
          <w:tab w:val="num" w:pos="2880"/>
        </w:tabs>
        <w:ind w:left="2880" w:hanging="360"/>
      </w:pPr>
      <w:rPr/>
    </w:lvl>
    <w:lvl w:ilvl="7">
      <w:start w:val="1"/>
      <w:isLgl/>
      <w:numFmt w:val="decimal"/>
      <w:lvlText w:val="%8."/>
      <w:lvlJc w:val="left"/>
      <w:pPr>
        <w:tabs>
          <w:tab w:val="num" w:pos="3240"/>
        </w:tabs>
        <w:ind w:left="3240" w:hanging="360"/>
      </w:pPr>
      <w:rPr/>
    </w:lvl>
    <w:lvl w:ilvl="8">
      <w:start w:val="1"/>
      <w:isLgl/>
      <w:numFmt w:val="decimal"/>
      <w:lvlText w:val="%9."/>
      <w:lvlJc w:val="left"/>
      <w:pPr>
        <w:tabs>
          <w:tab w:val="num" w:pos="3600"/>
        </w:tabs>
        <w:ind w:left="3600" w:hanging="360"/>
      </w:pPr>
      <w:rPr/>
    </w:lvl>
  </w:abstractNum>
  <w:abstractNum w:abstractNumId="6">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7">
    <w:lvl w:ilvl="0">
      <w:start w:val="1"/>
      <w:isLgl/>
      <w:numFmt w:val="decimal"/>
      <w:lvlText w:val="%1."/>
      <w:lvlJc w:val="left"/>
      <w:pPr>
        <w:tabs>
          <w:tab w:val="num" w:pos="720"/>
        </w:tabs>
        <w:ind w:left="720" w:hanging="360"/>
      </w:pPr>
      <w:rPr/>
    </w:lvl>
    <w:lvl w:ilvl="1">
      <w:start w:val="1"/>
      <w:isLgl/>
      <w:numFmt w:val="decimal"/>
      <w:lvlText w:val="%2."/>
      <w:lvlJc w:val="left"/>
      <w:pPr>
        <w:tabs>
          <w:tab w:val="num" w:pos="1080"/>
        </w:tabs>
        <w:ind w:left="1080" w:hanging="360"/>
      </w:pPr>
      <w:rPr/>
    </w:lvl>
    <w:lvl w:ilvl="2">
      <w:start w:val="1"/>
      <w:isLgl/>
      <w:numFmt w:val="decimal"/>
      <w:lvlText w:val="%3."/>
      <w:lvlJc w:val="left"/>
      <w:pPr>
        <w:tabs>
          <w:tab w:val="num" w:pos="1440"/>
        </w:tabs>
        <w:ind w:left="1440" w:hanging="360"/>
      </w:pPr>
      <w:rPr/>
    </w:lvl>
    <w:lvl w:ilvl="3">
      <w:start w:val="1"/>
      <w:isLgl/>
      <w:numFmt w:val="decimal"/>
      <w:lvlText w:val="%4."/>
      <w:lvlJc w:val="left"/>
      <w:pPr>
        <w:tabs>
          <w:tab w:val="num" w:pos="1800"/>
        </w:tabs>
        <w:ind w:left="1800" w:hanging="360"/>
      </w:pPr>
      <w:rPr/>
    </w:lvl>
    <w:lvl w:ilvl="4">
      <w:start w:val="1"/>
      <w:isLgl/>
      <w:numFmt w:val="decimal"/>
      <w:lvlText w:val="%5."/>
      <w:lvlJc w:val="left"/>
      <w:pPr>
        <w:tabs>
          <w:tab w:val="num" w:pos="2160"/>
        </w:tabs>
        <w:ind w:left="2160" w:hanging="360"/>
      </w:pPr>
      <w:rPr/>
    </w:lvl>
    <w:lvl w:ilvl="5">
      <w:start w:val="1"/>
      <w:isLgl/>
      <w:numFmt w:val="decimal"/>
      <w:lvlText w:val="%6."/>
      <w:lvlJc w:val="left"/>
      <w:pPr>
        <w:tabs>
          <w:tab w:val="num" w:pos="2520"/>
        </w:tabs>
        <w:ind w:left="2520" w:hanging="360"/>
      </w:pPr>
      <w:rPr/>
    </w:lvl>
    <w:lvl w:ilvl="6">
      <w:start w:val="1"/>
      <w:isLgl/>
      <w:numFmt w:val="decimal"/>
      <w:lvlText w:val="%7."/>
      <w:lvlJc w:val="left"/>
      <w:pPr>
        <w:tabs>
          <w:tab w:val="num" w:pos="2880"/>
        </w:tabs>
        <w:ind w:left="2880" w:hanging="360"/>
      </w:pPr>
      <w:rPr/>
    </w:lvl>
    <w:lvl w:ilvl="7">
      <w:start w:val="1"/>
      <w:isLgl/>
      <w:numFmt w:val="decimal"/>
      <w:lvlText w:val="%8."/>
      <w:lvlJc w:val="left"/>
      <w:pPr>
        <w:tabs>
          <w:tab w:val="num" w:pos="3240"/>
        </w:tabs>
        <w:ind w:left="3240" w:hanging="360"/>
      </w:pPr>
      <w:rPr/>
    </w:lvl>
    <w:lvl w:ilvl="8">
      <w:start w:val="1"/>
      <w:isLgl/>
      <w:numFmt w:val="decimal"/>
      <w:lvlText w:val="%9."/>
      <w:lvlJc w:val="left"/>
      <w:pPr>
        <w:tabs>
          <w:tab w:val="num" w:pos="3600"/>
        </w:tabs>
        <w:ind w:left="3600" w:hanging="360"/>
      </w:pPr>
      <w:rPr/>
    </w:lvl>
  </w:abstractNum>
  <w:abstractNum w:abstractNumId="8">
    <w:lvl w:ilvl="0">
      <w:start w:val="1"/>
      <w:isLgl/>
      <w:numFmt w:val="decimal"/>
      <w:lvlText w:val="%1."/>
      <w:lvlJc w:val="left"/>
      <w:pPr>
        <w:tabs>
          <w:tab w:val="num" w:pos="720"/>
        </w:tabs>
        <w:ind w:left="720" w:hanging="360"/>
      </w:pPr>
      <w:rPr/>
    </w:lvl>
    <w:lvl w:ilvl="1">
      <w:start w:val="1"/>
      <w:isLgl/>
      <w:numFmt w:val="decimal"/>
      <w:lvlText w:val="%2."/>
      <w:lvlJc w:val="left"/>
      <w:pPr>
        <w:tabs>
          <w:tab w:val="num" w:pos="1080"/>
        </w:tabs>
        <w:ind w:left="1080" w:hanging="360"/>
      </w:pPr>
      <w:rPr/>
    </w:lvl>
    <w:lvl w:ilvl="2">
      <w:start w:val="1"/>
      <w:isLgl/>
      <w:numFmt w:val="decimal"/>
      <w:lvlText w:val="%3."/>
      <w:lvlJc w:val="left"/>
      <w:pPr>
        <w:tabs>
          <w:tab w:val="num" w:pos="1440"/>
        </w:tabs>
        <w:ind w:left="1440" w:hanging="360"/>
      </w:pPr>
      <w:rPr/>
    </w:lvl>
    <w:lvl w:ilvl="3">
      <w:start w:val="1"/>
      <w:isLgl/>
      <w:numFmt w:val="decimal"/>
      <w:lvlText w:val="%4."/>
      <w:lvlJc w:val="left"/>
      <w:pPr>
        <w:tabs>
          <w:tab w:val="num" w:pos="1800"/>
        </w:tabs>
        <w:ind w:left="1800" w:hanging="360"/>
      </w:pPr>
      <w:rPr/>
    </w:lvl>
    <w:lvl w:ilvl="4">
      <w:start w:val="1"/>
      <w:isLgl/>
      <w:numFmt w:val="decimal"/>
      <w:lvlText w:val="%5."/>
      <w:lvlJc w:val="left"/>
      <w:pPr>
        <w:tabs>
          <w:tab w:val="num" w:pos="2160"/>
        </w:tabs>
        <w:ind w:left="2160" w:hanging="360"/>
      </w:pPr>
      <w:rPr/>
    </w:lvl>
    <w:lvl w:ilvl="5">
      <w:start w:val="1"/>
      <w:isLgl/>
      <w:numFmt w:val="decimal"/>
      <w:lvlText w:val="%6."/>
      <w:lvlJc w:val="left"/>
      <w:pPr>
        <w:tabs>
          <w:tab w:val="num" w:pos="2520"/>
        </w:tabs>
        <w:ind w:left="2520" w:hanging="360"/>
      </w:pPr>
      <w:rPr/>
    </w:lvl>
    <w:lvl w:ilvl="6">
      <w:start w:val="1"/>
      <w:isLgl/>
      <w:numFmt w:val="decimal"/>
      <w:lvlText w:val="%7."/>
      <w:lvlJc w:val="left"/>
      <w:pPr>
        <w:tabs>
          <w:tab w:val="num" w:pos="2880"/>
        </w:tabs>
        <w:ind w:left="2880" w:hanging="360"/>
      </w:pPr>
      <w:rPr/>
    </w:lvl>
    <w:lvl w:ilvl="7">
      <w:start w:val="1"/>
      <w:isLgl/>
      <w:numFmt w:val="decimal"/>
      <w:lvlText w:val="%8."/>
      <w:lvlJc w:val="left"/>
      <w:pPr>
        <w:tabs>
          <w:tab w:val="num" w:pos="3240"/>
        </w:tabs>
        <w:ind w:left="3240" w:hanging="360"/>
      </w:pPr>
      <w:rPr/>
    </w:lvl>
    <w:lvl w:ilvl="8">
      <w:start w:val="1"/>
      <w:isLgl/>
      <w:numFmt w:val="decimal"/>
      <w:lvlText w:val="%9."/>
      <w:lvlJc w:val="left"/>
      <w:pPr>
        <w:tabs>
          <w:tab w:val="num" w:pos="3600"/>
        </w:tabs>
        <w:ind w:left="3600" w:hanging="360"/>
      </w:pPr>
      <w:rPr/>
    </w:lvl>
  </w:abstractNum>
  <w:abstractNum w:abstractNumId="9">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10">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11">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Symbol" w:hAnsi="Symbol" w:cs="Symbol" w:hint="default"/>
      </w:rPr>
    </w:lvl>
    <w:lvl w:ilvl="2">
      <w:start w:val="1"/>
      <w:isLgl/>
      <w:numFmt w:val="bullet"/>
      <w:lvlText w:val=""/>
      <w:lvlJc w:val="left"/>
      <w:pPr>
        <w:tabs>
          <w:tab w:val="num" w:pos="1440"/>
        </w:tabs>
        <w:ind w:left="1440" w:hanging="360"/>
      </w:pPr>
      <w:rPr>
        <w:rFonts w:ascii="Symbol" w:hAnsi="Symbol" w:cs="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Symbol" w:hAnsi="Symbol" w:cs="Symbol" w:hint="default"/>
      </w:rPr>
    </w:lvl>
    <w:lvl w:ilvl="5">
      <w:start w:val="1"/>
      <w:isLgl/>
      <w:numFmt w:val="bullet"/>
      <w:lvlText w:val=""/>
      <w:lvlJc w:val="left"/>
      <w:pPr>
        <w:tabs>
          <w:tab w:val="num" w:pos="2520"/>
        </w:tabs>
        <w:ind w:left="2520" w:hanging="360"/>
      </w:pPr>
      <w:rPr>
        <w:rFonts w:ascii="Symbol" w:hAnsi="Symbol" w:cs="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Symbol" w:hAnsi="Symbol" w:cs="Symbol" w:hint="default"/>
      </w:rPr>
    </w:lvl>
    <w:lvl w:ilvl="8">
      <w:start w:val="1"/>
      <w:isLgl/>
      <w:numFmt w:val="bullet"/>
      <w:lvlText w:val=""/>
      <w:lvlJc w:val="left"/>
      <w:pPr>
        <w:tabs>
          <w:tab w:val="num" w:pos="3600"/>
        </w:tabs>
        <w:ind w:left="3600" w:hanging="360"/>
      </w:pPr>
      <w:rPr>
        <w:rFonts w:ascii="Symbol" w:hAnsi="Symbol" w:cs="Symbol" w:hint="default"/>
      </w:rPr>
    </w:lvl>
  </w:abstractNum>
  <w:abstractNum w:abstractNumId="12">
    <w:lvl w:ilvl="0">
      <w:start w:val="1"/>
      <w:isLgl/>
      <w:numFmt w:val="decimal"/>
      <w:lvlText w:val="%1."/>
      <w:lvlJc w:val="left"/>
      <w:pPr>
        <w:tabs>
          <w:tab w:val="num" w:pos="720"/>
        </w:tabs>
        <w:ind w:left="720" w:hanging="360"/>
      </w:pPr>
      <w:rPr/>
    </w:lvl>
    <w:lvl w:ilvl="1">
      <w:start w:val="1"/>
      <w:isLgl/>
      <w:numFmt w:val="decimal"/>
      <w:lvlText w:val="%2."/>
      <w:lvlJc w:val="left"/>
      <w:pPr>
        <w:tabs>
          <w:tab w:val="num" w:pos="1080"/>
        </w:tabs>
        <w:ind w:left="1080" w:hanging="360"/>
      </w:pPr>
      <w:rPr/>
    </w:lvl>
    <w:lvl w:ilvl="2">
      <w:start w:val="1"/>
      <w:isLgl/>
      <w:numFmt w:val="decimal"/>
      <w:lvlText w:val="%3."/>
      <w:lvlJc w:val="left"/>
      <w:pPr>
        <w:tabs>
          <w:tab w:val="num" w:pos="1440"/>
        </w:tabs>
        <w:ind w:left="1440" w:hanging="360"/>
      </w:pPr>
      <w:rPr/>
    </w:lvl>
    <w:lvl w:ilvl="3">
      <w:start w:val="1"/>
      <w:isLgl/>
      <w:numFmt w:val="decimal"/>
      <w:lvlText w:val="%4."/>
      <w:lvlJc w:val="left"/>
      <w:pPr>
        <w:tabs>
          <w:tab w:val="num" w:pos="1800"/>
        </w:tabs>
        <w:ind w:left="1800" w:hanging="360"/>
      </w:pPr>
      <w:rPr/>
    </w:lvl>
    <w:lvl w:ilvl="4">
      <w:start w:val="1"/>
      <w:isLgl/>
      <w:numFmt w:val="decimal"/>
      <w:lvlText w:val="%5."/>
      <w:lvlJc w:val="left"/>
      <w:pPr>
        <w:tabs>
          <w:tab w:val="num" w:pos="2160"/>
        </w:tabs>
        <w:ind w:left="2160" w:hanging="360"/>
      </w:pPr>
      <w:rPr/>
    </w:lvl>
    <w:lvl w:ilvl="5">
      <w:start w:val="1"/>
      <w:isLgl/>
      <w:numFmt w:val="decimal"/>
      <w:lvlText w:val="%6."/>
      <w:lvlJc w:val="left"/>
      <w:pPr>
        <w:tabs>
          <w:tab w:val="num" w:pos="2520"/>
        </w:tabs>
        <w:ind w:left="2520" w:hanging="360"/>
      </w:pPr>
      <w:rPr/>
    </w:lvl>
    <w:lvl w:ilvl="6">
      <w:start w:val="1"/>
      <w:isLgl/>
      <w:numFmt w:val="decimal"/>
      <w:lvlText w:val="%7."/>
      <w:lvlJc w:val="left"/>
      <w:pPr>
        <w:tabs>
          <w:tab w:val="num" w:pos="2880"/>
        </w:tabs>
        <w:ind w:left="2880" w:hanging="360"/>
      </w:pPr>
      <w:rPr/>
    </w:lvl>
    <w:lvl w:ilvl="7">
      <w:start w:val="1"/>
      <w:isLgl/>
      <w:numFmt w:val="decimal"/>
      <w:lvlText w:val="%8."/>
      <w:lvlJc w:val="left"/>
      <w:pPr>
        <w:tabs>
          <w:tab w:val="num" w:pos="3240"/>
        </w:tabs>
        <w:ind w:left="3240" w:hanging="360"/>
      </w:pPr>
      <w:rPr/>
    </w:lvl>
    <w:lvl w:ilvl="8">
      <w:start w:val="1"/>
      <w:isLgl/>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5"/>
  <w:mirrorMargins/>
  <w:defaultTabStop w:val="709"/>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hr-H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360" w:before="0" w:after="0"/>
      <w:ind w:firstLine="567"/>
      <w:jc w:val="both"/>
    </w:pPr>
    <w:rPr>
      <w:rFonts w:ascii="Times New Roman" w:hAnsi="Times New Roman" w:eastAsia="NSimSun" w:cs="Arial"/>
      <w:color w:val="auto"/>
      <w:kern w:val="0"/>
      <w:sz w:val="24"/>
      <w:szCs w:val="24"/>
      <w:lang w:val="hr-HR" w:eastAsia="zh-CN" w:bidi="hi-IN"/>
    </w:rPr>
  </w:style>
  <w:style w:type="paragraph" w:styleId="Heading1">
    <w:name w:val="heading 1"/>
    <w:basedOn w:val="Heading"/>
    <w:next w:val="BodyText"/>
    <w:uiPriority w:val="9"/>
    <w:qFormat/>
    <w:pPr>
      <w:numPr>
        <w:ilvl w:val="0"/>
        <w:numId w:val="1"/>
      </w:numPr>
      <w:spacing w:before="0" w:after="120"/>
      <w:ind w:firstLine="567" w:left="0"/>
      <w:jc w:val="left"/>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Cs w:val="32"/>
    </w:rPr>
  </w:style>
  <w:style w:type="paragraph" w:styleId="Heading3">
    <w:name w:val="heading 3"/>
    <w:basedOn w:val="Heading"/>
    <w:next w:val="BodyText"/>
    <w:uiPriority w:val="9"/>
    <w:unhideWhenUsed/>
    <w:qFormat/>
    <w:pPr>
      <w:numPr>
        <w:ilvl w:val="2"/>
        <w:numId w:val="1"/>
      </w:numPr>
      <w:spacing w:before="140" w:after="120"/>
      <w:outlineLvl w:val="2"/>
    </w:pPr>
    <w:rPr>
      <w:b/>
      <w:bCs/>
      <w:sz w:val="28"/>
    </w:rPr>
  </w:style>
  <w:style w:type="paragraph" w:styleId="Heading4">
    <w:name w:val="heading 4"/>
    <w:basedOn w:val="Heading"/>
    <w:next w:val="BodyText"/>
    <w:uiPriority w:val="9"/>
    <w:unhideWhenUsed/>
    <w:qFormat/>
    <w:pPr>
      <w:numPr>
        <w:ilvl w:val="3"/>
        <w:numId w:val="1"/>
      </w:numPr>
      <w:spacing w:before="120" w:after="120"/>
      <w:outlineLvl w:val="3"/>
    </w:pPr>
    <w:rPr>
      <w:b/>
      <w:bCs/>
      <w:i/>
      <w:iCs/>
      <w:sz w:val="26"/>
      <w:szCs w:val="26"/>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EndnoteTextChar">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unhideWhenUsed/>
    <w:qFormat/>
    <w:rPr/>
  </w:style>
  <w:style w:type="character" w:styleId="Strong">
    <w:name w:val="Strong"/>
    <w:qFormat/>
    <w:rPr>
      <w:b/>
      <w:bCs/>
    </w:rPr>
  </w:style>
  <w:style w:type="character" w:styleId="Hyperlink">
    <w:name w:val="Hyperlink"/>
    <w:uiPriority w:val="99"/>
    <w:rPr>
      <w:color w:val="000080"/>
      <w:u w:val="single"/>
    </w:rPr>
  </w:style>
  <w:style w:type="character" w:styleId="IndexLink" w:customStyle="1">
    <w:name w:val="Index Link"/>
    <w:qFormat/>
    <w:rPr/>
  </w:style>
  <w:style w:type="character" w:styleId="Definition" w:customStyle="1">
    <w:name w:val="Definition"/>
    <w:qFormat/>
    <w:rPr/>
  </w:style>
  <w:style w:type="character" w:styleId="FootnoteCharacters" w:customStyle="1">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Bullets" w:customStyle="1">
    <w:name w:val="Bullets"/>
    <w:qFormat/>
    <w:rPr>
      <w:rFonts w:ascii="OpenSymbol" w:hAnsi="OpenSymbol" w:eastAsia="OpenSymbol" w:cs="OpenSymbol"/>
    </w:rPr>
  </w:style>
  <w:style w:type="character" w:styleId="FollowedHyperlink">
    <w:name w:val="FollowedHyperlink"/>
    <w:rPr>
      <w:color w:val="80000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customStyle="1">
    <w:name w:val="Heading"/>
    <w:basedOn w:val="Normal"/>
    <w:next w:val="BodyText"/>
    <w:qFormat/>
    <w:pPr>
      <w:keepNext w:val="true"/>
      <w:spacing w:before="240" w:after="120"/>
    </w:pPr>
    <w:rPr>
      <w:rFonts w:eastAsia="Microsoft YaHei"/>
      <w:sz w:val="32"/>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4">
    <w:name w:val="toc 4"/>
    <w:basedOn w:val="Normal"/>
    <w:next w:val="Normal"/>
    <w:uiPriority w:val="39"/>
    <w:unhideWhenUsed/>
    <w:pPr>
      <w:spacing w:before="0" w:after="57"/>
      <w:ind w:hanging="0" w:left="850" w:right="0"/>
    </w:pPr>
    <w:rPr/>
  </w:style>
  <w:style w:type="paragraph" w:styleId="TOC5">
    <w:name w:val="toc 5"/>
    <w:basedOn w:val="Normal"/>
    <w:next w:val="Normal"/>
    <w:uiPriority w:val="39"/>
    <w:unhideWhenUsed/>
    <w:pPr>
      <w:spacing w:before="0" w:after="57"/>
      <w:ind w:hanging="0" w:left="1134" w:right="0"/>
    </w:pPr>
    <w:rPr/>
  </w:style>
  <w:style w:type="paragraph" w:styleId="TOC6">
    <w:name w:val="toc 6"/>
    <w:basedOn w:val="Normal"/>
    <w:next w:val="Normal"/>
    <w:uiPriority w:val="39"/>
    <w:unhideWhenUsed/>
    <w:pPr>
      <w:spacing w:before="0" w:after="57"/>
      <w:ind w:hanging="0" w:left="1417" w:right="0"/>
    </w:pPr>
    <w:rPr/>
  </w:style>
  <w:style w:type="paragraph" w:styleId="TOC7">
    <w:name w:val="toc 7"/>
    <w:basedOn w:val="Normal"/>
    <w:next w:val="Normal"/>
    <w:uiPriority w:val="39"/>
    <w:unhideWhenUsed/>
    <w:pPr>
      <w:spacing w:before="0" w:after="57"/>
      <w:ind w:hanging="0" w:left="1701" w:right="0"/>
    </w:pPr>
    <w:rPr/>
  </w:style>
  <w:style w:type="paragraph" w:styleId="TOC8">
    <w:name w:val="toc 8"/>
    <w:basedOn w:val="Normal"/>
    <w:next w:val="Normal"/>
    <w:uiPriority w:val="39"/>
    <w:unhideWhenUsed/>
    <w:pPr>
      <w:spacing w:before="0" w:after="57"/>
      <w:ind w:hanging="0" w:left="1984" w:right="0"/>
    </w:pPr>
    <w:rPr/>
  </w:style>
  <w:style w:type="paragraph" w:styleId="TOC9">
    <w:name w:val="toc 9"/>
    <w:basedOn w:val="Normal"/>
    <w:next w:val="Normal"/>
    <w:uiPriority w:val="39"/>
    <w:unhideWhenUsed/>
    <w:pPr>
      <w:spacing w:before="0" w:after="57"/>
      <w:ind w:hanging="0" w:left="2268" w:right="0"/>
    </w:pPr>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after="120"/>
      <w:jc w:val="center"/>
    </w:pPr>
    <w:rPr>
      <w:sz w:val="36"/>
      <w:szCs w:val="36"/>
    </w:rPr>
  </w:style>
  <w:style w:type="paragraph" w:styleId="FrameContents" w:customStyle="1">
    <w:name w:val="Frame Contents"/>
    <w:basedOn w:val="Normal"/>
    <w:qFormat/>
    <w:pPr/>
    <w:rPr/>
  </w:style>
  <w:style w:type="paragraph" w:styleId="IndexHeading">
    <w:name w:val="index heading"/>
    <w:basedOn w:val="Heading"/>
    <w:pPr>
      <w:suppressLineNumbers/>
      <w:ind w:hanging="0"/>
    </w:pPr>
    <w:rPr>
      <w:b/>
      <w:bCs/>
      <w:szCs w:val="32"/>
    </w:rPr>
  </w:style>
  <w:style w:type="paragraph" w:styleId="TOCHeading">
    <w:name w:val="TOC Heading"/>
    <w:basedOn w:val="IndexHeading"/>
    <w:qFormat/>
    <w:pPr/>
    <w:rPr/>
  </w:style>
  <w:style w:type="paragraph" w:styleId="TOC1">
    <w:name w:val="toc 1"/>
    <w:basedOn w:val="Index"/>
    <w:uiPriority w:val="39"/>
    <w:unhideWhenUsed/>
    <w:pPr>
      <w:spacing w:before="0" w:after="57"/>
      <w:ind w:hanging="0" w:left="0" w:right="0"/>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style>
  <w:style w:type="paragraph" w:styleId="Footer">
    <w:name w:val="footer"/>
    <w:basedOn w:val="HeaderandFooter"/>
    <w:pPr/>
    <w:rPr/>
  </w:style>
  <w:style w:type="paragraph" w:styleId="FootnoteText">
    <w:name w:val="footnote text"/>
    <w:basedOn w:val="Normal"/>
    <w:pPr>
      <w:suppressLineNumbers/>
      <w:ind w:hanging="340" w:left="340"/>
    </w:pPr>
    <w:rPr>
      <w:sz w:val="20"/>
      <w:szCs w:val="20"/>
    </w:rPr>
  </w:style>
  <w:style w:type="paragraph" w:styleId="Figure" w:customStyle="1">
    <w:name w:val="Figure"/>
    <w:basedOn w:val="Caption"/>
    <w:qFormat/>
    <w:pPr/>
    <w:rPr/>
  </w:style>
  <w:style w:type="paragraph" w:styleId="Slika" w:customStyle="1">
    <w:name w:val="Slika"/>
    <w:basedOn w:val="Caption"/>
    <w:qFormat/>
    <w:pPr/>
    <w:rPr/>
  </w:style>
  <w:style w:type="paragraph" w:styleId="TOC2">
    <w:name w:val="toc 2"/>
    <w:basedOn w:val="Index"/>
    <w:uiPriority w:val="39"/>
    <w:unhideWhenUsed/>
    <w:pPr>
      <w:spacing w:before="0" w:after="57"/>
      <w:ind w:hanging="0" w:left="283"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3">
    <w:name w:val="toc 3"/>
    <w:basedOn w:val="Index"/>
    <w:uiPriority w:val="39"/>
    <w:unhideWhenUsed/>
    <w:pPr>
      <w:spacing w:before="0" w:after="57"/>
      <w:ind w:hanging="0" w:left="567" w:right="0"/>
    </w:pPr>
    <w:rPr/>
  </w:style>
  <w:style w:type="numbering" w:styleId="NoList" w:default="1">
    <w:name w:val="No List"/>
    <w:uiPriority w:val="99"/>
    <w:semiHidden/>
    <w:unhideWhenUsed/>
    <w:qFormat/>
  </w:style>
  <w:style w:type="table" w:styleId="12">
    <w:name w:val="Table Grid"/>
    <w:basedOn w:val="73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73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73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73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73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73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73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73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73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73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73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73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73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73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73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73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3FEBA" w:themeFill="accent1" w:themeFillTint="34"/>
      </w:tcPr>
    </w:tblStylePr>
    <w:tblStylePr w:type="band1Vert">
      <w:rPr>
        <w:sz w:val="22"/>
      </w:rPr>
      <w:tblPr/>
      <w:tcPr>
        <w:shd w:val="clear" w:color="FFFFFF" w:fill="C3FEBA"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73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BDE6FE" w:themeFill="accent2" w:themeFillTint="32"/>
      </w:tcPr>
    </w:tblStylePr>
    <w:tblStylePr w:type="band1Vert">
      <w:rPr>
        <w:sz w:val="22"/>
      </w:rPr>
      <w:tblPr/>
      <w:tcPr>
        <w:shd w:val="clear" w:color="FFFFFF" w:fill="BDE6FE"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73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ED3BA" w:themeFill="accent3" w:themeFillTint="34"/>
      </w:tcPr>
    </w:tblStylePr>
    <w:tblStylePr w:type="band1Vert">
      <w:rPr>
        <w:sz w:val="22"/>
      </w:rPr>
      <w:tblPr/>
      <w:tcPr>
        <w:shd w:val="clear" w:color="FFFFFF" w:fill="FED3BA"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73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5BAFE" w:themeFill="accent4" w:themeFillTint="34"/>
      </w:tcPr>
    </w:tblStylePr>
    <w:tblStylePr w:type="band1Vert">
      <w:rPr>
        <w:sz w:val="22"/>
      </w:rPr>
      <w:tblPr/>
      <w:tcPr>
        <w:shd w:val="clear" w:color="FFFFFF" w:fill="F5BAFE"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73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1C0" w:themeFill="accent5" w:themeFillTint="34"/>
      </w:tcPr>
    </w:tblStylePr>
    <w:tblStylePr w:type="band1Vert">
      <w:rPr>
        <w:sz w:val="22"/>
      </w:rPr>
      <w:tblPr/>
      <w:tcPr>
        <w:shd w:val="clear" w:color="FFFFFF" w:fill="FFF1C0"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73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8CECD" w:themeFill="accent6" w:themeFillTint="34"/>
      </w:tcPr>
    </w:tblStylePr>
    <w:tblStylePr w:type="band1Vert">
      <w:rPr>
        <w:sz w:val="22"/>
      </w:rPr>
      <w:tblPr/>
      <w:tcPr>
        <w:shd w:val="clear" w:color="FFFFFF" w:fill="F8CECD"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73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73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3FEBA" w:themeFill="accent1" w:themeFillTint="34"/>
      </w:tcPr>
    </w:tblStylePr>
    <w:tblStylePr w:type="band1Vert">
      <w:rPr>
        <w:sz w:val="22"/>
      </w:rPr>
      <w:tblPr/>
      <w:tcPr>
        <w:shd w:val="clear" w:color="FFFFFF" w:fill="C3FEBA"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73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BDE6FE" w:themeFill="accent2" w:themeFillTint="32"/>
      </w:tcPr>
    </w:tblStylePr>
    <w:tblStylePr w:type="band1Vert">
      <w:rPr>
        <w:sz w:val="22"/>
      </w:rPr>
      <w:tblPr/>
      <w:tcPr>
        <w:shd w:val="clear" w:color="FFFFFF" w:fill="BDE6FE"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73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ED3BA" w:themeFill="accent3" w:themeFillTint="34"/>
      </w:tcPr>
    </w:tblStylePr>
    <w:tblStylePr w:type="band1Vert">
      <w:rPr>
        <w:sz w:val="22"/>
      </w:rPr>
      <w:tblPr/>
      <w:tcPr>
        <w:shd w:val="clear" w:color="FFFFFF" w:fill="FED3BA"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73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5BAFE" w:themeFill="accent4" w:themeFillTint="34"/>
      </w:tcPr>
    </w:tblStylePr>
    <w:tblStylePr w:type="band1Vert">
      <w:rPr>
        <w:sz w:val="22"/>
      </w:rPr>
      <w:tblPr/>
      <w:tcPr>
        <w:shd w:val="clear" w:color="FFFFFF" w:fill="F5BAFE"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73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1C0" w:themeFill="accent5" w:themeFillTint="34"/>
      </w:tcPr>
    </w:tblStylePr>
    <w:tblStylePr w:type="band1Vert">
      <w:rPr>
        <w:sz w:val="22"/>
      </w:rPr>
      <w:tblPr/>
      <w:tcPr>
        <w:shd w:val="clear" w:color="FFFFFF" w:fill="FFF1C0"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73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8CECD" w:themeFill="accent6" w:themeFillTint="34"/>
      </w:tcPr>
    </w:tblStylePr>
    <w:tblStylePr w:type="band1Vert">
      <w:rPr>
        <w:sz w:val="22"/>
      </w:rPr>
      <w:tblPr/>
      <w:tcPr>
        <w:shd w:val="clear" w:color="FFFFFF" w:fill="F8CECD"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73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73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5FEBD" w:themeFill="accent1" w:themeFillTint="32"/>
      </w:tcPr>
    </w:tblStylePr>
    <w:tblStylePr w:type="band1Vert">
      <w:rPr>
        <w:sz w:val="22"/>
      </w:rPr>
      <w:tblPr/>
      <w:tcPr>
        <w:shd w:val="clear" w:color="FFFFFF" w:fill="C5FEBD"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CBF04"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73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BDE6FE" w:themeFill="accent2" w:themeFillTint="32"/>
      </w:tcPr>
    </w:tblStylePr>
    <w:tblStylePr w:type="band1Vert">
      <w:rPr>
        <w:sz w:val="22"/>
      </w:rPr>
      <w:tblPr/>
      <w:tcPr>
        <w:shd w:val="clear" w:color="FFFFFF" w:fill="BDE6FE"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37B4FB"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73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FED3BA" w:themeFill="accent3" w:themeFillTint="34"/>
      </w:tcPr>
    </w:tblStylePr>
    <w:tblStylePr w:type="band1Vert">
      <w:rPr>
        <w:sz w:val="22"/>
      </w:rPr>
      <w:tblPr/>
      <w:tcPr>
        <w:shd w:val="clear" w:color="FFFFFF" w:fill="FED3BA"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43F03"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73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5BAFE" w:themeFill="accent4" w:themeFillTint="34"/>
      </w:tcPr>
    </w:tblStylePr>
    <w:tblStylePr w:type="band1Vert">
      <w:rPr>
        <w:sz w:val="22"/>
      </w:rPr>
      <w:tblPr/>
      <w:tcPr>
        <w:shd w:val="clear" w:color="FFFFFF" w:fill="F5BAFE"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E133FB"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73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FF1C0" w:themeFill="accent5" w:themeFillTint="34"/>
      </w:tcPr>
    </w:tblStylePr>
    <w:tblStylePr w:type="band1Vert">
      <w:rPr>
        <w:sz w:val="22"/>
      </w:rPr>
      <w:tblPr/>
      <w:tcPr>
        <w:shd w:val="clear" w:color="FFFFFF" w:fill="FFF1C0"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C99C00"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73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8CECD" w:themeFill="accent6" w:themeFillTint="34"/>
      </w:tcPr>
    </w:tblStylePr>
    <w:tblStylePr w:type="band1Vert">
      <w:rPr>
        <w:sz w:val="22"/>
      </w:rPr>
      <w:tblPr/>
      <w:tcPr>
        <w:shd w:val="clear" w:color="FFFFFF" w:fill="F8CECD"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C9211E"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8FC64" w:themeFill="accent1" w:themeFillTint="75"/>
      </w:tcPr>
    </w:tblStylePr>
    <w:tblStylePr w:type="band1Vert">
      <w:tblPr/>
      <w:tcPr>
        <w:shd w:val="clear" w:color="FFFFFF" w:fill="78FC64" w:themeFill="accent1" w:themeFillTint="75"/>
      </w:tcPr>
    </w:tblStylePr>
    <w:tblStylePr w:type="band2Horz">
      <w:tblPr/>
    </w:tblStylePr>
    <w:tblStylePr w:type="band2Vert">
      <w:tblPr/>
    </w:tblStylePr>
    <w:tblStylePr w:type="firstCol">
      <w:rPr>
        <w:b/>
        <w:sz w:val="22"/>
      </w:rPr>
      <w:tblPr/>
      <w:tcPr>
        <w:shd w:val="clear" w:color="FFFFFF" w:fill="18A303" w:themeFill="accent1"/>
      </w:tcPr>
    </w:tblStylePr>
    <w:tblStylePr w:type="firstRow">
      <w:rPr>
        <w:b/>
        <w:sz w:val="22"/>
      </w:rPr>
      <w:tblPr/>
      <w:tcPr>
        <w:shd w:val="clear" w:color="FFFFFF" w:fill="18A303" w:themeFill="accent1"/>
      </w:tcPr>
    </w:tblStylePr>
    <w:tblStylePr w:type="lastCol">
      <w:rPr>
        <w:b/>
        <w:sz w:val="22"/>
      </w:rPr>
      <w:tblPr/>
      <w:tcPr>
        <w:shd w:val="clear" w:color="FFFFFF" w:fill="18A303" w:themeFill="accent1"/>
      </w:tcPr>
    </w:tblStylePr>
    <w:tblStylePr w:type="lastRow">
      <w:rPr>
        <w:b/>
        <w:sz w:val="22"/>
      </w:rPr>
      <w:tblPr/>
      <w:tcPr>
        <w:tcBorders>
          <w:top w:val="single" w:color="000000" w:themeColor="light1" w:sz="4" w:space="0"/>
        </w:tcBorders>
        <w:shd w:val="clear" w:color="FFFFFF" w:fill="18A303"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64C5FC" w:themeFill="accent2" w:themeFillTint="75"/>
      </w:tcPr>
    </w:tblStylePr>
    <w:tblStylePr w:type="band1Vert">
      <w:tblPr/>
      <w:tcPr>
        <w:shd w:val="clear" w:color="FFFFFF" w:fill="64C5FC" w:themeFill="accent2" w:themeFillTint="75"/>
      </w:tcPr>
    </w:tblStylePr>
    <w:tblStylePr w:type="band2Horz">
      <w:tblPr/>
    </w:tblStylePr>
    <w:tblStylePr w:type="band2Vert">
      <w:tblPr/>
    </w:tblStylePr>
    <w:tblStylePr w:type="firstCol">
      <w:rPr>
        <w:b/>
        <w:sz w:val="22"/>
      </w:rPr>
      <w:tblPr/>
      <w:tcPr>
        <w:shd w:val="clear" w:color="FFFFFF" w:fill="0369A3" w:themeFill="accent2"/>
      </w:tcPr>
    </w:tblStylePr>
    <w:tblStylePr w:type="firstRow">
      <w:rPr>
        <w:b/>
        <w:sz w:val="22"/>
      </w:rPr>
      <w:tblPr/>
      <w:tcPr>
        <w:shd w:val="clear" w:color="FFFFFF" w:fill="0369A3" w:themeFill="accent2"/>
      </w:tcPr>
    </w:tblStylePr>
    <w:tblStylePr w:type="lastCol">
      <w:rPr>
        <w:b/>
        <w:sz w:val="22"/>
      </w:rPr>
      <w:tblPr/>
      <w:tcPr>
        <w:shd w:val="clear" w:color="FFFFFF" w:fill="0369A3" w:themeFill="accent2"/>
      </w:tcPr>
    </w:tblStylePr>
    <w:tblStylePr w:type="lastRow">
      <w:rPr>
        <w:b/>
        <w:sz w:val="22"/>
      </w:rPr>
      <w:tblPr/>
      <w:tcPr>
        <w:tcBorders>
          <w:top w:val="single" w:color="000000" w:themeColor="light1" w:sz="4" w:space="0"/>
        </w:tcBorders>
        <w:shd w:val="clear" w:color="FFFFFF" w:fill="0369A3"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C9C64" w:themeFill="accent3" w:themeFillTint="75"/>
      </w:tcPr>
    </w:tblStylePr>
    <w:tblStylePr w:type="band1Vert">
      <w:tblPr/>
      <w:tcPr>
        <w:shd w:val="clear" w:color="FFFFFF" w:fill="FC9C64" w:themeFill="accent3" w:themeFillTint="75"/>
      </w:tcPr>
    </w:tblStylePr>
    <w:tblStylePr w:type="band2Horz">
      <w:tblPr/>
    </w:tblStylePr>
    <w:tblStylePr w:type="band2Vert">
      <w:tblPr/>
    </w:tblStylePr>
    <w:tblStylePr w:type="firstCol">
      <w:rPr>
        <w:b/>
        <w:sz w:val="22"/>
      </w:rPr>
      <w:tblPr/>
      <w:tcPr>
        <w:shd w:val="clear" w:color="FFFFFF" w:fill="A33E03" w:themeFill="accent3"/>
      </w:tcPr>
    </w:tblStylePr>
    <w:tblStylePr w:type="firstRow">
      <w:rPr>
        <w:b/>
        <w:sz w:val="22"/>
      </w:rPr>
      <w:tblPr/>
      <w:tcPr>
        <w:shd w:val="clear" w:color="FFFFFF" w:fill="A33E03" w:themeFill="accent3"/>
      </w:tcPr>
    </w:tblStylePr>
    <w:tblStylePr w:type="lastCol">
      <w:rPr>
        <w:b/>
        <w:sz w:val="22"/>
      </w:rPr>
      <w:tblPr/>
      <w:tcPr>
        <w:shd w:val="clear" w:color="FFFFFF" w:fill="A33E03" w:themeFill="accent3"/>
      </w:tcPr>
    </w:tblStylePr>
    <w:tblStylePr w:type="lastRow">
      <w:rPr>
        <w:b/>
        <w:sz w:val="22"/>
      </w:rPr>
      <w:tblPr/>
      <w:tcPr>
        <w:tcBorders>
          <w:top w:val="single" w:color="000000" w:themeColor="light1" w:sz="4" w:space="0"/>
        </w:tcBorders>
        <w:shd w:val="clear" w:color="FFFFFF" w:fill="A33E03"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864FC" w:themeFill="accent4" w:themeFillTint="75"/>
      </w:tcPr>
    </w:tblStylePr>
    <w:tblStylePr w:type="band1Vert">
      <w:tblPr/>
      <w:tcPr>
        <w:shd w:val="clear" w:color="FFFFFF" w:fill="E864FC" w:themeFill="accent4" w:themeFillTint="75"/>
      </w:tcPr>
    </w:tblStylePr>
    <w:tblStylePr w:type="band2Horz">
      <w:tblPr/>
    </w:tblStylePr>
    <w:tblStylePr w:type="band2Vert">
      <w:tblPr/>
    </w:tblStylePr>
    <w:tblStylePr w:type="firstCol">
      <w:rPr>
        <w:b/>
        <w:sz w:val="22"/>
      </w:rPr>
      <w:tblPr/>
      <w:tcPr>
        <w:shd w:val="clear" w:color="FFFFFF" w:fill="8E03A3" w:themeFill="accent4"/>
      </w:tcPr>
    </w:tblStylePr>
    <w:tblStylePr w:type="firstRow">
      <w:rPr>
        <w:b/>
        <w:sz w:val="22"/>
      </w:rPr>
      <w:tblPr/>
      <w:tcPr>
        <w:shd w:val="clear" w:color="FFFFFF" w:fill="8E03A3" w:themeFill="accent4"/>
      </w:tcPr>
    </w:tblStylePr>
    <w:tblStylePr w:type="lastCol">
      <w:rPr>
        <w:b/>
        <w:sz w:val="22"/>
      </w:rPr>
      <w:tblPr/>
      <w:tcPr>
        <w:shd w:val="clear" w:color="FFFFFF" w:fill="8E03A3" w:themeFill="accent4"/>
      </w:tcPr>
    </w:tblStylePr>
    <w:tblStylePr w:type="lastRow">
      <w:rPr>
        <w:b/>
        <w:sz w:val="22"/>
      </w:rPr>
      <w:tblPr/>
      <w:tcPr>
        <w:tcBorders>
          <w:top w:val="single" w:color="000000" w:themeColor="light1" w:sz="4" w:space="0"/>
        </w:tcBorders>
        <w:shd w:val="clear" w:color="FFFFFF" w:fill="8E03A3"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DF71" w:themeFill="accent5" w:themeFillTint="75"/>
      </w:tcPr>
    </w:tblStylePr>
    <w:tblStylePr w:type="band1Vert">
      <w:tblPr/>
      <w:tcPr>
        <w:shd w:val="clear" w:color="FFFFFF" w:fill="FFDF71" w:themeFill="accent5" w:themeFillTint="75"/>
      </w:tcPr>
    </w:tblStylePr>
    <w:tblStylePr w:type="band2Horz">
      <w:tblPr/>
    </w:tblStylePr>
    <w:tblStylePr w:type="band2Vert">
      <w:tblPr/>
    </w:tblStylePr>
    <w:tblStylePr w:type="firstCol">
      <w:rPr>
        <w:b/>
        <w:sz w:val="22"/>
      </w:rPr>
      <w:tblPr/>
      <w:tcPr>
        <w:shd w:val="clear" w:color="FFFFFF" w:fill="C99C00" w:themeFill="accent5"/>
      </w:tcPr>
    </w:tblStylePr>
    <w:tblStylePr w:type="firstRow">
      <w:rPr>
        <w:b/>
        <w:sz w:val="22"/>
      </w:rPr>
      <w:tblPr/>
      <w:tcPr>
        <w:shd w:val="clear" w:color="FFFFFF" w:fill="C99C00" w:themeFill="accent5"/>
      </w:tcPr>
    </w:tblStylePr>
    <w:tblStylePr w:type="lastCol">
      <w:rPr>
        <w:b/>
        <w:sz w:val="22"/>
      </w:rPr>
      <w:tblPr/>
      <w:tcPr>
        <w:shd w:val="clear" w:color="FFFFFF" w:fill="C99C00" w:themeFill="accent5"/>
      </w:tcPr>
    </w:tblStylePr>
    <w:tblStylePr w:type="lastRow">
      <w:rPr>
        <w:b/>
        <w:sz w:val="22"/>
      </w:rPr>
      <w:tblPr/>
      <w:tcPr>
        <w:tcBorders>
          <w:top w:val="single" w:color="000000" w:themeColor="light1" w:sz="4" w:space="0"/>
        </w:tcBorders>
        <w:shd w:val="clear" w:color="FFFFFF" w:fill="C99C00"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73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E9190" w:themeFill="accent6" w:themeFillTint="75"/>
      </w:tcPr>
    </w:tblStylePr>
    <w:tblStylePr w:type="band1Vert">
      <w:tblPr/>
      <w:tcPr>
        <w:shd w:val="clear" w:color="FFFFFF" w:fill="EE9190" w:themeFill="accent6" w:themeFillTint="75"/>
      </w:tcPr>
    </w:tblStylePr>
    <w:tblStylePr w:type="band2Horz">
      <w:tblPr/>
    </w:tblStylePr>
    <w:tblStylePr w:type="band2Vert">
      <w:tblPr/>
    </w:tblStylePr>
    <w:tblStylePr w:type="firstCol">
      <w:rPr>
        <w:b/>
        <w:sz w:val="22"/>
      </w:rPr>
      <w:tblPr/>
      <w:tcPr>
        <w:shd w:val="clear" w:color="FFFFFF" w:fill="C9211E" w:themeFill="accent6"/>
      </w:tcPr>
    </w:tblStylePr>
    <w:tblStylePr w:type="firstRow">
      <w:rPr>
        <w:b/>
        <w:sz w:val="22"/>
      </w:rPr>
      <w:tblPr/>
      <w:tcPr>
        <w:shd w:val="clear" w:color="FFFFFF" w:fill="C9211E" w:themeFill="accent6"/>
      </w:tcPr>
    </w:tblStylePr>
    <w:tblStylePr w:type="lastCol">
      <w:rPr>
        <w:b/>
        <w:sz w:val="22"/>
      </w:rPr>
      <w:tblPr/>
      <w:tcPr>
        <w:shd w:val="clear" w:color="FFFFFF" w:fill="C9211E" w:themeFill="accent6"/>
      </w:tcPr>
    </w:tblStylePr>
    <w:tblStylePr w:type="lastRow">
      <w:rPr>
        <w:b/>
        <w:sz w:val="22"/>
      </w:rPr>
      <w:tblPr/>
      <w:tcPr>
        <w:tcBorders>
          <w:top w:val="single" w:color="000000" w:themeColor="light1" w:sz="4" w:space="0"/>
        </w:tcBorders>
        <w:shd w:val="clear" w:color="FFFFFF" w:fill="C9211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73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55">
    <w:name w:val="Grid Table 6 Colorful - Accent 1"/>
    <w:basedOn w:val="73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3FEBA" w:themeFill="accent1" w:themeFillTint="34"/>
      </w:tcPr>
    </w:tblStylePr>
    <w:tblStylePr w:type="band1Vert">
      <w:tblPr/>
      <w:tcPr>
        <w:shd w:val="clear" w:color="FFFFFF" w:fill="C3FEBA"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56">
    <w:name w:val="Grid Table 6 Colorful - Accent 2"/>
    <w:basedOn w:val="73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BDE6FE" w:themeFill="accent2" w:themeFillTint="32"/>
      </w:tcPr>
    </w:tblStylePr>
    <w:tblStylePr w:type="band1Vert">
      <w:tblPr/>
      <w:tcPr>
        <w:shd w:val="clear" w:color="FFFFFF" w:fill="BDE6FE"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57">
    <w:name w:val="Grid Table 6 Colorful - Accent 3"/>
    <w:basedOn w:val="73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FED3BA" w:themeFill="accent3" w:themeFillTint="34"/>
      </w:tcPr>
    </w:tblStylePr>
    <w:tblStylePr w:type="band1Vert">
      <w:tblPr/>
      <w:tcPr>
        <w:shd w:val="clear" w:color="FFFFFF" w:fill="FED3BA"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58">
    <w:name w:val="Grid Table 6 Colorful - Accent 4"/>
    <w:basedOn w:val="73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5BAFE" w:themeFill="accent4" w:themeFillTint="34"/>
      </w:tcPr>
    </w:tblStylePr>
    <w:tblStylePr w:type="band1Vert">
      <w:tblPr/>
      <w:tcPr>
        <w:shd w:val="clear" w:color="FFFFFF" w:fill="F5BAFE"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59">
    <w:name w:val="Grid Table 6 Colorful - Accent 5"/>
    <w:basedOn w:val="73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FFF1C0" w:themeFill="accent5" w:themeFillTint="34"/>
      </w:tcPr>
    </w:tblStylePr>
    <w:tblStylePr w:type="band1Vert">
      <w:tblPr/>
      <w:tcPr>
        <w:shd w:val="clear" w:color="FFFFFF" w:fill="FFF1C0"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0">
    <w:name w:val="Grid Table 6 Colorful - Accent 6"/>
    <w:basedOn w:val="73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8CECD" w:themeFill="accent6" w:themeFillTint="34"/>
      </w:tcPr>
    </w:tblStylePr>
    <w:tblStylePr w:type="band1Vert">
      <w:tblPr/>
      <w:tcPr>
        <w:shd w:val="clear" w:color="FFFFFF" w:fill="F8CECD"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1">
    <w:name w:val="Grid Table 7 Colorful"/>
    <w:basedOn w:val="73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73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3FEBA" w:themeFill="accent1" w:themeFillTint="34"/>
      </w:tcPr>
    </w:tblStylePr>
    <w:tblStylePr w:type="band1Vert">
      <w:tblPr/>
      <w:tcPr>
        <w:shd w:val="clear" w:color="FFFFFF" w:fill="C3FEBA"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73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BDE6FE" w:themeFill="accent2" w:themeFillTint="32"/>
      </w:tcPr>
    </w:tblStylePr>
    <w:tblStylePr w:type="band1Vert">
      <w:tblPr/>
      <w:tcPr>
        <w:shd w:val="clear" w:color="FFFFFF" w:fill="BDE6FE"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73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FED3BA" w:themeFill="accent3" w:themeFillTint="34"/>
      </w:tcPr>
    </w:tblStylePr>
    <w:tblStylePr w:type="band1Vert">
      <w:tblPr/>
      <w:tcPr>
        <w:shd w:val="clear" w:color="FFFFFF" w:fill="FED3BA"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73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5BAFE" w:themeFill="accent4" w:themeFillTint="34"/>
      </w:tcPr>
    </w:tblStylePr>
    <w:tblStylePr w:type="band1Vert">
      <w:tblPr/>
      <w:tcPr>
        <w:shd w:val="clear" w:color="FFFFFF" w:fill="F5BAFE"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73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FFF1C0" w:themeFill="accent5" w:themeFillTint="34"/>
      </w:tcPr>
    </w:tblStylePr>
    <w:tblStylePr w:type="band1Vert">
      <w:tblPr/>
      <w:tcPr>
        <w:shd w:val="clear" w:color="FFFFFF" w:fill="FFF1C0"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73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8CECD" w:themeFill="accent6" w:themeFillTint="34"/>
      </w:tcPr>
    </w:tblStylePr>
    <w:tblStylePr w:type="band1Vert">
      <w:tblPr/>
      <w:tcPr>
        <w:shd w:val="clear" w:color="FFFFFF" w:fill="F8CECD"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732"/>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732"/>
    <w:uiPriority w:val="99"/>
    <w:pPr>
      <w:spacing w:after="0" w:line="240" w:lineRule="auto"/>
    </w:pPr>
    <w:tblPr>
      <w:tblStyleRowBandSize w:val="1"/>
      <w:tblStyleColBandSize w:val="1"/>
    </w:tblPr>
    <w:tblStylePr w:type="band1Horz">
      <w:tblPr/>
      <w:tcPr>
        <w:shd w:val="clear" w:color="FFFFFF" w:fill="B5FDAA" w:themeFill="accent1" w:themeFillTint="40"/>
      </w:tcPr>
    </w:tblStylePr>
    <w:tblStylePr w:type="band1Vert">
      <w:tblPr/>
      <w:tcPr>
        <w:shd w:val="clear" w:color="FFFFFF" w:fill="B5FDAA"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732"/>
    <w:uiPriority w:val="99"/>
    <w:pPr>
      <w:spacing w:after="0" w:line="240" w:lineRule="auto"/>
    </w:pPr>
    <w:tblPr>
      <w:tblStyleRowBandSize w:val="1"/>
      <w:tblStyleColBandSize w:val="1"/>
    </w:tblPr>
    <w:tblStylePr w:type="band1Horz">
      <w:tblPr/>
      <w:tcPr>
        <w:shd w:val="clear" w:color="FFFFFF" w:fill="AADFFD" w:themeFill="accent2" w:themeFillTint="40"/>
      </w:tcPr>
    </w:tblStylePr>
    <w:tblStylePr w:type="band1Vert">
      <w:tblPr/>
      <w:tcPr>
        <w:shd w:val="clear" w:color="FFFFFF" w:fill="AADFFD"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732"/>
    <w:uiPriority w:val="99"/>
    <w:pPr>
      <w:spacing w:after="0" w:line="240" w:lineRule="auto"/>
    </w:pPr>
    <w:tblPr>
      <w:tblStyleRowBandSize w:val="1"/>
      <w:tblStyleColBandSize w:val="1"/>
    </w:tblPr>
    <w:tblStylePr w:type="band1Horz">
      <w:tblPr/>
      <w:tcPr>
        <w:shd w:val="clear" w:color="FFFFFF" w:fill="FDC9AA" w:themeFill="accent3" w:themeFillTint="40"/>
      </w:tcPr>
    </w:tblStylePr>
    <w:tblStylePr w:type="band1Vert">
      <w:tblPr/>
      <w:tcPr>
        <w:shd w:val="clear" w:color="FFFFFF" w:fill="FDC9AA"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732"/>
    <w:uiPriority w:val="99"/>
    <w:pPr>
      <w:spacing w:after="0" w:line="240" w:lineRule="auto"/>
    </w:pPr>
    <w:tblPr>
      <w:tblStyleRowBandSize w:val="1"/>
      <w:tblStyleColBandSize w:val="1"/>
    </w:tblPr>
    <w:tblStylePr w:type="band1Horz">
      <w:tblPr/>
      <w:tcPr>
        <w:shd w:val="clear" w:color="FFFFFF" w:fill="F3AAFD" w:themeFill="accent4" w:themeFillTint="40"/>
      </w:tcPr>
    </w:tblStylePr>
    <w:tblStylePr w:type="band1Vert">
      <w:tblPr/>
      <w:tcPr>
        <w:shd w:val="clear" w:color="FFFFFF" w:fill="F3AAFD"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732"/>
    <w:uiPriority w:val="99"/>
    <w:pPr>
      <w:spacing w:after="0" w:line="240" w:lineRule="auto"/>
    </w:pPr>
    <w:tblPr>
      <w:tblStyleRowBandSize w:val="1"/>
      <w:tblStyleColBandSize w:val="1"/>
    </w:tblPr>
    <w:tblStylePr w:type="band1Horz">
      <w:tblPr/>
      <w:tcPr>
        <w:shd w:val="clear" w:color="FFFFFF" w:fill="FFEEB1" w:themeFill="accent5" w:themeFillTint="40"/>
      </w:tcPr>
    </w:tblStylePr>
    <w:tblStylePr w:type="band1Vert">
      <w:tblPr/>
      <w:tcPr>
        <w:shd w:val="clear" w:color="FFFFFF" w:fill="FFEEB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732"/>
    <w:uiPriority w:val="99"/>
    <w:pPr>
      <w:spacing w:after="0" w:line="240" w:lineRule="auto"/>
    </w:pPr>
    <w:tblPr>
      <w:tblStyleRowBandSize w:val="1"/>
      <w:tblStyleColBandSize w:val="1"/>
    </w:tblPr>
    <w:tblStylePr w:type="band1Horz">
      <w:tblPr/>
      <w:tcPr>
        <w:shd w:val="clear" w:color="FFFFFF" w:fill="F6C3C2" w:themeFill="accent6" w:themeFillTint="40"/>
      </w:tcPr>
    </w:tblStylePr>
    <w:tblStylePr w:type="band1Vert">
      <w:tblPr/>
      <w:tcPr>
        <w:shd w:val="clear" w:color="FFFFFF" w:fill="F6C3C2"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73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73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5FDAA" w:themeFill="accent1" w:themeFillTint="40"/>
      </w:tcPr>
    </w:tblStylePr>
    <w:tblStylePr w:type="band1Vert">
      <w:rPr>
        <w:sz w:val="22"/>
      </w:rPr>
      <w:tblPr/>
      <w:tcPr>
        <w:shd w:val="clear" w:color="FFFFFF" w:fill="B5FDAA"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73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AADFFD" w:themeFill="accent2" w:themeFillTint="40"/>
      </w:tcPr>
    </w:tblStylePr>
    <w:tblStylePr w:type="band1Vert">
      <w:rPr>
        <w:sz w:val="22"/>
      </w:rPr>
      <w:tblPr/>
      <w:tcPr>
        <w:shd w:val="clear" w:color="FFFFFF" w:fill="AADFFD"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73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FDC9AA" w:themeFill="accent3" w:themeFillTint="40"/>
      </w:tcPr>
    </w:tblStylePr>
    <w:tblStylePr w:type="band1Vert">
      <w:rPr>
        <w:sz w:val="22"/>
      </w:rPr>
      <w:tblPr/>
      <w:tcPr>
        <w:shd w:val="clear" w:color="FFFFFF" w:fill="FDC9AA"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73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3AAFD" w:themeFill="accent4" w:themeFillTint="40"/>
      </w:tcPr>
    </w:tblStylePr>
    <w:tblStylePr w:type="band1Vert">
      <w:rPr>
        <w:sz w:val="22"/>
      </w:rPr>
      <w:tblPr/>
      <w:tcPr>
        <w:shd w:val="clear" w:color="FFFFFF" w:fill="F3AAFD"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73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FFEEB1" w:themeFill="accent5" w:themeFillTint="40"/>
      </w:tcPr>
    </w:tblStylePr>
    <w:tblStylePr w:type="band1Vert">
      <w:rPr>
        <w:sz w:val="22"/>
      </w:rPr>
      <w:tblPr/>
      <w:tcPr>
        <w:shd w:val="clear" w:color="FFFFFF" w:fill="FFEEB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73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6C3C2" w:themeFill="accent6" w:themeFillTint="40"/>
      </w:tcPr>
    </w:tblStylePr>
    <w:tblStylePr w:type="band1Vert">
      <w:rPr>
        <w:sz w:val="22"/>
      </w:rPr>
      <w:tblPr/>
      <w:tcPr>
        <w:shd w:val="clear" w:color="FFFFFF" w:fill="F6C3C2"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73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73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18A303"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73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37B4FB"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73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B7F36"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73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E133FB"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73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544"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73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E9706E"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73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73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5FDAA" w:themeFill="accent1" w:themeFillTint="40"/>
      </w:tcPr>
    </w:tblStylePr>
    <w:tblStylePr w:type="band1Vert">
      <w:rPr>
        <w:sz w:val="22"/>
      </w:rPr>
      <w:tblPr/>
      <w:tcPr>
        <w:shd w:val="clear" w:color="FFFFFF" w:fill="B5FDAA"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8A303"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73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AADFFD" w:themeFill="accent2" w:themeFillTint="40"/>
      </w:tcPr>
    </w:tblStylePr>
    <w:tblStylePr w:type="band1Vert">
      <w:rPr>
        <w:sz w:val="22"/>
      </w:rPr>
      <w:tblPr/>
      <w:tcPr>
        <w:shd w:val="clear" w:color="FFFFFF" w:fill="AADFFD"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369A3"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73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FDC9AA" w:themeFill="accent3" w:themeFillTint="40"/>
      </w:tcPr>
    </w:tblStylePr>
    <w:tblStylePr w:type="band1Vert">
      <w:rPr>
        <w:sz w:val="22"/>
      </w:rPr>
      <w:tblPr/>
      <w:tcPr>
        <w:shd w:val="clear" w:color="FFFFFF" w:fill="FDC9AA"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33E03"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73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3AAFD" w:themeFill="accent4" w:themeFillTint="40"/>
      </w:tcPr>
    </w:tblStylePr>
    <w:tblStylePr w:type="band1Vert">
      <w:rPr>
        <w:sz w:val="22"/>
      </w:rPr>
      <w:tblPr/>
      <w:tcPr>
        <w:shd w:val="clear" w:color="FFFFFF" w:fill="F3AAFD"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E03A3"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73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FFEEB1" w:themeFill="accent5" w:themeFillTint="40"/>
      </w:tcPr>
    </w:tblStylePr>
    <w:tblStylePr w:type="band1Vert">
      <w:rPr>
        <w:sz w:val="22"/>
      </w:rPr>
      <w:tblPr/>
      <w:tcPr>
        <w:shd w:val="clear" w:color="FFFFFF" w:fill="FFEEB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99C00"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73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6C3C2" w:themeFill="accent6" w:themeFillTint="40"/>
      </w:tcPr>
    </w:tblStylePr>
    <w:tblStylePr w:type="band1Vert">
      <w:rPr>
        <w:sz w:val="22"/>
      </w:rPr>
      <w:tblPr/>
      <w:tcPr>
        <w:shd w:val="clear" w:color="FFFFFF" w:fill="F6C3C2"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9211E"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73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7">
    <w:name w:val="List Table 5 Dark - Accent 1"/>
    <w:basedOn w:val="73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18A303" w:themeFill="accent1"/>
      </w:tcPr>
    </w:tblStylePr>
    <w:tblStylePr w:type="band1Vert">
      <w:tblPr/>
      <w:tcPr>
        <w:tcBorders>
          <w:left w:val="single" w:color="000000" w:themeColor="light1" w:sz="4" w:space="0"/>
          <w:right w:val="single" w:color="000000" w:themeColor="light1" w:sz="4" w:space="0"/>
        </w:tcBorders>
        <w:shd w:val="clear" w:color="FFFFFF" w:fill="18A303" w:themeFill="accent1"/>
      </w:tcPr>
    </w:tblStylePr>
    <w:tblStylePr w:type="band2Horz">
      <w:tblPr/>
      <w:tcPr>
        <w:tcBorders>
          <w:top w:val="single" w:color="000000" w:themeColor="light1" w:sz="4" w:space="0"/>
          <w:bottom w:val="single" w:color="000000" w:themeColor="light1" w:sz="4" w:space="0"/>
        </w:tcBorders>
        <w:shd w:val="clear" w:color="FFFFFF" w:fill="18A303"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18A303"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8">
    <w:name w:val="List Table 5 Dark - Accent 2"/>
    <w:basedOn w:val="73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37B4FB" w:themeFill="accent2" w:themeFillTint="97"/>
      </w:tcPr>
    </w:tblStylePr>
    <w:tblStylePr w:type="band1Vert">
      <w:tblPr/>
      <w:tcPr>
        <w:tcBorders>
          <w:left w:val="single" w:color="000000" w:themeColor="light1" w:sz="4" w:space="0"/>
          <w:right w:val="single" w:color="000000" w:themeColor="light1" w:sz="4" w:space="0"/>
        </w:tcBorders>
        <w:shd w:val="clear" w:color="FFFFFF" w:fill="37B4FB" w:themeFill="accent2" w:themeFillTint="97"/>
      </w:tcPr>
    </w:tblStylePr>
    <w:tblStylePr w:type="band2Horz">
      <w:tblPr/>
      <w:tcPr>
        <w:tcBorders>
          <w:top w:val="single" w:color="000000" w:themeColor="light1" w:sz="4" w:space="0"/>
          <w:bottom w:val="single" w:color="000000" w:themeColor="light1" w:sz="4" w:space="0"/>
        </w:tcBorders>
        <w:shd w:val="clear" w:color="FFFFFF" w:fill="37B4FB"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37B4FB"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9">
    <w:name w:val="List Table 5 Dark - Accent 3"/>
    <w:basedOn w:val="73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FB7F36" w:themeFill="accent3" w:themeFillTint="98"/>
      </w:tcPr>
    </w:tblStylePr>
    <w:tblStylePr w:type="band1Vert">
      <w:tblPr/>
      <w:tcPr>
        <w:tcBorders>
          <w:left w:val="single" w:color="000000" w:themeColor="light1" w:sz="4" w:space="0"/>
          <w:right w:val="single" w:color="000000" w:themeColor="light1" w:sz="4" w:space="0"/>
        </w:tcBorders>
        <w:shd w:val="clear" w:color="FFFFFF" w:fill="FB7F36" w:themeFill="accent3" w:themeFillTint="98"/>
      </w:tcPr>
    </w:tblStylePr>
    <w:tblStylePr w:type="band2Horz">
      <w:tblPr/>
      <w:tcPr>
        <w:tcBorders>
          <w:top w:val="single" w:color="000000" w:themeColor="light1" w:sz="4" w:space="0"/>
          <w:bottom w:val="single" w:color="000000" w:themeColor="light1" w:sz="4" w:space="0"/>
        </w:tcBorders>
        <w:shd w:val="clear" w:color="FFFFFF" w:fill="FB7F36"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FB7F36"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0">
    <w:name w:val="List Table 5 Dark - Accent 4"/>
    <w:basedOn w:val="73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E133FB" w:themeFill="accent4" w:themeFillTint="9a"/>
      </w:tcPr>
    </w:tblStylePr>
    <w:tblStylePr w:type="band1Vert">
      <w:tblPr/>
      <w:tcPr>
        <w:tcBorders>
          <w:left w:val="single" w:color="000000" w:themeColor="light1" w:sz="4" w:space="0"/>
          <w:right w:val="single" w:color="000000" w:themeColor="light1" w:sz="4" w:space="0"/>
        </w:tcBorders>
        <w:shd w:val="clear" w:color="FFFFFF" w:fill="E133FB" w:themeFill="accent4" w:themeFillTint="9a"/>
      </w:tcPr>
    </w:tblStylePr>
    <w:tblStylePr w:type="band2Horz">
      <w:tblPr/>
      <w:tcPr>
        <w:tcBorders>
          <w:top w:val="single" w:color="000000" w:themeColor="light1" w:sz="4" w:space="0"/>
          <w:bottom w:val="single" w:color="000000" w:themeColor="light1" w:sz="4" w:space="0"/>
        </w:tcBorders>
        <w:shd w:val="clear" w:color="FFFFFF" w:fill="E133FB"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E133FB"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1">
    <w:name w:val="List Table 5 Dark - Accent 5"/>
    <w:basedOn w:val="73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FFD544" w:themeFill="accent5" w:themeFillTint="9a"/>
      </w:tcPr>
    </w:tblStylePr>
    <w:tblStylePr w:type="band1Vert">
      <w:tblPr/>
      <w:tcPr>
        <w:tcBorders>
          <w:left w:val="single" w:color="000000" w:themeColor="light1" w:sz="4" w:space="0"/>
          <w:right w:val="single" w:color="000000" w:themeColor="light1" w:sz="4" w:space="0"/>
        </w:tcBorders>
        <w:shd w:val="clear" w:color="FFFFFF" w:fill="FFD544" w:themeFill="accent5" w:themeFillTint="9a"/>
      </w:tcPr>
    </w:tblStylePr>
    <w:tblStylePr w:type="band2Horz">
      <w:tblPr/>
      <w:tcPr>
        <w:tcBorders>
          <w:top w:val="single" w:color="000000" w:themeColor="light1" w:sz="4" w:space="0"/>
          <w:bottom w:val="single" w:color="000000" w:themeColor="light1" w:sz="4" w:space="0"/>
        </w:tcBorders>
        <w:shd w:val="clear" w:color="FFFFFF" w:fill="FFD544"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FFD544"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2">
    <w:name w:val="List Table 5 Dark - Accent 6"/>
    <w:basedOn w:val="73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E9706E" w:themeFill="accent6" w:themeFillTint="98"/>
      </w:tcPr>
    </w:tblStylePr>
    <w:tblStylePr w:type="band1Vert">
      <w:tblPr/>
      <w:tcPr>
        <w:tcBorders>
          <w:left w:val="single" w:color="000000" w:themeColor="light1" w:sz="4" w:space="0"/>
          <w:right w:val="single" w:color="000000" w:themeColor="light1" w:sz="4" w:space="0"/>
        </w:tcBorders>
        <w:shd w:val="clear" w:color="FFFFFF" w:fill="E9706E" w:themeFill="accent6" w:themeFillTint="98"/>
      </w:tcPr>
    </w:tblStylePr>
    <w:tblStylePr w:type="band2Horz">
      <w:tblPr/>
      <w:tcPr>
        <w:tcBorders>
          <w:top w:val="single" w:color="000000" w:themeColor="light1" w:sz="4" w:space="0"/>
          <w:bottom w:val="single" w:color="000000" w:themeColor="light1" w:sz="4" w:space="0"/>
        </w:tcBorders>
        <w:shd w:val="clear" w:color="FFFFFF" w:fill="E9706E"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E9706E"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3">
    <w:name w:val="List Table 6 Colorful"/>
    <w:basedOn w:val="73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73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B5FDAA" w:themeFill="accent1" w:themeFillTint="40"/>
      </w:tcPr>
    </w:tblStylePr>
    <w:tblStylePr w:type="band1Vert">
      <w:tblPr/>
      <w:tcPr>
        <w:shd w:val="clear" w:color="FFFFFF" w:fill="B5FDAA"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73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AADFFD" w:themeFill="accent2" w:themeFillTint="40"/>
      </w:tcPr>
    </w:tblStylePr>
    <w:tblStylePr w:type="band1Vert">
      <w:tblPr/>
      <w:tcPr>
        <w:shd w:val="clear" w:color="FFFFFF" w:fill="AADFFD"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73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FDC9AA" w:themeFill="accent3" w:themeFillTint="40"/>
      </w:tcPr>
    </w:tblStylePr>
    <w:tblStylePr w:type="band1Vert">
      <w:tblPr/>
      <w:tcPr>
        <w:shd w:val="clear" w:color="FFFFFF" w:fill="FDC9AA"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73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F3AAFD" w:themeFill="accent4" w:themeFillTint="40"/>
      </w:tcPr>
    </w:tblStylePr>
    <w:tblStylePr w:type="band1Vert">
      <w:tblPr/>
      <w:tcPr>
        <w:shd w:val="clear" w:color="FFFFFF" w:fill="F3AAFD"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73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FFEEB1" w:themeFill="accent5" w:themeFillTint="40"/>
      </w:tcPr>
    </w:tblStylePr>
    <w:tblStylePr w:type="band1Vert">
      <w:tblPr/>
      <w:tcPr>
        <w:shd w:val="clear" w:color="FFFFFF" w:fill="FFEEB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73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6C3C2" w:themeFill="accent6" w:themeFillTint="40"/>
      </w:tcPr>
    </w:tblStylePr>
    <w:tblStylePr w:type="band1Vert">
      <w:tblPr/>
      <w:tcPr>
        <w:shd w:val="clear" w:color="FFFFFF" w:fill="F6C3C2"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732"/>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111">
    <w:name w:val="List Table 7 Colorful - Accent 1"/>
    <w:basedOn w:val="732"/>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B5FDAA" w:themeFill="accent1" w:themeFillTint="40"/>
      </w:tcPr>
    </w:tblStylePr>
    <w:tblStylePr w:type="band1Vert">
      <w:tblPr/>
      <w:tcPr>
        <w:shd w:val="clear" w:color="FFFFFF" w:fill="B5FDAA"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112">
    <w:name w:val="List Table 7 Colorful - Accent 2"/>
    <w:basedOn w:val="732"/>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AADFFD" w:themeFill="accent2" w:themeFillTint="40"/>
      </w:tcPr>
    </w:tblStylePr>
    <w:tblStylePr w:type="band1Vert">
      <w:tblPr/>
      <w:tcPr>
        <w:shd w:val="clear" w:color="FFFFFF" w:fill="AADFFD"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113">
    <w:name w:val="List Table 7 Colorful - Accent 3"/>
    <w:basedOn w:val="732"/>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FDC9AA" w:themeFill="accent3" w:themeFillTint="40"/>
      </w:tcPr>
    </w:tblStylePr>
    <w:tblStylePr w:type="band1Vert">
      <w:tblPr/>
      <w:tcPr>
        <w:shd w:val="clear" w:color="FFFFFF" w:fill="FDC9AA"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114">
    <w:name w:val="List Table 7 Colorful - Accent 4"/>
    <w:basedOn w:val="732"/>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F3AAFD" w:themeFill="accent4" w:themeFillTint="40"/>
      </w:tcPr>
    </w:tblStylePr>
    <w:tblStylePr w:type="band1Vert">
      <w:tblPr/>
      <w:tcPr>
        <w:shd w:val="clear" w:color="FFFFFF" w:fill="F3AAFD"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115">
    <w:name w:val="List Table 7 Colorful - Accent 5"/>
    <w:basedOn w:val="732"/>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FFEEB1" w:themeFill="accent5" w:themeFillTint="40"/>
      </w:tcPr>
    </w:tblStylePr>
    <w:tblStylePr w:type="band1Vert">
      <w:tblPr/>
      <w:tcPr>
        <w:shd w:val="clear" w:color="FFFFFF" w:fill="FFEEB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116">
    <w:name w:val="List Table 7 Colorful - Accent 6"/>
    <w:basedOn w:val="732"/>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6C3C2" w:themeFill="accent6" w:themeFillTint="40"/>
      </w:tcPr>
    </w:tblStylePr>
    <w:tblStylePr w:type="band1Vert">
      <w:tblPr/>
      <w:tcPr>
        <w:shd w:val="clear" w:color="FFFFFF" w:fill="F6C3C2"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117">
    <w:name w:val="Lined - Accent"/>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A3FD95" w:themeFill="accent1" w:themeFillTint="50"/>
      </w:tcPr>
    </w:tblStylePr>
    <w:tblStylePr w:type="band2Vert">
      <w:rPr>
        <w:sz w:val="22"/>
      </w:rPr>
      <w:tblPr/>
      <w:tcPr>
        <w:shd w:val="clear" w:color="FFFFFF" w:fill="A3FD95" w:themeFill="accent1" w:themeFillTint="50"/>
      </w:tcPr>
    </w:tblStylePr>
    <w:tblStylePr w:type="firstCol">
      <w:rPr>
        <w:sz w:val="22"/>
      </w:rPr>
      <w:tblPr/>
      <w:tcPr>
        <w:shd w:val="clear" w:color="FFFFFF" w:fill="1CBF04" w:themeFill="accent1" w:themeFillTint="ea"/>
      </w:tcPr>
    </w:tblStylePr>
    <w:tblStylePr w:type="firstRow">
      <w:rPr>
        <w:sz w:val="22"/>
      </w:rPr>
      <w:tblPr/>
      <w:tcPr>
        <w:shd w:val="clear" w:color="FFFFFF" w:fill="1CBF04" w:themeFill="accent1" w:themeFillTint="ea"/>
      </w:tcPr>
    </w:tblStylePr>
    <w:tblStylePr w:type="lastCol">
      <w:rPr>
        <w:sz w:val="22"/>
      </w:rPr>
      <w:tblPr/>
      <w:tcPr>
        <w:shd w:val="clear" w:color="FFFFFF" w:fill="1CBF04" w:themeFill="accent1" w:themeFillTint="ea"/>
      </w:tcPr>
    </w:tblStylePr>
    <w:tblStylePr w:type="lastRow">
      <w:rPr>
        <w:sz w:val="22"/>
      </w:rPr>
      <w:tblPr/>
      <w:tcPr>
        <w:shd w:val="clear" w:color="FFFFFF" w:fill="1CBF04"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BDE6FE" w:themeFill="accent2" w:themeFillTint="32"/>
      </w:tcPr>
    </w:tblStylePr>
    <w:tblStylePr w:type="band2Vert">
      <w:rPr>
        <w:sz w:val="22"/>
      </w:rPr>
      <w:tblPr/>
      <w:tcPr>
        <w:shd w:val="clear" w:color="FFFFFF" w:fill="BDE6FE" w:themeFill="accent2" w:themeFillTint="32"/>
      </w:tcPr>
    </w:tblStylePr>
    <w:tblStylePr w:type="firstCol">
      <w:rPr>
        <w:sz w:val="22"/>
      </w:rPr>
      <w:tblPr/>
      <w:tcPr>
        <w:shd w:val="clear" w:color="FFFFFF" w:fill="37B4FB" w:themeFill="accent2" w:themeFillTint="97"/>
      </w:tcPr>
    </w:tblStylePr>
    <w:tblStylePr w:type="firstRow">
      <w:rPr>
        <w:sz w:val="22"/>
      </w:rPr>
      <w:tblPr/>
      <w:tcPr>
        <w:shd w:val="clear" w:color="FFFFFF" w:fill="37B4FB" w:themeFill="accent2" w:themeFillTint="97"/>
      </w:tcPr>
    </w:tblStylePr>
    <w:tblStylePr w:type="lastCol">
      <w:rPr>
        <w:sz w:val="22"/>
      </w:rPr>
      <w:tblPr/>
      <w:tcPr>
        <w:shd w:val="clear" w:color="FFFFFF" w:fill="37B4FB" w:themeFill="accent2" w:themeFillTint="97"/>
      </w:tcPr>
    </w:tblStylePr>
    <w:tblStylePr w:type="lastRow">
      <w:rPr>
        <w:sz w:val="22"/>
      </w:rPr>
      <w:tblPr/>
      <w:tcPr>
        <w:shd w:val="clear" w:color="FFFFFF" w:fill="37B4FB"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ED3BA" w:themeFill="accent3" w:themeFillTint="34"/>
      </w:tcPr>
    </w:tblStylePr>
    <w:tblStylePr w:type="band2Vert">
      <w:rPr>
        <w:sz w:val="22"/>
      </w:rPr>
      <w:tblPr/>
      <w:tcPr>
        <w:shd w:val="clear" w:color="FFFFFF" w:fill="FED3BA" w:themeFill="accent3" w:themeFillTint="34"/>
      </w:tcPr>
    </w:tblStylePr>
    <w:tblStylePr w:type="firstCol">
      <w:rPr>
        <w:sz w:val="22"/>
      </w:rPr>
      <w:tblPr/>
      <w:tcPr>
        <w:shd w:val="clear" w:color="FFFFFF" w:fill="A43F03" w:themeFill="accent3" w:themeFillTint="fe"/>
      </w:tcPr>
    </w:tblStylePr>
    <w:tblStylePr w:type="firstRow">
      <w:rPr>
        <w:sz w:val="22"/>
      </w:rPr>
      <w:tblPr/>
      <w:tcPr>
        <w:shd w:val="clear" w:color="FFFFFF" w:fill="A43F03" w:themeFill="accent3" w:themeFillTint="fe"/>
      </w:tcPr>
    </w:tblStylePr>
    <w:tblStylePr w:type="lastCol">
      <w:rPr>
        <w:sz w:val="22"/>
      </w:rPr>
      <w:tblPr/>
      <w:tcPr>
        <w:shd w:val="clear" w:color="FFFFFF" w:fill="A43F03" w:themeFill="accent3" w:themeFillTint="fe"/>
      </w:tcPr>
    </w:tblStylePr>
    <w:tblStylePr w:type="lastRow">
      <w:rPr>
        <w:sz w:val="22"/>
      </w:rPr>
      <w:tblPr/>
      <w:tcPr>
        <w:shd w:val="clear" w:color="FFFFFF" w:fill="A43F03"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5BAFE" w:themeFill="accent4" w:themeFillTint="34"/>
      </w:tcPr>
    </w:tblStylePr>
    <w:tblStylePr w:type="band2Vert">
      <w:rPr>
        <w:sz w:val="22"/>
      </w:rPr>
      <w:tblPr/>
      <w:tcPr>
        <w:shd w:val="clear" w:color="FFFFFF" w:fill="F5BAFE" w:themeFill="accent4" w:themeFillTint="34"/>
      </w:tcPr>
    </w:tblStylePr>
    <w:tblStylePr w:type="firstCol">
      <w:rPr>
        <w:sz w:val="22"/>
      </w:rPr>
      <w:tblPr/>
      <w:tcPr>
        <w:shd w:val="clear" w:color="FFFFFF" w:fill="E133FB" w:themeFill="accent4" w:themeFillTint="9a"/>
      </w:tcPr>
    </w:tblStylePr>
    <w:tblStylePr w:type="firstRow">
      <w:rPr>
        <w:sz w:val="22"/>
      </w:rPr>
      <w:tblPr/>
      <w:tcPr>
        <w:shd w:val="clear" w:color="FFFFFF" w:fill="E133FB" w:themeFill="accent4" w:themeFillTint="9a"/>
      </w:tcPr>
    </w:tblStylePr>
    <w:tblStylePr w:type="lastCol">
      <w:rPr>
        <w:sz w:val="22"/>
      </w:rPr>
      <w:tblPr/>
      <w:tcPr>
        <w:shd w:val="clear" w:color="FFFFFF" w:fill="E133FB" w:themeFill="accent4" w:themeFillTint="9a"/>
      </w:tcPr>
    </w:tblStylePr>
    <w:tblStylePr w:type="lastRow">
      <w:rPr>
        <w:sz w:val="22"/>
      </w:rPr>
      <w:tblPr/>
      <w:tcPr>
        <w:shd w:val="clear" w:color="FFFFFF" w:fill="E133FB"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1C0" w:themeFill="accent5" w:themeFillTint="34"/>
      </w:tcPr>
    </w:tblStylePr>
    <w:tblStylePr w:type="band2Vert">
      <w:rPr>
        <w:sz w:val="22"/>
      </w:rPr>
      <w:tblPr/>
      <w:tcPr>
        <w:shd w:val="clear" w:color="FFFFFF" w:fill="FFF1C0" w:themeFill="accent5" w:themeFillTint="34"/>
      </w:tcPr>
    </w:tblStylePr>
    <w:tblStylePr w:type="firstCol">
      <w:rPr>
        <w:sz w:val="22"/>
      </w:rPr>
      <w:tblPr/>
      <w:tcPr>
        <w:shd w:val="clear" w:color="FFFFFF" w:fill="C99C00" w:themeFill="accent5"/>
      </w:tcPr>
    </w:tblStylePr>
    <w:tblStylePr w:type="firstRow">
      <w:rPr>
        <w:sz w:val="22"/>
      </w:rPr>
      <w:tblPr/>
      <w:tcPr>
        <w:shd w:val="clear" w:color="FFFFFF" w:fill="C99C00" w:themeFill="accent5"/>
      </w:tcPr>
    </w:tblStylePr>
    <w:tblStylePr w:type="lastCol">
      <w:rPr>
        <w:sz w:val="22"/>
      </w:rPr>
      <w:tblPr/>
      <w:tcPr>
        <w:shd w:val="clear" w:color="FFFFFF" w:fill="C99C00" w:themeFill="accent5"/>
      </w:tcPr>
    </w:tblStylePr>
    <w:tblStylePr w:type="lastRow">
      <w:rPr>
        <w:sz w:val="22"/>
      </w:rPr>
      <w:tblPr/>
      <w:tcPr>
        <w:shd w:val="clear" w:color="FFFFFF" w:fill="C99C00"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73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8CECD" w:themeFill="accent6" w:themeFillTint="34"/>
      </w:tcPr>
    </w:tblStylePr>
    <w:tblStylePr w:type="band2Vert">
      <w:rPr>
        <w:sz w:val="22"/>
      </w:rPr>
      <w:tblPr/>
      <w:tcPr>
        <w:shd w:val="clear" w:color="FFFFFF" w:fill="F8CECD" w:themeFill="accent6" w:themeFillTint="34"/>
      </w:tcPr>
    </w:tblStylePr>
    <w:tblStylePr w:type="firstCol">
      <w:rPr>
        <w:sz w:val="22"/>
      </w:rPr>
      <w:tblPr/>
      <w:tcPr>
        <w:shd w:val="clear" w:color="FFFFFF" w:fill="C9211E" w:themeFill="accent6"/>
      </w:tcPr>
    </w:tblStylePr>
    <w:tblStylePr w:type="firstRow">
      <w:rPr>
        <w:sz w:val="22"/>
      </w:rPr>
      <w:tblPr/>
      <w:tcPr>
        <w:shd w:val="clear" w:color="FFFFFF" w:fill="C9211E" w:themeFill="accent6"/>
      </w:tcPr>
    </w:tblStylePr>
    <w:tblStylePr w:type="lastCol">
      <w:rPr>
        <w:sz w:val="22"/>
      </w:rPr>
      <w:tblPr/>
      <w:tcPr>
        <w:shd w:val="clear" w:color="FFFFFF" w:fill="C9211E" w:themeFill="accent6"/>
      </w:tcPr>
    </w:tblStylePr>
    <w:tblStylePr w:type="lastRow">
      <w:rPr>
        <w:sz w:val="22"/>
      </w:rPr>
      <w:tblPr/>
      <w:tcPr>
        <w:shd w:val="clear" w:color="FFFFFF" w:fill="C9211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732"/>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73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A3FD95" w:themeFill="accent1" w:themeFillTint="50"/>
      </w:tcPr>
    </w:tblStylePr>
    <w:tblStylePr w:type="band2Vert">
      <w:rPr>
        <w:sz w:val="22"/>
      </w:rPr>
      <w:tblPr/>
      <w:tcPr>
        <w:shd w:val="clear" w:color="FFFFFF" w:fill="A3FD95" w:themeFill="accent1" w:themeFillTint="50"/>
      </w:tcPr>
    </w:tblStylePr>
    <w:tblStylePr w:type="firstCol">
      <w:rPr>
        <w:sz w:val="22"/>
      </w:rPr>
      <w:tblPr/>
      <w:tcPr>
        <w:shd w:val="clear" w:color="FFFFFF" w:fill="1CBF04" w:themeFill="accent1" w:themeFillTint="ea"/>
      </w:tcPr>
    </w:tblStylePr>
    <w:tblStylePr w:type="firstRow">
      <w:rPr>
        <w:sz w:val="22"/>
      </w:rPr>
      <w:tblPr/>
      <w:tcPr>
        <w:shd w:val="clear" w:color="FFFFFF" w:fill="1CBF04" w:themeFill="accent1" w:themeFillTint="ea"/>
      </w:tcPr>
    </w:tblStylePr>
    <w:tblStylePr w:type="lastCol">
      <w:rPr>
        <w:sz w:val="22"/>
      </w:rPr>
      <w:tblPr/>
      <w:tcPr>
        <w:shd w:val="clear" w:color="FFFFFF" w:fill="1CBF04" w:themeFill="accent1" w:themeFillTint="ea"/>
      </w:tcPr>
    </w:tblStylePr>
    <w:tblStylePr w:type="lastRow">
      <w:rPr>
        <w:sz w:val="22"/>
      </w:rPr>
      <w:tblPr/>
      <w:tcPr>
        <w:shd w:val="clear" w:color="FFFFFF" w:fill="1CBF04"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73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BDE6FE" w:themeFill="accent2" w:themeFillTint="32"/>
      </w:tcPr>
    </w:tblStylePr>
    <w:tblStylePr w:type="band2Vert">
      <w:rPr>
        <w:sz w:val="22"/>
      </w:rPr>
      <w:tblPr/>
      <w:tcPr>
        <w:shd w:val="clear" w:color="FFFFFF" w:fill="BDE6FE" w:themeFill="accent2" w:themeFillTint="32"/>
      </w:tcPr>
    </w:tblStylePr>
    <w:tblStylePr w:type="firstCol">
      <w:rPr>
        <w:sz w:val="22"/>
      </w:rPr>
      <w:tblPr/>
      <w:tcPr>
        <w:shd w:val="clear" w:color="FFFFFF" w:fill="37B4FB" w:themeFill="accent2" w:themeFillTint="97"/>
      </w:tcPr>
    </w:tblStylePr>
    <w:tblStylePr w:type="firstRow">
      <w:rPr>
        <w:sz w:val="22"/>
      </w:rPr>
      <w:tblPr/>
      <w:tcPr>
        <w:shd w:val="clear" w:color="FFFFFF" w:fill="37B4FB" w:themeFill="accent2" w:themeFillTint="97"/>
      </w:tcPr>
    </w:tblStylePr>
    <w:tblStylePr w:type="lastCol">
      <w:rPr>
        <w:sz w:val="22"/>
      </w:rPr>
      <w:tblPr/>
      <w:tcPr>
        <w:shd w:val="clear" w:color="FFFFFF" w:fill="37B4FB" w:themeFill="accent2" w:themeFillTint="97"/>
      </w:tcPr>
    </w:tblStylePr>
    <w:tblStylePr w:type="lastRow">
      <w:rPr>
        <w:sz w:val="22"/>
      </w:rPr>
      <w:tblPr/>
      <w:tcPr>
        <w:shd w:val="clear" w:color="FFFFFF" w:fill="37B4FB"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732"/>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FED3BA" w:themeFill="accent3" w:themeFillTint="34"/>
      </w:tcPr>
    </w:tblStylePr>
    <w:tblStylePr w:type="band2Vert">
      <w:rPr>
        <w:sz w:val="22"/>
      </w:rPr>
      <w:tblPr/>
      <w:tcPr>
        <w:shd w:val="clear" w:color="FFFFFF" w:fill="FED3BA" w:themeFill="accent3" w:themeFillTint="34"/>
      </w:tcPr>
    </w:tblStylePr>
    <w:tblStylePr w:type="firstCol">
      <w:rPr>
        <w:sz w:val="22"/>
      </w:rPr>
      <w:tblPr/>
      <w:tcPr>
        <w:shd w:val="clear" w:color="FFFFFF" w:fill="A43F03" w:themeFill="accent3" w:themeFillTint="fe"/>
      </w:tcPr>
    </w:tblStylePr>
    <w:tblStylePr w:type="firstRow">
      <w:rPr>
        <w:sz w:val="22"/>
      </w:rPr>
      <w:tblPr/>
      <w:tcPr>
        <w:shd w:val="clear" w:color="FFFFFF" w:fill="A43F03" w:themeFill="accent3" w:themeFillTint="fe"/>
      </w:tcPr>
    </w:tblStylePr>
    <w:tblStylePr w:type="lastCol">
      <w:rPr>
        <w:sz w:val="22"/>
      </w:rPr>
      <w:tblPr/>
      <w:tcPr>
        <w:shd w:val="clear" w:color="FFFFFF" w:fill="A43F03" w:themeFill="accent3" w:themeFillTint="fe"/>
      </w:tcPr>
    </w:tblStylePr>
    <w:tblStylePr w:type="lastRow">
      <w:rPr>
        <w:sz w:val="22"/>
      </w:rPr>
      <w:tblPr/>
      <w:tcPr>
        <w:shd w:val="clear" w:color="FFFFFF" w:fill="A43F03"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732"/>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5BAFE" w:themeFill="accent4" w:themeFillTint="34"/>
      </w:tcPr>
    </w:tblStylePr>
    <w:tblStylePr w:type="band2Vert">
      <w:rPr>
        <w:sz w:val="22"/>
      </w:rPr>
      <w:tblPr/>
      <w:tcPr>
        <w:shd w:val="clear" w:color="FFFFFF" w:fill="F5BAFE" w:themeFill="accent4" w:themeFillTint="34"/>
      </w:tcPr>
    </w:tblStylePr>
    <w:tblStylePr w:type="firstCol">
      <w:rPr>
        <w:sz w:val="22"/>
      </w:rPr>
      <w:tblPr/>
      <w:tcPr>
        <w:shd w:val="clear" w:color="FFFFFF" w:fill="E133FB" w:themeFill="accent4" w:themeFillTint="9a"/>
      </w:tcPr>
    </w:tblStylePr>
    <w:tblStylePr w:type="firstRow">
      <w:rPr>
        <w:sz w:val="22"/>
      </w:rPr>
      <w:tblPr/>
      <w:tcPr>
        <w:shd w:val="clear" w:color="FFFFFF" w:fill="E133FB" w:themeFill="accent4" w:themeFillTint="9a"/>
      </w:tcPr>
    </w:tblStylePr>
    <w:tblStylePr w:type="lastCol">
      <w:rPr>
        <w:sz w:val="22"/>
      </w:rPr>
      <w:tblPr/>
      <w:tcPr>
        <w:shd w:val="clear" w:color="FFFFFF" w:fill="E133FB" w:themeFill="accent4" w:themeFillTint="9a"/>
      </w:tcPr>
    </w:tblStylePr>
    <w:tblStylePr w:type="lastRow">
      <w:rPr>
        <w:sz w:val="22"/>
      </w:rPr>
      <w:tblPr/>
      <w:tcPr>
        <w:shd w:val="clear" w:color="FFFFFF" w:fill="E133FB"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73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FF1C0" w:themeFill="accent5" w:themeFillTint="34"/>
      </w:tcPr>
    </w:tblStylePr>
    <w:tblStylePr w:type="band2Vert">
      <w:rPr>
        <w:sz w:val="22"/>
      </w:rPr>
      <w:tblPr/>
      <w:tcPr>
        <w:shd w:val="clear" w:color="FFFFFF" w:fill="FFF1C0" w:themeFill="accent5" w:themeFillTint="34"/>
      </w:tcPr>
    </w:tblStylePr>
    <w:tblStylePr w:type="firstCol">
      <w:rPr>
        <w:sz w:val="22"/>
      </w:rPr>
      <w:tblPr/>
      <w:tcPr>
        <w:shd w:val="clear" w:color="FFFFFF" w:fill="C99C00" w:themeFill="accent5"/>
      </w:tcPr>
    </w:tblStylePr>
    <w:tblStylePr w:type="firstRow">
      <w:rPr>
        <w:sz w:val="22"/>
      </w:rPr>
      <w:tblPr/>
      <w:tcPr>
        <w:shd w:val="clear" w:color="FFFFFF" w:fill="C99C00" w:themeFill="accent5"/>
      </w:tcPr>
    </w:tblStylePr>
    <w:tblStylePr w:type="lastCol">
      <w:rPr>
        <w:sz w:val="22"/>
      </w:rPr>
      <w:tblPr/>
      <w:tcPr>
        <w:shd w:val="clear" w:color="FFFFFF" w:fill="C99C00" w:themeFill="accent5"/>
      </w:tcPr>
    </w:tblStylePr>
    <w:tblStylePr w:type="lastRow">
      <w:rPr>
        <w:sz w:val="22"/>
      </w:rPr>
      <w:tblPr/>
      <w:tcPr>
        <w:shd w:val="clear" w:color="FFFFFF" w:fill="C99C00"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73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8CECD" w:themeFill="accent6" w:themeFillTint="34"/>
      </w:tcPr>
    </w:tblStylePr>
    <w:tblStylePr w:type="band2Vert">
      <w:rPr>
        <w:sz w:val="22"/>
      </w:rPr>
      <w:tblPr/>
      <w:tcPr>
        <w:shd w:val="clear" w:color="FFFFFF" w:fill="F8CECD" w:themeFill="accent6" w:themeFillTint="34"/>
      </w:tcPr>
    </w:tblStylePr>
    <w:tblStylePr w:type="firstCol">
      <w:rPr>
        <w:sz w:val="22"/>
      </w:rPr>
      <w:tblPr/>
      <w:tcPr>
        <w:shd w:val="clear" w:color="FFFFFF" w:fill="C9211E" w:themeFill="accent6"/>
      </w:tcPr>
    </w:tblStylePr>
    <w:tblStylePr w:type="firstRow">
      <w:rPr>
        <w:sz w:val="22"/>
      </w:rPr>
      <w:tblPr/>
      <w:tcPr>
        <w:shd w:val="clear" w:color="FFFFFF" w:fill="C9211E" w:themeFill="accent6"/>
      </w:tcPr>
    </w:tblStylePr>
    <w:tblStylePr w:type="lastCol">
      <w:rPr>
        <w:sz w:val="22"/>
      </w:rPr>
      <w:tblPr/>
      <w:tcPr>
        <w:shd w:val="clear" w:color="FFFFFF" w:fill="C9211E" w:themeFill="accent6"/>
      </w:tcPr>
    </w:tblStylePr>
    <w:tblStylePr w:type="lastRow">
      <w:rPr>
        <w:sz w:val="22"/>
      </w:rPr>
      <w:tblPr/>
      <w:tcPr>
        <w:shd w:val="clear" w:color="FFFFFF" w:fill="C9211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73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73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73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73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73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73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73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732">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yperlink" Target="https://docs.docker.com/compose/" TargetMode="External"/><Relationship Id="rId23" Type="http://schemas.openxmlformats.org/officeDocument/2006/relationships/hyperlink" Target="https://grafana.com/docs/grafana/latest/administration/provisioning/" TargetMode="External"/><Relationship Id="rId24" Type="http://schemas.openxmlformats.org/officeDocument/2006/relationships/hyperlink" Target="https://docs.microsoft.com/dotnet/" TargetMode="External"/><Relationship Id="rId25" Type="http://schemas.openxmlformats.org/officeDocument/2006/relationships/hyperlink" Target="https://www.postgresql.org/docs/15/" TargetMode="External"/><Relationship Id="rId26" Type="http://schemas.openxmlformats.org/officeDocument/2006/relationships/hyperlink" Target="https://github.com/tborozan/ecowitt-WS3900-integration" TargetMode="External"/><Relationship Id="rId27" Type="http://schemas.openxmlformats.org/officeDocument/2006/relationships/footer" Target="footer3.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67254-A61C-4E66-88BD-20FD3F3D4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LibreOffice/25.2.5.2$Windows_X86_64 LibreOffice_project/03d19516eb2e1dd5d4ccd751a0d6f35f35e08022</Application>
  <AppVersion>15.0000</AppVersion>
  <Pages>34</Pages>
  <Words>3445</Words>
  <Characters>24213</Characters>
  <CharactersWithSpaces>27336</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2025-06-18T21:06:09Z</dcterms:created>
  <dc:creator/>
  <dc:description/>
  <dc:language>en-US</dc:language>
  <cp:lastModifiedBy/>
  <dcterms:modified xsi:type="dcterms:W3CDTF">2025-10-02T18:14:22Z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