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rPr>
          <w:rFonts w:ascii="Calibri" w:hAnsi="Calibri"/>
        </w:rPr>
        <w:t>WORKING REFERENCE  /  UK SECONDARY MATHEMATICS</w:t>
      </w:r>
    </w:p>
    <w:p>
      <w:pPr>
        <w:pStyle w:val="Title"/>
      </w:pPr>
      <w:r>
        <w:rPr>
          <w:rFonts w:ascii="Calibri" w:hAnsi="Calibri"/>
        </w:rPr>
        <w:t>Maths Resource</w:t>
        <w:br/>
        <w:t>Design Guide</w:t>
      </w:r>
    </w:p>
    <w:p>
      <w:pPr>
        <w:pStyle w:val="Subtitle"/>
      </w:pPr>
      <w:r>
        <w:rPr>
          <w:rFonts w:ascii="Calibri" w:hAnsi="Calibri"/>
        </w:rPr>
        <w:t>Planning, sequencing and producing resources for Years 7–11</w:t>
      </w:r>
    </w:p>
    <w:p>
      <w:pPr>
        <w:pStyle w:val="Small"/>
      </w:pPr>
      <w:r>
        <w:rPr>
          <w:rFonts w:ascii="Calibri" w:hAnsi="Calibri"/>
        </w:rPr>
        <w:t>Version 1.2  |  18 October 2026  |  PLAN, FINALISE and PRODUCE workflow templates</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Design for what pupils should notice, not just what they should calculate.</w:t>
            </w:r>
          </w:p>
        </w:tc>
      </w:tr>
    </w:tbl>
    <w:p>
      <w:pPr>
        <w:spacing w:after="0" w:line="96" w:lineRule="auto"/>
      </w:pPr>
      <w:r>
        <w:rPr>
          <w:rFonts w:ascii="Calibri" w:hAnsi="Calibri"/>
          <w:sz w:val="6"/>
        </w:rPr>
      </w:r>
    </w:p>
    <w:p>
      <w:r>
        <w:rPr>
          <w:rFonts w:ascii="Calibri" w:hAnsi="Calibri"/>
        </w:rPr>
        <w:t>Use this guide when planning or revising worksheets, booklets and projected practice. It brings together Tim’s recorded feedback, the discussion of Craig Barton’s intelligently varied practice, and practical applications developed from that discussion. [1, 2]</w:t>
      </w:r>
    </w:p>
    <w:p>
      <w:pPr>
        <w:pStyle w:val="Heading2"/>
      </w:pPr>
      <w:r>
        <w:rPr>
          <w:rFonts w:ascii="Calibri" w:hAnsi="Calibri"/>
        </w:rPr>
        <w:t>The core standard</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956"/>
        <w:gridCol w:w="7909"/>
      </w:tblGrid>
      <w:tr>
        <w:trPr>
          <w:tblHeader w:val="true"/>
        </w:trPr>
        <w:tc>
          <w:tcPr>
            <w:tcW w:type="dxa" w:w="1956"/>
            <w:shd w:fill="203B49"/>
            <w:tcMar>
              <w:top w:w="85" w:type="dxa"/>
              <w:start w:w="105" w:type="dxa"/>
              <w:bottom w:w="85" w:type="dxa"/>
              <w:end w:w="105" w:type="dxa"/>
            </w:tcMar>
            <w:vAlign w:val="center"/>
          </w:tcPr>
          <w:p>
            <w:pPr>
              <w:pStyle w:val="TableText"/>
              <w:spacing w:after="0"/>
            </w:pPr>
            <w:r>
              <w:rPr>
                <w:rFonts w:ascii="Calibri" w:hAnsi="Calibri"/>
                <w:b/>
                <w:color w:val="FFFFFF"/>
                <w:sz w:val="20"/>
              </w:rPr>
              <w:t>Design decision</w:t>
            </w:r>
          </w:p>
        </w:tc>
        <w:tc>
          <w:tcPr>
            <w:tcW w:type="dxa" w:w="7909"/>
            <w:shd w:fill="203B49"/>
            <w:tcMar>
              <w:top w:w="85" w:type="dxa"/>
              <w:start w:w="105" w:type="dxa"/>
              <w:bottom w:w="85" w:type="dxa"/>
              <w:end w:w="105" w:type="dxa"/>
            </w:tcMar>
            <w:vAlign w:val="center"/>
          </w:tcPr>
          <w:p>
            <w:pPr>
              <w:pStyle w:val="TableText"/>
              <w:spacing w:after="0"/>
            </w:pPr>
            <w:r>
              <w:rPr>
                <w:rFonts w:ascii="Calibri" w:hAnsi="Calibri"/>
                <w:b/>
                <w:color w:val="FFFFFF"/>
                <w:sz w:val="20"/>
              </w:rPr>
              <w:t>Default approach</w:t>
            </w:r>
          </w:p>
        </w:tc>
      </w:tr>
      <w:tr>
        <w:trPr>
          <w:cantSplit/>
        </w:trPr>
        <w:tc>
          <w:tcPr>
            <w:tcW w:type="dxa" w:w="1956"/>
            <w:shd w:fill="F0F5F5"/>
            <w:tcMar>
              <w:top w:w="85" w:type="dxa"/>
              <w:start w:w="105" w:type="dxa"/>
              <w:bottom w:w="85" w:type="dxa"/>
              <w:end w:w="105" w:type="dxa"/>
            </w:tcMar>
            <w:vAlign w:val="top"/>
          </w:tcPr>
          <w:p>
            <w:pPr>
              <w:pStyle w:val="TableText"/>
              <w:spacing w:after="0"/>
            </w:pPr>
            <w:r>
              <w:rPr>
                <w:rFonts w:ascii="Calibri" w:hAnsi="Calibri"/>
                <w:b/>
                <w:sz w:val="20"/>
              </w:rPr>
              <w:t>Purpose</w:t>
            </w:r>
          </w:p>
        </w:tc>
        <w:tc>
          <w:tcPr>
            <w:tcW w:type="dxa" w:w="7909"/>
            <w:shd w:fill="F0F5F5"/>
            <w:tcMar>
              <w:top w:w="85" w:type="dxa"/>
              <w:start w:w="105" w:type="dxa"/>
              <w:bottom w:w="85" w:type="dxa"/>
              <w:end w:w="105" w:type="dxa"/>
            </w:tcMar>
            <w:vAlign w:val="top"/>
          </w:tcPr>
          <w:p>
            <w:pPr>
              <w:pStyle w:val="TableText"/>
              <w:spacing w:after="0"/>
            </w:pPr>
            <w:r>
              <w:rPr>
                <w:rFonts w:ascii="Calibri" w:hAnsi="Calibri"/>
                <w:sz w:val="20"/>
              </w:rPr>
              <w:t>Identify prerequisites, the intended insight and likely misconceptions before writing questions.</w:t>
            </w:r>
          </w:p>
        </w:tc>
      </w:tr>
      <w:tr>
        <w:trPr>
          <w:cantSplit/>
        </w:trPr>
        <w:tc>
          <w:tcPr>
            <w:tcW w:type="dxa" w:w="1956"/>
            <w:shd w:fill="FAFBFC"/>
            <w:tcMar>
              <w:top w:w="85" w:type="dxa"/>
              <w:start w:w="105" w:type="dxa"/>
              <w:bottom w:w="85" w:type="dxa"/>
              <w:end w:w="105" w:type="dxa"/>
            </w:tcMar>
            <w:vAlign w:val="top"/>
          </w:tcPr>
          <w:p>
            <w:pPr>
              <w:pStyle w:val="TableText"/>
              <w:spacing w:after="0"/>
            </w:pPr>
            <w:r>
              <w:rPr>
                <w:rFonts w:ascii="Calibri" w:hAnsi="Calibri"/>
                <w:b/>
                <w:sz w:val="20"/>
              </w:rPr>
              <w:t>Sequence</w:t>
            </w:r>
          </w:p>
        </w:tc>
        <w:tc>
          <w:tcPr>
            <w:tcW w:type="dxa" w:w="7909"/>
            <w:shd w:fill="FAFBFC"/>
            <w:tcMar>
              <w:top w:w="85" w:type="dxa"/>
              <w:start w:w="105" w:type="dxa"/>
              <w:bottom w:w="85" w:type="dxa"/>
              <w:end w:w="105" w:type="dxa"/>
            </w:tcMar>
            <w:vAlign w:val="top"/>
          </w:tcPr>
          <w:p>
            <w:pPr>
              <w:pStyle w:val="TableText"/>
              <w:spacing w:after="0"/>
            </w:pPr>
            <w:r>
              <w:rPr>
                <w:rFonts w:ascii="Calibri" w:hAnsi="Calibri"/>
                <w:sz w:val="20"/>
              </w:rPr>
              <w:t>Establish familiar cases. Use short, purposeful chains when comparison will reveal useful mathematics.</w:t>
            </w:r>
          </w:p>
        </w:tc>
      </w:tr>
      <w:tr>
        <w:trPr>
          <w:cantSplit/>
        </w:trPr>
        <w:tc>
          <w:tcPr>
            <w:tcW w:type="dxa" w:w="1956"/>
            <w:shd w:fill="F0F5F5"/>
            <w:tcMar>
              <w:top w:w="85" w:type="dxa"/>
              <w:start w:w="105" w:type="dxa"/>
              <w:bottom w:w="85" w:type="dxa"/>
              <w:end w:w="105" w:type="dxa"/>
            </w:tcMar>
            <w:vAlign w:val="top"/>
          </w:tcPr>
          <w:p>
            <w:pPr>
              <w:pStyle w:val="TableText"/>
              <w:spacing w:after="0"/>
            </w:pPr>
            <w:r>
              <w:rPr>
                <w:rFonts w:ascii="Calibri" w:hAnsi="Calibri"/>
                <w:b/>
                <w:sz w:val="20"/>
              </w:rPr>
              <w:t>Challenge</w:t>
            </w:r>
          </w:p>
        </w:tc>
        <w:tc>
          <w:tcPr>
            <w:tcW w:type="dxa" w:w="7909"/>
            <w:shd w:fill="F0F5F5"/>
            <w:tcMar>
              <w:top w:w="85" w:type="dxa"/>
              <w:start w:w="105" w:type="dxa"/>
              <w:bottom w:w="85" w:type="dxa"/>
              <w:end w:w="105" w:type="dxa"/>
            </w:tcMar>
            <w:vAlign w:val="top"/>
          </w:tcPr>
          <w:p>
            <w:pPr>
              <w:pStyle w:val="TableText"/>
              <w:spacing w:after="0"/>
            </w:pPr>
            <w:r>
              <w:rPr>
                <w:rFonts w:ascii="Calibri" w:hAnsi="Calibri"/>
                <w:sz w:val="20"/>
              </w:rPr>
              <w:t>Plan mathematical difficulty, presentation changes and scaffold fading separately.</w:t>
            </w:r>
          </w:p>
        </w:tc>
      </w:tr>
      <w:tr>
        <w:trPr>
          <w:cantSplit/>
        </w:trPr>
        <w:tc>
          <w:tcPr>
            <w:tcW w:type="dxa" w:w="1956"/>
            <w:shd w:fill="FAFBFC"/>
            <w:tcMar>
              <w:top w:w="85" w:type="dxa"/>
              <w:start w:w="105" w:type="dxa"/>
              <w:bottom w:w="85" w:type="dxa"/>
              <w:end w:w="105" w:type="dxa"/>
            </w:tcMar>
            <w:vAlign w:val="top"/>
          </w:tcPr>
          <w:p>
            <w:pPr>
              <w:pStyle w:val="TableText"/>
              <w:spacing w:after="0"/>
            </w:pPr>
            <w:r>
              <w:rPr>
                <w:rFonts w:ascii="Calibri" w:hAnsi="Calibri"/>
                <w:b/>
                <w:sz w:val="20"/>
              </w:rPr>
              <w:t>Independence</w:t>
            </w:r>
          </w:p>
        </w:tc>
        <w:tc>
          <w:tcPr>
            <w:tcW w:type="dxa" w:w="7909"/>
            <w:shd w:fill="FAFBFC"/>
            <w:tcMar>
              <w:top w:w="85" w:type="dxa"/>
              <w:start w:w="105" w:type="dxa"/>
              <w:bottom w:w="85" w:type="dxa"/>
              <w:end w:w="105" w:type="dxa"/>
            </w:tcMar>
            <w:vAlign w:val="top"/>
          </w:tcPr>
          <w:p>
            <w:pPr>
              <w:pStyle w:val="TableText"/>
              <w:spacing w:after="0"/>
            </w:pPr>
            <w:r>
              <w:rPr>
                <w:rFonts w:ascii="Calibri" w:hAnsi="Calibri"/>
                <w:sz w:val="20"/>
              </w:rPr>
              <w:t>Move towards mixed practice without neighbouring examples or unnecessary support.</w:t>
            </w:r>
          </w:p>
        </w:tc>
      </w:tr>
      <w:tr>
        <w:trPr>
          <w:cantSplit/>
        </w:trPr>
        <w:tc>
          <w:tcPr>
            <w:tcW w:type="dxa" w:w="1956"/>
            <w:shd w:fill="F0F5F5"/>
            <w:tcMar>
              <w:top w:w="85" w:type="dxa"/>
              <w:start w:w="105" w:type="dxa"/>
              <w:bottom w:w="85" w:type="dxa"/>
              <w:end w:w="105" w:type="dxa"/>
            </w:tcMar>
            <w:vAlign w:val="top"/>
          </w:tcPr>
          <w:p>
            <w:pPr>
              <w:pStyle w:val="TableText"/>
              <w:spacing w:after="0"/>
            </w:pPr>
            <w:r>
              <w:rPr>
                <w:rFonts w:ascii="Calibri" w:hAnsi="Calibri"/>
                <w:b/>
                <w:sz w:val="20"/>
              </w:rPr>
              <w:t>Presentation</w:t>
            </w:r>
          </w:p>
        </w:tc>
        <w:tc>
          <w:tcPr>
            <w:tcW w:type="dxa" w:w="7909"/>
            <w:shd w:fill="F0F5F5"/>
            <w:tcMar>
              <w:top w:w="85" w:type="dxa"/>
              <w:start w:w="105" w:type="dxa"/>
              <w:bottom w:w="85" w:type="dxa"/>
              <w:end w:w="105" w:type="dxa"/>
            </w:tcMar>
            <w:vAlign w:val="top"/>
          </w:tcPr>
          <w:p>
            <w:pPr>
              <w:pStyle w:val="TableText"/>
              <w:spacing w:after="0"/>
            </w:pPr>
            <w:r>
              <w:rPr>
                <w:rFonts w:ascii="Calibri" w:hAnsi="Calibri"/>
                <w:sz w:val="20"/>
              </w:rPr>
              <w:t>Keep pupil text concise; provide the space, notation and diagrams needed for full working.</w:t>
            </w:r>
          </w:p>
        </w:tc>
      </w:tr>
      <w:tr>
        <w:trPr>
          <w:cantSplit/>
        </w:trPr>
        <w:tc>
          <w:tcPr>
            <w:tcW w:type="dxa" w:w="1956"/>
            <w:shd w:fill="FAFBFC"/>
            <w:tcMar>
              <w:top w:w="85" w:type="dxa"/>
              <w:start w:w="105" w:type="dxa"/>
              <w:bottom w:w="85" w:type="dxa"/>
              <w:end w:w="105" w:type="dxa"/>
            </w:tcMar>
            <w:vAlign w:val="top"/>
          </w:tcPr>
          <w:p>
            <w:pPr>
              <w:pStyle w:val="TableText"/>
              <w:spacing w:after="0"/>
            </w:pPr>
            <w:r>
              <w:rPr>
                <w:rFonts w:ascii="Calibri" w:hAnsi="Calibri"/>
                <w:b/>
                <w:sz w:val="20"/>
              </w:rPr>
              <w:t>Production</w:t>
            </w:r>
          </w:p>
        </w:tc>
        <w:tc>
          <w:tcPr>
            <w:tcW w:type="dxa" w:w="7909"/>
            <w:shd w:fill="FAFBFC"/>
            <w:tcMar>
              <w:top w:w="85" w:type="dxa"/>
              <w:start w:w="105" w:type="dxa"/>
              <w:bottom w:w="85" w:type="dxa"/>
              <w:end w:w="105" w:type="dxa"/>
            </w:tcMar>
            <w:vAlign w:val="top"/>
          </w:tcPr>
          <w:p>
            <w:pPr>
              <w:pStyle w:val="TableText"/>
              <w:spacing w:after="0"/>
            </w:pPr>
            <w:r>
              <w:rPr>
                <w:rFonts w:ascii="Calibri" w:hAnsi="Calibri"/>
                <w:sz w:val="20"/>
              </w:rPr>
              <w:t>Preserve approved content. Check answers, diagrams, layout and page versions before delivery.</w:t>
            </w:r>
          </w:p>
        </w:tc>
      </w:tr>
    </w:tbl>
    <w:p>
      <w:pPr>
        <w:spacing w:after="0" w:before="0" w:line="96" w:lineRule="auto"/>
      </w:pPr>
      <w:r>
        <w:rPr>
          <w:rFonts w:ascii="Calibri" w:hAnsi="Calibri"/>
          <w:sz w:val="6"/>
        </w:rPr>
      </w:r>
    </w:p>
    <w:p>
      <w:pPr>
        <w:pStyle w:val="Heading2"/>
      </w:pPr>
      <w:r>
        <w:rPr>
          <w:rFonts w:ascii="Calibri" w:hAnsi="Calibri"/>
        </w:rPr>
        <w:t>How to apply the guide</w:t>
      </w:r>
    </w:p>
    <w:p>
      <w:r>
        <w:rPr>
          <w:rFonts w:ascii="Calibri" w:hAnsi="Calibri"/>
        </w:rPr>
        <w:t>Treat these as design defaults, not a compulsory lesson structure. Apply the sections relevant to the current resource. A request for six mini-whiteboard questions does not require a full booklet; a declarative-only knowledge organiser does not need a practice sequence.</w:t>
      </w:r>
    </w:p>
    <w:p>
      <w:r>
        <w:rPr>
          <w:rFonts w:ascii="Calibri" w:hAnsi="Calibri"/>
        </w:rPr>
        <w:t>For resource-design choices, follow Tim’s current explicit request and latest approved corrections rather than conflicting defaults or older examples. Flag substantive conflicts instead of silently changing approved content. Do not infer a class’s needs solely from its year group or tier.</w:t>
      </w:r>
    </w:p>
    <w:p>
      <w:pPr>
        <w:pStyle w:val="Heading2"/>
      </w:pPr>
      <w:r>
        <w:rPr>
          <w:rFonts w:ascii="Calibri" w:hAnsi="Calibri"/>
        </w:rPr>
        <w:t>What the evidence labels mean</w:t>
      </w:r>
    </w:p>
    <w:p>
      <w:pPr>
        <w:pStyle w:val="Small"/>
      </w:pPr>
      <w:r>
        <w:rPr>
          <w:rFonts w:ascii="Calibri" w:hAnsi="Calibri"/>
          <w:b/>
        </w:rPr>
        <w:t>Recorded feedback</w:t>
      </w:r>
      <w:r>
        <w:rPr>
          <w:rFonts w:ascii="Calibri" w:hAnsi="Calibri"/>
        </w:rPr>
        <w:t xml:space="preserve"> reports what Tim said or requested. </w:t>
      </w:r>
      <w:r>
        <w:rPr>
          <w:rFonts w:ascii="Calibri" w:hAnsi="Calibri"/>
          <w:b/>
        </w:rPr>
        <w:t>Illustrative application</w:t>
      </w:r>
      <w:r>
        <w:rPr>
          <w:rFonts w:ascii="Calibri" w:hAnsi="Calibri"/>
        </w:rPr>
        <w:t xml:space="preserve"> is a proposed way to use the principles, not a claim that it has been trialled successfully. Barton’s article is a practitioner account, not a controlled evaluation of this guide. [1, 2]</w:t>
      </w:r>
    </w:p>
    <w:p>
      <w:pPr>
        <w:pStyle w:val="Small"/>
      </w:pPr>
      <w:r>
        <w:rPr>
          <w:rFonts w:ascii="Calibri" w:hAnsi="Calibri"/>
        </w:rPr>
        <w:t>Navigation: planning · challenge and scaffolding · comparison examples · representations · production · feedback register · final checks · maintenance and sources · workflow commands and templates (Appendix A).</w:t>
      </w:r>
    </w:p>
    <w:p>
      <w:pPr>
        <w:pStyle w:val="Label"/>
        <w:keepNext/>
        <w:pageBreakBefore/>
      </w:pPr>
      <w:r>
        <w:rPr>
          <w:rFonts w:ascii="Calibri" w:hAnsi="Calibri"/>
        </w:rPr>
        <w:t>01  /  PLANNING</w:t>
      </w:r>
    </w:p>
    <w:p>
      <w:pPr>
        <w:pStyle w:val="Heading1"/>
      </w:pPr>
      <w:r>
        <w:rPr>
          <w:rFonts w:ascii="Calibri" w:hAnsi="Calibri"/>
        </w:rPr>
        <w:t>Start with the mathematics</w:t>
      </w:r>
    </w:p>
    <w:p>
      <w:r>
        <w:rPr>
          <w:rFonts w:ascii="Calibri" w:hAnsi="Calibri"/>
        </w:rPr>
        <w:t>Before generating questions, establish the class and attainment, learning objective, relevant prior teaching, intended task type, calculator expectations and requested format. Use information already supplied. Where a minor detail is missing, state a reasonable assumption rather than restarting the brief.</w:t>
      </w:r>
    </w:p>
    <w:p>
      <w:pPr>
        <w:pStyle w:val="Heading2"/>
      </w:pPr>
      <w:r>
        <w:rPr>
          <w:rFonts w:ascii="Calibri" w:hAnsi="Calibri"/>
        </w:rPr>
        <w:t>What the teacher-facing plan should show</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118"/>
        <w:gridCol w:w="6746"/>
      </w:tblGrid>
      <w:tr>
        <w:trPr>
          <w:tblHeader w:val="true"/>
        </w:trPr>
        <w:tc>
          <w:tcPr>
            <w:tcW w:type="dxa" w:w="3118"/>
            <w:shd w:fill="203B49"/>
            <w:tcMar>
              <w:top w:w="85" w:type="dxa"/>
              <w:start w:w="105" w:type="dxa"/>
              <w:bottom w:w="85" w:type="dxa"/>
              <w:end w:w="105" w:type="dxa"/>
            </w:tcMar>
            <w:vAlign w:val="center"/>
          </w:tcPr>
          <w:p>
            <w:pPr>
              <w:pStyle w:val="TableText"/>
              <w:spacing w:after="0"/>
            </w:pPr>
            <w:r>
              <w:rPr>
                <w:rFonts w:ascii="Calibri" w:hAnsi="Calibri"/>
                <w:b/>
                <w:color w:val="FFFFFF"/>
                <w:sz w:val="20"/>
              </w:rPr>
              <w:t>Planning question</w:t>
            </w:r>
          </w:p>
        </w:tc>
        <w:tc>
          <w:tcPr>
            <w:tcW w:type="dxa" w:w="6746"/>
            <w:shd w:fill="203B49"/>
            <w:tcMar>
              <w:top w:w="85" w:type="dxa"/>
              <w:start w:w="105" w:type="dxa"/>
              <w:bottom w:w="85" w:type="dxa"/>
              <w:end w:w="105" w:type="dxa"/>
            </w:tcMar>
            <w:vAlign w:val="center"/>
          </w:tcPr>
          <w:p>
            <w:pPr>
              <w:pStyle w:val="TableText"/>
              <w:spacing w:after="0"/>
            </w:pPr>
            <w:r>
              <w:rPr>
                <w:rFonts w:ascii="Calibri" w:hAnsi="Calibri"/>
                <w:b/>
                <w:color w:val="FFFFFF"/>
                <w:sz w:val="20"/>
              </w:rPr>
              <w:t>What to specify</w:t>
            </w:r>
          </w:p>
        </w:tc>
      </w:tr>
      <w:tr>
        <w:trPr>
          <w:cantSplit/>
        </w:trPr>
        <w:tc>
          <w:tcPr>
            <w:tcW w:type="dxa" w:w="3118"/>
            <w:shd w:fill="F0F5F5"/>
            <w:tcMar>
              <w:top w:w="85" w:type="dxa"/>
              <w:start w:w="105" w:type="dxa"/>
              <w:bottom w:w="85" w:type="dxa"/>
              <w:end w:w="105" w:type="dxa"/>
            </w:tcMar>
            <w:vAlign w:val="top"/>
          </w:tcPr>
          <w:p>
            <w:pPr>
              <w:pStyle w:val="TableText"/>
              <w:spacing w:after="0"/>
            </w:pPr>
            <w:r>
              <w:rPr>
                <w:rFonts w:ascii="Calibri" w:hAnsi="Calibri"/>
                <w:b/>
                <w:sz w:val="20"/>
              </w:rPr>
              <w:t>What must pupils already know?</w:t>
            </w:r>
          </w:p>
        </w:tc>
        <w:tc>
          <w:tcPr>
            <w:tcW w:type="dxa" w:w="6746"/>
            <w:shd w:fill="F0F5F5"/>
            <w:tcMar>
              <w:top w:w="85" w:type="dxa"/>
              <w:start w:w="105" w:type="dxa"/>
              <w:bottom w:w="85" w:type="dxa"/>
              <w:end w:w="105" w:type="dxa"/>
            </w:tcMar>
            <w:vAlign w:val="top"/>
          </w:tcPr>
          <w:p>
            <w:pPr>
              <w:pStyle w:val="TableText"/>
              <w:spacing w:after="0"/>
            </w:pPr>
            <w:r>
              <w:rPr>
                <w:rFonts w:ascii="Calibri" w:hAnsi="Calibri"/>
                <w:sz w:val="20"/>
              </w:rPr>
              <w:t>Name the prerequisite facts and procedures. Include a short check or a bridge only where it is needed.</w:t>
            </w:r>
          </w:p>
        </w:tc>
      </w:tr>
      <w:tr>
        <w:trPr>
          <w:cantSplit/>
        </w:trPr>
        <w:tc>
          <w:tcPr>
            <w:tcW w:type="dxa" w:w="3118"/>
            <w:shd w:fill="FAFBFC"/>
            <w:tcMar>
              <w:top w:w="85" w:type="dxa"/>
              <w:start w:w="105" w:type="dxa"/>
              <w:bottom w:w="85" w:type="dxa"/>
              <w:end w:w="105" w:type="dxa"/>
            </w:tcMar>
            <w:vAlign w:val="top"/>
          </w:tcPr>
          <w:p>
            <w:pPr>
              <w:pStyle w:val="TableText"/>
              <w:spacing w:after="0"/>
            </w:pPr>
            <w:r>
              <w:rPr>
                <w:rFonts w:ascii="Calibri" w:hAnsi="Calibri"/>
                <w:b/>
                <w:sz w:val="20"/>
              </w:rPr>
              <w:t>What should pupils notice?</w:t>
            </w:r>
          </w:p>
        </w:tc>
        <w:tc>
          <w:tcPr>
            <w:tcW w:type="dxa" w:w="6746"/>
            <w:shd w:fill="FAFBFC"/>
            <w:tcMar>
              <w:top w:w="85" w:type="dxa"/>
              <w:start w:w="105" w:type="dxa"/>
              <w:bottom w:w="85" w:type="dxa"/>
              <w:end w:w="105" w:type="dxa"/>
            </w:tcMar>
            <w:vAlign w:val="top"/>
          </w:tcPr>
          <w:p>
            <w:pPr>
              <w:pStyle w:val="TableText"/>
              <w:spacing w:after="0"/>
            </w:pPr>
            <w:r>
              <w:rPr>
                <w:rFonts w:ascii="Calibri" w:hAnsi="Calibri"/>
                <w:sz w:val="20"/>
              </w:rPr>
              <w:t>State the mathematical insight, not just the instruction “practise the method”.</w:t>
            </w:r>
          </w:p>
        </w:tc>
      </w:tr>
      <w:tr>
        <w:trPr>
          <w:cantSplit/>
        </w:trPr>
        <w:tc>
          <w:tcPr>
            <w:tcW w:type="dxa" w:w="3118"/>
            <w:shd w:fill="F0F5F5"/>
            <w:tcMar>
              <w:top w:w="85" w:type="dxa"/>
              <w:start w:w="105" w:type="dxa"/>
              <w:bottom w:w="85" w:type="dxa"/>
              <w:end w:w="105" w:type="dxa"/>
            </w:tcMar>
            <w:vAlign w:val="top"/>
          </w:tcPr>
          <w:p>
            <w:pPr>
              <w:pStyle w:val="TableText"/>
              <w:spacing w:after="0"/>
            </w:pPr>
            <w:r>
              <w:rPr>
                <w:rFonts w:ascii="Calibri" w:hAnsi="Calibri"/>
                <w:b/>
                <w:sz w:val="20"/>
              </w:rPr>
              <w:t>What might go wrong?</w:t>
            </w:r>
          </w:p>
        </w:tc>
        <w:tc>
          <w:tcPr>
            <w:tcW w:type="dxa" w:w="6746"/>
            <w:shd w:fill="F0F5F5"/>
            <w:tcMar>
              <w:top w:w="85" w:type="dxa"/>
              <w:start w:w="105" w:type="dxa"/>
              <w:bottom w:w="85" w:type="dxa"/>
              <w:end w:w="105" w:type="dxa"/>
            </w:tcMar>
            <w:vAlign w:val="top"/>
          </w:tcPr>
          <w:p>
            <w:pPr>
              <w:pStyle w:val="TableText"/>
              <w:spacing w:after="0"/>
            </w:pPr>
            <w:r>
              <w:rPr>
                <w:rFonts w:ascii="Calibri" w:hAnsi="Calibri"/>
                <w:sz w:val="20"/>
              </w:rPr>
              <w:t>Identify the relevant misconception or entry difficulty, using known class feedback where available.</w:t>
            </w:r>
          </w:p>
        </w:tc>
      </w:tr>
      <w:tr>
        <w:trPr>
          <w:cantSplit/>
        </w:trPr>
        <w:tc>
          <w:tcPr>
            <w:tcW w:type="dxa" w:w="3118"/>
            <w:shd w:fill="FAFBFC"/>
            <w:tcMar>
              <w:top w:w="85" w:type="dxa"/>
              <w:start w:w="105" w:type="dxa"/>
              <w:bottom w:w="85" w:type="dxa"/>
              <w:end w:w="105" w:type="dxa"/>
            </w:tcMar>
            <w:vAlign w:val="top"/>
          </w:tcPr>
          <w:p>
            <w:pPr>
              <w:pStyle w:val="TableText"/>
              <w:spacing w:after="0"/>
            </w:pPr>
            <w:r>
              <w:rPr>
                <w:rFonts w:ascii="Calibri" w:hAnsi="Calibri"/>
                <w:b/>
                <w:sz w:val="20"/>
              </w:rPr>
              <w:t>What stays the same and changes?</w:t>
            </w:r>
          </w:p>
        </w:tc>
        <w:tc>
          <w:tcPr>
            <w:tcW w:type="dxa" w:w="6746"/>
            <w:shd w:fill="FAFBFC"/>
            <w:tcMar>
              <w:top w:w="85" w:type="dxa"/>
              <w:start w:w="105" w:type="dxa"/>
              <w:bottom w:w="85" w:type="dxa"/>
              <w:end w:w="105" w:type="dxa"/>
            </w:tcMar>
            <w:vAlign w:val="top"/>
          </w:tcPr>
          <w:p>
            <w:pPr>
              <w:pStyle w:val="TableText"/>
              <w:spacing w:after="0"/>
            </w:pPr>
            <w:r>
              <w:rPr>
                <w:rFonts w:ascii="Calibri" w:hAnsi="Calibri"/>
                <w:sz w:val="20"/>
              </w:rPr>
              <w:t>Choose examples around the insight. Explain why the selected change matters.</w:t>
            </w:r>
          </w:p>
        </w:tc>
      </w:tr>
      <w:tr>
        <w:trPr>
          <w:cantSplit/>
        </w:trPr>
        <w:tc>
          <w:tcPr>
            <w:tcW w:type="dxa" w:w="3118"/>
            <w:shd w:fill="F0F5F5"/>
            <w:tcMar>
              <w:top w:w="85" w:type="dxa"/>
              <w:start w:w="105" w:type="dxa"/>
              <w:bottom w:w="85" w:type="dxa"/>
              <w:end w:w="105" w:type="dxa"/>
            </w:tcMar>
            <w:vAlign w:val="top"/>
          </w:tcPr>
          <w:p>
            <w:pPr>
              <w:pStyle w:val="TableText"/>
              <w:spacing w:after="0"/>
            </w:pPr>
            <w:r>
              <w:rPr>
                <w:rFonts w:ascii="Calibri" w:hAnsi="Calibri"/>
                <w:b/>
                <w:sz w:val="20"/>
              </w:rPr>
              <w:t>How will support fade?</w:t>
            </w:r>
          </w:p>
        </w:tc>
        <w:tc>
          <w:tcPr>
            <w:tcW w:type="dxa" w:w="6746"/>
            <w:shd w:fill="F0F5F5"/>
            <w:tcMar>
              <w:top w:w="85" w:type="dxa"/>
              <w:start w:w="105" w:type="dxa"/>
              <w:bottom w:w="85" w:type="dxa"/>
              <w:end w:w="105" w:type="dxa"/>
            </w:tcMar>
            <w:vAlign w:val="top"/>
          </w:tcPr>
          <w:p>
            <w:pPr>
              <w:pStyle w:val="TableText"/>
              <w:spacing w:after="0"/>
            </w:pPr>
            <w:r>
              <w:rPr>
                <w:rFonts w:ascii="Calibri" w:hAnsi="Calibri"/>
                <w:sz w:val="20"/>
              </w:rPr>
              <w:t>Identify the representation, partial working or prompt retained at each stage and the point of independent work.</w:t>
            </w:r>
          </w:p>
        </w:tc>
      </w:tr>
      <w:tr>
        <w:trPr>
          <w:cantSplit/>
        </w:trPr>
        <w:tc>
          <w:tcPr>
            <w:tcW w:type="dxa" w:w="3118"/>
            <w:shd w:fill="FAFBFC"/>
            <w:tcMar>
              <w:top w:w="85" w:type="dxa"/>
              <w:start w:w="105" w:type="dxa"/>
              <w:bottom w:w="85" w:type="dxa"/>
              <w:end w:w="105" w:type="dxa"/>
            </w:tcMar>
            <w:vAlign w:val="top"/>
          </w:tcPr>
          <w:p>
            <w:pPr>
              <w:pStyle w:val="TableText"/>
              <w:spacing w:after="0"/>
            </w:pPr>
            <w:r>
              <w:rPr>
                <w:rFonts w:ascii="Calibri" w:hAnsi="Calibri"/>
                <w:b/>
                <w:sz w:val="20"/>
              </w:rPr>
              <w:t>How will independence be checked?</w:t>
            </w:r>
          </w:p>
        </w:tc>
        <w:tc>
          <w:tcPr>
            <w:tcW w:type="dxa" w:w="6746"/>
            <w:shd w:fill="FAFBFC"/>
            <w:tcMar>
              <w:top w:w="85" w:type="dxa"/>
              <w:start w:w="105" w:type="dxa"/>
              <w:bottom w:w="85" w:type="dxa"/>
              <w:end w:w="105" w:type="dxa"/>
            </w:tcMar>
            <w:vAlign w:val="top"/>
          </w:tcPr>
          <w:p>
            <w:pPr>
              <w:pStyle w:val="TableText"/>
              <w:spacing w:after="0"/>
            </w:pPr>
            <w:r>
              <w:rPr>
                <w:rFonts w:ascii="Calibri" w:hAnsi="Calibri"/>
                <w:sz w:val="20"/>
              </w:rPr>
              <w:t>Include a task that cannot be completed simply by copying the previous example’s pattern.</w:t>
            </w:r>
          </w:p>
        </w:tc>
      </w:tr>
    </w:tbl>
    <w:p>
      <w:pPr>
        <w:spacing w:after="0" w:before="0" w:line="96" w:lineRule="auto"/>
      </w:pPr>
      <w:r>
        <w:rPr>
          <w:rFonts w:ascii="Calibri" w:hAnsi="Calibri"/>
          <w:sz w:val="6"/>
        </w:rPr>
      </w:r>
    </w:p>
    <w:p>
      <w:pPr>
        <w:pStyle w:val="Heading2"/>
      </w:pPr>
      <w:r>
        <w:rPr>
          <w:rFonts w:ascii="Calibri" w:hAnsi="Calibri"/>
        </w:rPr>
        <w:t>Use short chains, with deliberate resets</w:t>
      </w:r>
    </w:p>
    <w:p>
      <w:r>
        <w:rPr>
          <w:rFonts w:ascii="Calibri" w:hAnsi="Calibri"/>
        </w:rPr>
        <w:t>Barton describes beginning with the range of ideas, critical features and misconceptions, then using several short chains rather than tying the whole resource to one starting example. A fresh chain can return to an accessible case before introducing a different feature. [2]</w:t>
      </w:r>
    </w:p>
    <w:p>
      <w:r>
        <w:rPr>
          <w:rFonts w:ascii="Calibri" w:hAnsi="Calibri"/>
        </w:rPr>
        <w:t xml:space="preserve">A suitable structure might be: </w:t>
      </w:r>
      <w:r>
        <w:rPr>
          <w:rFonts w:ascii="Calibri" w:hAnsi="Calibri"/>
          <w:b/>
        </w:rPr>
        <w:t>familiar method → focused comparison → a fresh chain for a new feature → mixed independent practice</w:t>
      </w:r>
      <w:r>
        <w:rPr>
          <w:rFonts w:ascii="Calibri" w:hAnsi="Calibri"/>
        </w:rPr>
        <w:t>. The number of chains and questions should follow the content and available working space, not a fixed quota.</w:t>
      </w:r>
    </w:p>
    <w:p>
      <w:pPr>
        <w:pStyle w:val="Heading2"/>
      </w:pPr>
      <w:r>
        <w:rPr>
          <w:rFonts w:ascii="Calibri" w:hAnsi="Calibri"/>
        </w:rPr>
        <w:t>Choose numbers for a reason</w:t>
      </w:r>
    </w:p>
    <w:p>
      <w:r>
        <w:rPr>
          <w:rFonts w:ascii="Calibri" w:hAnsi="Calibri"/>
        </w:rPr>
        <w:t>During a focused comparison, select numbers that expose the intended relationship without adding unplanned arithmetic difficulty. Later, vary irrelevant details to check that pupils have not learned a superficial pattern. Not every adjacent question needs to be minimally different.</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Planning format:</w:t>
            </w:r>
            <w:r>
              <w:rPr>
                <w:rFonts w:ascii="Calibri" w:hAnsi="Calibri"/>
              </w:rPr>
              <w:t xml:space="preserve"> Section or questions | intended insight | what stays constant / changes | support retained / removed | independent check.</w:t>
            </w:r>
          </w:p>
        </w:tc>
      </w:tr>
    </w:tbl>
    <w:p>
      <w:pPr>
        <w:spacing w:after="0" w:line="96" w:lineRule="auto"/>
      </w:pPr>
      <w:r>
        <w:rPr>
          <w:rFonts w:ascii="Calibri" w:hAnsi="Calibri"/>
          <w:sz w:val="6"/>
        </w:rPr>
      </w:r>
    </w:p>
    <w:p>
      <w:pPr>
        <w:pStyle w:val="Heading2"/>
      </w:pPr>
      <w:r>
        <w:rPr>
          <w:rFonts w:ascii="Calibri" w:hAnsi="Calibri"/>
        </w:rPr>
        <w:t>Avoid a disguised difficulty ladder</w:t>
      </w:r>
    </w:p>
    <w:p>
      <w:r>
        <w:rPr>
          <w:rFonts w:ascii="Calibri" w:hAnsi="Calibri"/>
        </w:rPr>
        <w:t>Larger numbers, more negative signs or denser wording do not by themselves create a worthwhile progression. Decide whether each new demand develops the target mathematics or merely makes the calculation longer. Keep the detailed rationale off the pupil sheet.</w:t>
      </w:r>
    </w:p>
    <w:p>
      <w:pPr>
        <w:pStyle w:val="Label"/>
        <w:keepNext/>
        <w:pageBreakBefore/>
      </w:pPr>
      <w:r>
        <w:rPr>
          <w:rFonts w:ascii="Calibri" w:hAnsi="Calibri"/>
        </w:rPr>
        <w:t>02  /  CHALLENGE AND SUPPORT</w:t>
      </w:r>
    </w:p>
    <w:p>
      <w:pPr>
        <w:pStyle w:val="Heading1"/>
      </w:pPr>
      <w:r>
        <w:rPr>
          <w:rFonts w:ascii="Calibri" w:hAnsi="Calibri"/>
        </w:rPr>
        <w:t>Manage difficulty and scaffold fading</w:t>
      </w:r>
    </w:p>
    <w:p>
      <w:r>
        <w:rPr>
          <w:rFonts w:ascii="Calibri" w:hAnsi="Calibri"/>
        </w:rPr>
        <w:t>The following separation is a practical application developed in this discussion. It responds to Tim’s feedback about unfamiliar early questions and the need for support to fade without disappearing too soon. [1]</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644"/>
        <w:gridCol w:w="3855"/>
        <w:gridCol w:w="4365"/>
      </w:tblGrid>
      <w:tr>
        <w:trPr>
          <w:tblHeader w:val="true"/>
        </w:trPr>
        <w:tc>
          <w:tcPr>
            <w:tcW w:type="dxa" w:w="1644"/>
            <w:shd w:fill="203B49"/>
            <w:tcMar>
              <w:top w:w="85" w:type="dxa"/>
              <w:start w:w="105" w:type="dxa"/>
              <w:bottom w:w="85" w:type="dxa"/>
              <w:end w:w="105" w:type="dxa"/>
            </w:tcMar>
            <w:vAlign w:val="center"/>
          </w:tcPr>
          <w:p>
            <w:pPr>
              <w:pStyle w:val="TableText"/>
              <w:spacing w:after="0"/>
            </w:pPr>
            <w:r>
              <w:rPr>
                <w:rFonts w:ascii="Calibri" w:hAnsi="Calibri"/>
                <w:b/>
                <w:color w:val="FFFFFF"/>
                <w:sz w:val="20"/>
              </w:rPr>
              <w:t>Demand</w:t>
            </w:r>
          </w:p>
        </w:tc>
        <w:tc>
          <w:tcPr>
            <w:tcW w:type="dxa" w:w="3855"/>
            <w:shd w:fill="203B49"/>
            <w:tcMar>
              <w:top w:w="85" w:type="dxa"/>
              <w:start w:w="105" w:type="dxa"/>
              <w:bottom w:w="85" w:type="dxa"/>
              <w:end w:w="105" w:type="dxa"/>
            </w:tcMar>
            <w:vAlign w:val="center"/>
          </w:tcPr>
          <w:p>
            <w:pPr>
              <w:pStyle w:val="TableText"/>
              <w:spacing w:after="0"/>
            </w:pPr>
            <w:r>
              <w:rPr>
                <w:rFonts w:ascii="Calibri" w:hAnsi="Calibri"/>
                <w:b/>
                <w:color w:val="FFFFFF"/>
                <w:sz w:val="20"/>
              </w:rPr>
              <w:t>Examples of a change</w:t>
            </w:r>
          </w:p>
        </w:tc>
        <w:tc>
          <w:tcPr>
            <w:tcW w:type="dxa" w:w="4365"/>
            <w:shd w:fill="203B49"/>
            <w:tcMar>
              <w:top w:w="85" w:type="dxa"/>
              <w:start w:w="105" w:type="dxa"/>
              <w:bottom w:w="85" w:type="dxa"/>
              <w:end w:w="105" w:type="dxa"/>
            </w:tcMar>
            <w:vAlign w:val="center"/>
          </w:tcPr>
          <w:p>
            <w:pPr>
              <w:pStyle w:val="TableText"/>
              <w:spacing w:after="0"/>
            </w:pPr>
            <w:r>
              <w:rPr>
                <w:rFonts w:ascii="Calibri" w:hAnsi="Calibri"/>
                <w:b/>
                <w:color w:val="FFFFFF"/>
                <w:sz w:val="20"/>
              </w:rPr>
              <w:t>Default response</w:t>
            </w:r>
          </w:p>
        </w:tc>
      </w:tr>
      <w:tr>
        <w:trPr>
          <w:cantSplit/>
        </w:trPr>
        <w:tc>
          <w:tcPr>
            <w:tcW w:type="dxa" w:w="1644"/>
            <w:shd w:fill="F0F5F5"/>
            <w:tcMar>
              <w:top w:w="85" w:type="dxa"/>
              <w:start w:w="105" w:type="dxa"/>
              <w:bottom w:w="85" w:type="dxa"/>
              <w:end w:w="105" w:type="dxa"/>
            </w:tcMar>
            <w:vAlign w:val="top"/>
          </w:tcPr>
          <w:p>
            <w:pPr>
              <w:pStyle w:val="TableText"/>
              <w:spacing w:after="0"/>
            </w:pPr>
            <w:r>
              <w:rPr>
                <w:rFonts w:ascii="Calibri" w:hAnsi="Calibri"/>
                <w:b/>
                <w:sz w:val="20"/>
              </w:rPr>
              <w:t>Mathematics</w:t>
            </w:r>
          </w:p>
        </w:tc>
        <w:tc>
          <w:tcPr>
            <w:tcW w:type="dxa" w:w="3855"/>
            <w:shd w:fill="F0F5F5"/>
            <w:tcMar>
              <w:top w:w="85" w:type="dxa"/>
              <w:start w:w="105" w:type="dxa"/>
              <w:bottom w:w="85" w:type="dxa"/>
              <w:end w:w="105" w:type="dxa"/>
            </w:tcMar>
            <w:vAlign w:val="top"/>
          </w:tcPr>
          <w:p>
            <w:pPr>
              <w:pStyle w:val="TableText"/>
              <w:spacing w:after="0"/>
            </w:pPr>
            <w:r>
              <w:rPr>
                <w:rFonts w:ascii="Calibri" w:hAnsi="Calibri"/>
                <w:sz w:val="20"/>
              </w:rPr>
              <w:t>Positive to negative gradient; integer to fraction; direct to reverse problem.</w:t>
            </w:r>
          </w:p>
        </w:tc>
        <w:tc>
          <w:tcPr>
            <w:tcW w:type="dxa" w:w="4365"/>
            <w:shd w:fill="F0F5F5"/>
            <w:tcMar>
              <w:top w:w="85" w:type="dxa"/>
              <w:start w:w="105" w:type="dxa"/>
              <w:bottom w:w="85" w:type="dxa"/>
              <w:end w:w="105" w:type="dxa"/>
            </w:tcMar>
            <w:vAlign w:val="top"/>
          </w:tcPr>
          <w:p>
            <w:pPr>
              <w:pStyle w:val="TableText"/>
              <w:spacing w:after="0"/>
            </w:pPr>
            <w:r>
              <w:rPr>
                <w:rFonts w:ascii="Calibri" w:hAnsi="Calibri"/>
                <w:sz w:val="20"/>
              </w:rPr>
              <w:t>Retain familiar wording and useful support while the new feature is established.</w:t>
            </w:r>
          </w:p>
        </w:tc>
      </w:tr>
      <w:tr>
        <w:trPr>
          <w:cantSplit/>
        </w:trPr>
        <w:tc>
          <w:tcPr>
            <w:tcW w:type="dxa" w:w="1644"/>
            <w:shd w:fill="FAFBFC"/>
            <w:tcMar>
              <w:top w:w="85" w:type="dxa"/>
              <w:start w:w="105" w:type="dxa"/>
              <w:bottom w:w="85" w:type="dxa"/>
              <w:end w:w="105" w:type="dxa"/>
            </w:tcMar>
            <w:vAlign w:val="top"/>
          </w:tcPr>
          <w:p>
            <w:pPr>
              <w:pStyle w:val="TableText"/>
              <w:spacing w:after="0"/>
            </w:pPr>
            <w:r>
              <w:rPr>
                <w:rFonts w:ascii="Calibri" w:hAnsi="Calibri"/>
                <w:b/>
                <w:sz w:val="20"/>
              </w:rPr>
              <w:t>Presentation</w:t>
            </w:r>
          </w:p>
        </w:tc>
        <w:tc>
          <w:tcPr>
            <w:tcW w:type="dxa" w:w="3855"/>
            <w:shd w:fill="FAFBFC"/>
            <w:tcMar>
              <w:top w:w="85" w:type="dxa"/>
              <w:start w:w="105" w:type="dxa"/>
              <w:bottom w:w="85" w:type="dxa"/>
              <w:end w:w="105" w:type="dxa"/>
            </w:tcMar>
            <w:vAlign w:val="top"/>
          </w:tcPr>
          <w:p>
            <w:pPr>
              <w:pStyle w:val="TableText"/>
              <w:spacing w:after="0"/>
            </w:pPr>
            <w:r>
              <w:rPr>
                <w:rFonts w:ascii="Calibri" w:hAnsi="Calibri"/>
                <w:sz w:val="20"/>
              </w:rPr>
              <w:t>A new graph scale, rotated diagram, context or representation.</w:t>
            </w:r>
          </w:p>
        </w:tc>
        <w:tc>
          <w:tcPr>
            <w:tcW w:type="dxa" w:w="4365"/>
            <w:shd w:fill="FAFBFC"/>
            <w:tcMar>
              <w:top w:w="85" w:type="dxa"/>
              <w:start w:w="105" w:type="dxa"/>
              <w:bottom w:w="85" w:type="dxa"/>
              <w:end w:w="105" w:type="dxa"/>
            </w:tcMar>
            <w:vAlign w:val="top"/>
          </w:tcPr>
          <w:p>
            <w:pPr>
              <w:pStyle w:val="TableText"/>
              <w:spacing w:after="0"/>
            </w:pPr>
            <w:r>
              <w:rPr>
                <w:rFonts w:ascii="Calibri" w:hAnsi="Calibri"/>
                <w:sz w:val="20"/>
              </w:rPr>
              <w:t>Initially use familiar mathematics so the new presentation is the main demand.</w:t>
            </w:r>
          </w:p>
        </w:tc>
      </w:tr>
      <w:tr>
        <w:trPr>
          <w:cantSplit/>
        </w:trPr>
        <w:tc>
          <w:tcPr>
            <w:tcW w:type="dxa" w:w="1644"/>
            <w:shd w:fill="F0F5F5"/>
            <w:tcMar>
              <w:top w:w="85" w:type="dxa"/>
              <w:start w:w="105" w:type="dxa"/>
              <w:bottom w:w="85" w:type="dxa"/>
              <w:end w:w="105" w:type="dxa"/>
            </w:tcMar>
            <w:vAlign w:val="top"/>
          </w:tcPr>
          <w:p>
            <w:pPr>
              <w:pStyle w:val="TableText"/>
              <w:spacing w:after="0"/>
            </w:pPr>
            <w:r>
              <w:rPr>
                <w:rFonts w:ascii="Calibri" w:hAnsi="Calibri"/>
                <w:b/>
                <w:sz w:val="20"/>
              </w:rPr>
              <w:t>Support</w:t>
            </w:r>
          </w:p>
        </w:tc>
        <w:tc>
          <w:tcPr>
            <w:tcW w:type="dxa" w:w="3855"/>
            <w:shd w:fill="F0F5F5"/>
            <w:tcMar>
              <w:top w:w="85" w:type="dxa"/>
              <w:start w:w="105" w:type="dxa"/>
              <w:bottom w:w="85" w:type="dxa"/>
              <w:end w:w="105" w:type="dxa"/>
            </w:tcMar>
            <w:vAlign w:val="top"/>
          </w:tcPr>
          <w:p>
            <w:pPr>
              <w:pStyle w:val="TableText"/>
              <w:spacing w:after="0"/>
            </w:pPr>
            <w:r>
              <w:rPr>
                <w:rFonts w:ascii="Calibri" w:hAnsi="Calibri"/>
                <w:sz w:val="20"/>
              </w:rPr>
              <w:t>A ratio table, grid, marked point or partial solution disappears.</w:t>
            </w:r>
          </w:p>
        </w:tc>
        <w:tc>
          <w:tcPr>
            <w:tcW w:type="dxa" w:w="4365"/>
            <w:shd w:fill="F0F5F5"/>
            <w:tcMar>
              <w:top w:w="85" w:type="dxa"/>
              <w:start w:w="105" w:type="dxa"/>
              <w:bottom w:w="85" w:type="dxa"/>
              <w:end w:w="105" w:type="dxa"/>
            </w:tcMar>
            <w:vAlign w:val="top"/>
          </w:tcPr>
          <w:p>
            <w:pPr>
              <w:pStyle w:val="TableText"/>
              <w:spacing w:after="0"/>
            </w:pPr>
            <w:r>
              <w:rPr>
                <w:rFonts w:ascii="Calibri" w:hAnsi="Calibri"/>
                <w:sz w:val="20"/>
              </w:rPr>
              <w:t>Remove support first on mathematics pupils have already met successfully.</w:t>
            </w:r>
          </w:p>
        </w:tc>
      </w:tr>
    </w:tbl>
    <w:p>
      <w:pPr>
        <w:spacing w:after="0" w:before="0" w:line="96" w:lineRule="auto"/>
      </w:pPr>
      <w:r>
        <w:rPr>
          <w:rFonts w:ascii="Calibri" w:hAnsi="Calibri"/>
          <w:sz w:val="6"/>
        </w:rPr>
      </w:r>
    </w:p>
    <w:p>
      <w:pPr>
        <w:pStyle w:val="Heading2"/>
      </w:pPr>
      <w:r>
        <w:rPr>
          <w:rFonts w:ascii="Calibri" w:hAnsi="Calibri"/>
        </w:rPr>
        <w:t>A flexible fading sequence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814"/>
        <w:gridCol w:w="3827"/>
        <w:gridCol w:w="4224"/>
      </w:tblGrid>
      <w:tr>
        <w:trPr>
          <w:tblHeader w:val="true"/>
        </w:trPr>
        <w:tc>
          <w:tcPr>
            <w:tcW w:type="dxa" w:w="1814"/>
            <w:shd w:fill="203B49"/>
            <w:tcMar>
              <w:top w:w="85" w:type="dxa"/>
              <w:start w:w="105" w:type="dxa"/>
              <w:bottom w:w="85" w:type="dxa"/>
              <w:end w:w="105" w:type="dxa"/>
            </w:tcMar>
            <w:vAlign w:val="center"/>
          </w:tcPr>
          <w:p>
            <w:pPr>
              <w:pStyle w:val="TableText"/>
              <w:spacing w:after="0"/>
            </w:pPr>
            <w:r>
              <w:rPr>
                <w:rFonts w:ascii="Calibri" w:hAnsi="Calibri"/>
                <w:b/>
                <w:color w:val="FFFFFF"/>
                <w:sz w:val="20"/>
              </w:rPr>
              <w:t>Stage</w:t>
            </w:r>
          </w:p>
        </w:tc>
        <w:tc>
          <w:tcPr>
            <w:tcW w:type="dxa" w:w="3827"/>
            <w:shd w:fill="203B49"/>
            <w:tcMar>
              <w:top w:w="85" w:type="dxa"/>
              <w:start w:w="105" w:type="dxa"/>
              <w:bottom w:w="85" w:type="dxa"/>
              <w:end w:w="105" w:type="dxa"/>
            </w:tcMar>
            <w:vAlign w:val="center"/>
          </w:tcPr>
          <w:p>
            <w:pPr>
              <w:pStyle w:val="TableText"/>
              <w:spacing w:after="0"/>
            </w:pPr>
            <w:r>
              <w:rPr>
                <w:rFonts w:ascii="Calibri" w:hAnsi="Calibri"/>
                <w:b/>
                <w:color w:val="FFFFFF"/>
                <w:sz w:val="20"/>
              </w:rPr>
              <w:t>What pupils do</w:t>
            </w:r>
          </w:p>
        </w:tc>
        <w:tc>
          <w:tcPr>
            <w:tcW w:type="dxa" w:w="4224"/>
            <w:shd w:fill="203B49"/>
            <w:tcMar>
              <w:top w:w="85" w:type="dxa"/>
              <w:start w:w="105" w:type="dxa"/>
              <w:bottom w:w="85" w:type="dxa"/>
              <w:end w:w="105" w:type="dxa"/>
            </w:tcMar>
            <w:vAlign w:val="center"/>
          </w:tcPr>
          <w:p>
            <w:pPr>
              <w:pStyle w:val="TableText"/>
              <w:spacing w:after="0"/>
            </w:pPr>
            <w:r>
              <w:rPr>
                <w:rFonts w:ascii="Calibri" w:hAnsi="Calibri"/>
                <w:b/>
                <w:color w:val="FFFFFF"/>
                <w:sz w:val="20"/>
              </w:rPr>
              <w:t>Design requirement</w:t>
            </w:r>
          </w:p>
        </w:tc>
      </w:tr>
      <w:tr>
        <w:trPr>
          <w:cantSplit/>
        </w:trPr>
        <w:tc>
          <w:tcPr>
            <w:tcW w:type="dxa" w:w="1814"/>
            <w:shd w:fill="F0F5F5"/>
            <w:tcMar>
              <w:top w:w="85" w:type="dxa"/>
              <w:start w:w="105" w:type="dxa"/>
              <w:bottom w:w="85" w:type="dxa"/>
              <w:end w:w="105" w:type="dxa"/>
            </w:tcMar>
            <w:vAlign w:val="top"/>
          </w:tcPr>
          <w:p>
            <w:pPr>
              <w:pStyle w:val="TableText"/>
              <w:spacing w:after="0"/>
            </w:pPr>
            <w:r>
              <w:rPr>
                <w:rFonts w:ascii="Calibri" w:hAnsi="Calibri"/>
                <w:b/>
                <w:sz w:val="20"/>
              </w:rPr>
              <w:t>Model / our turn</w:t>
            </w:r>
          </w:p>
        </w:tc>
        <w:tc>
          <w:tcPr>
            <w:tcW w:type="dxa" w:w="3827"/>
            <w:shd w:fill="F0F5F5"/>
            <w:tcMar>
              <w:top w:w="85" w:type="dxa"/>
              <w:start w:w="105" w:type="dxa"/>
              <w:bottom w:w="85" w:type="dxa"/>
              <w:end w:w="105" w:type="dxa"/>
            </w:tcMar>
            <w:vAlign w:val="top"/>
          </w:tcPr>
          <w:p>
            <w:pPr>
              <w:pStyle w:val="TableText"/>
              <w:spacing w:after="0"/>
            </w:pPr>
            <w:r>
              <w:rPr>
                <w:rFonts w:ascii="Calibri" w:hAnsi="Calibri"/>
                <w:sz w:val="20"/>
              </w:rPr>
              <w:t>Follow or complete the method with the teacher.</w:t>
            </w:r>
          </w:p>
        </w:tc>
        <w:tc>
          <w:tcPr>
            <w:tcW w:type="dxa" w:w="4224"/>
            <w:shd w:fill="F0F5F5"/>
            <w:tcMar>
              <w:top w:w="85" w:type="dxa"/>
              <w:start w:w="105" w:type="dxa"/>
              <w:bottom w:w="85" w:type="dxa"/>
              <w:end w:w="105" w:type="dxa"/>
            </w:tcMar>
            <w:vAlign w:val="top"/>
          </w:tcPr>
          <w:p>
            <w:pPr>
              <w:pStyle w:val="TableText"/>
              <w:spacing w:after="0"/>
            </w:pPr>
            <w:r>
              <w:rPr>
                <w:rFonts w:ascii="Calibri" w:hAnsi="Calibri"/>
                <w:sz w:val="20"/>
              </w:rPr>
              <w:t>Use the representation they will encounter in independent practice.</w:t>
            </w:r>
          </w:p>
        </w:tc>
      </w:tr>
      <w:tr>
        <w:trPr>
          <w:cantSplit/>
        </w:trPr>
        <w:tc>
          <w:tcPr>
            <w:tcW w:type="dxa" w:w="1814"/>
            <w:shd w:fill="FAFBFC"/>
            <w:tcMar>
              <w:top w:w="85" w:type="dxa"/>
              <w:start w:w="105" w:type="dxa"/>
              <w:bottom w:w="85" w:type="dxa"/>
              <w:end w:w="105" w:type="dxa"/>
            </w:tcMar>
            <w:vAlign w:val="top"/>
          </w:tcPr>
          <w:p>
            <w:pPr>
              <w:pStyle w:val="TableText"/>
              <w:spacing w:after="0"/>
            </w:pPr>
            <w:r>
              <w:rPr>
                <w:rFonts w:ascii="Calibri" w:hAnsi="Calibri"/>
                <w:b/>
                <w:sz w:val="20"/>
              </w:rPr>
              <w:t>Supported practice</w:t>
            </w:r>
          </w:p>
        </w:tc>
        <w:tc>
          <w:tcPr>
            <w:tcW w:type="dxa" w:w="3827"/>
            <w:shd w:fill="FAFBFC"/>
            <w:tcMar>
              <w:top w:w="85" w:type="dxa"/>
              <w:start w:w="105" w:type="dxa"/>
              <w:bottom w:w="85" w:type="dxa"/>
              <w:end w:w="105" w:type="dxa"/>
            </w:tcMar>
            <w:vAlign w:val="top"/>
          </w:tcPr>
          <w:p>
            <w:pPr>
              <w:pStyle w:val="TableText"/>
              <w:spacing w:after="0"/>
            </w:pPr>
            <w:r>
              <w:rPr>
                <w:rFonts w:ascii="Calibri" w:hAnsi="Calibri"/>
                <w:sz w:val="20"/>
              </w:rPr>
              <w:t>Complete a grid, ratio table or partly worked calculation.</w:t>
            </w:r>
          </w:p>
        </w:tc>
        <w:tc>
          <w:tcPr>
            <w:tcW w:type="dxa" w:w="4224"/>
            <w:shd w:fill="FAFBFC"/>
            <w:tcMar>
              <w:top w:w="85" w:type="dxa"/>
              <w:start w:w="105" w:type="dxa"/>
              <w:bottom w:w="85" w:type="dxa"/>
              <w:end w:w="105" w:type="dxa"/>
            </w:tcMar>
            <w:vAlign w:val="top"/>
          </w:tcPr>
          <w:p>
            <w:pPr>
              <w:pStyle w:val="TableText"/>
              <w:spacing w:after="0"/>
            </w:pPr>
            <w:r>
              <w:rPr>
                <w:rFonts w:ascii="Calibri" w:hAnsi="Calibri"/>
                <w:sz w:val="20"/>
              </w:rPr>
              <w:t>Leave genuine decisions; do not make every answer a transcription task.</w:t>
            </w:r>
          </w:p>
        </w:tc>
      </w:tr>
      <w:tr>
        <w:trPr>
          <w:cantSplit/>
        </w:trPr>
        <w:tc>
          <w:tcPr>
            <w:tcW w:type="dxa" w:w="1814"/>
            <w:shd w:fill="F0F5F5"/>
            <w:tcMar>
              <w:top w:w="85" w:type="dxa"/>
              <w:start w:w="105" w:type="dxa"/>
              <w:bottom w:w="85" w:type="dxa"/>
              <w:end w:w="105" w:type="dxa"/>
            </w:tcMar>
            <w:vAlign w:val="top"/>
          </w:tcPr>
          <w:p>
            <w:pPr>
              <w:pStyle w:val="TableText"/>
              <w:spacing w:after="0"/>
            </w:pPr>
            <w:r>
              <w:rPr>
                <w:rFonts w:ascii="Calibri" w:hAnsi="Calibri"/>
                <w:b/>
                <w:sz w:val="20"/>
              </w:rPr>
              <w:t>Reduced support</w:t>
            </w:r>
          </w:p>
        </w:tc>
        <w:tc>
          <w:tcPr>
            <w:tcW w:type="dxa" w:w="3827"/>
            <w:shd w:fill="F0F5F5"/>
            <w:tcMar>
              <w:top w:w="85" w:type="dxa"/>
              <w:start w:w="105" w:type="dxa"/>
              <w:bottom w:w="85" w:type="dxa"/>
              <w:end w:w="105" w:type="dxa"/>
            </w:tcMar>
            <w:vAlign w:val="top"/>
          </w:tcPr>
          <w:p>
            <w:pPr>
              <w:pStyle w:val="TableText"/>
              <w:spacing w:after="0"/>
            </w:pPr>
            <w:r>
              <w:rPr>
                <w:rFonts w:ascii="Calibri" w:hAnsi="Calibri"/>
                <w:sz w:val="20"/>
              </w:rPr>
              <w:t>Use a blank structure or one short prompt.</w:t>
            </w:r>
          </w:p>
        </w:tc>
        <w:tc>
          <w:tcPr>
            <w:tcW w:type="dxa" w:w="4224"/>
            <w:shd w:fill="F0F5F5"/>
            <w:tcMar>
              <w:top w:w="85" w:type="dxa"/>
              <w:start w:w="105" w:type="dxa"/>
              <w:bottom w:w="85" w:type="dxa"/>
              <w:end w:w="105" w:type="dxa"/>
            </w:tcMar>
            <w:vAlign w:val="top"/>
          </w:tcPr>
          <w:p>
            <w:pPr>
              <w:pStyle w:val="TableText"/>
              <w:spacing w:after="0"/>
            </w:pPr>
            <w:r>
              <w:rPr>
                <w:rFonts w:ascii="Calibri" w:hAnsi="Calibri"/>
                <w:sz w:val="20"/>
              </w:rPr>
              <w:t>Keep the mathematics familiar while the support is reduced.</w:t>
            </w:r>
          </w:p>
        </w:tc>
      </w:tr>
      <w:tr>
        <w:trPr>
          <w:cantSplit/>
        </w:trPr>
        <w:tc>
          <w:tcPr>
            <w:tcW w:type="dxa" w:w="1814"/>
            <w:shd w:fill="FAFBFC"/>
            <w:tcMar>
              <w:top w:w="85" w:type="dxa"/>
              <w:start w:w="105" w:type="dxa"/>
              <w:bottom w:w="85" w:type="dxa"/>
              <w:end w:w="105" w:type="dxa"/>
            </w:tcMar>
            <w:vAlign w:val="top"/>
          </w:tcPr>
          <w:p>
            <w:pPr>
              <w:pStyle w:val="TableText"/>
              <w:spacing w:after="0"/>
            </w:pPr>
            <w:r>
              <w:rPr>
                <w:rFonts w:ascii="Calibri" w:hAnsi="Calibri"/>
                <w:b/>
                <w:sz w:val="20"/>
              </w:rPr>
              <w:t>Independent practice</w:t>
            </w:r>
          </w:p>
        </w:tc>
        <w:tc>
          <w:tcPr>
            <w:tcW w:type="dxa" w:w="3827"/>
            <w:shd w:fill="FAFBFC"/>
            <w:tcMar>
              <w:top w:w="85" w:type="dxa"/>
              <w:start w:w="105" w:type="dxa"/>
              <w:bottom w:w="85" w:type="dxa"/>
              <w:end w:w="105" w:type="dxa"/>
            </w:tcMar>
            <w:vAlign w:val="top"/>
          </w:tcPr>
          <w:p>
            <w:pPr>
              <w:pStyle w:val="TableText"/>
              <w:spacing w:after="0"/>
            </w:pPr>
            <w:r>
              <w:rPr>
                <w:rFonts w:ascii="Calibri" w:hAnsi="Calibri"/>
                <w:sz w:val="20"/>
              </w:rPr>
              <w:t>Choose and record the method without the structure.</w:t>
            </w:r>
          </w:p>
        </w:tc>
        <w:tc>
          <w:tcPr>
            <w:tcW w:type="dxa" w:w="4224"/>
            <w:shd w:fill="FAFBFC"/>
            <w:tcMar>
              <w:top w:w="85" w:type="dxa"/>
              <w:start w:w="105" w:type="dxa"/>
              <w:bottom w:w="85" w:type="dxa"/>
              <w:end w:w="105" w:type="dxa"/>
            </w:tcMar>
            <w:vAlign w:val="top"/>
          </w:tcPr>
          <w:p>
            <w:pPr>
              <w:pStyle w:val="TableText"/>
              <w:spacing w:after="0"/>
            </w:pPr>
            <w:r>
              <w:rPr>
                <w:rFonts w:ascii="Calibri" w:hAnsi="Calibri"/>
                <w:sz w:val="20"/>
              </w:rPr>
              <w:t>Leave enough blank space for the full working, not just the answer.</w:t>
            </w:r>
          </w:p>
        </w:tc>
      </w:tr>
    </w:tbl>
    <w:p>
      <w:pPr>
        <w:spacing w:after="0" w:before="0" w:line="96" w:lineRule="auto"/>
      </w:pPr>
      <w:r>
        <w:rPr>
          <w:rFonts w:ascii="Calibri" w:hAnsi="Calibri"/>
          <w:sz w:val="6"/>
        </w:rPr>
      </w:r>
    </w:p>
    <w:p>
      <w:r>
        <w:rPr>
          <w:rFonts w:ascii="Calibri" w:hAnsi="Calibri"/>
        </w:rPr>
        <w:t>Do not attach these stages to fixed question numbers for every class. Give enough straightforward practice before less standard questions. A later mixed task can deliberately combine demands once the component ideas are secure.</w:t>
      </w:r>
    </w:p>
    <w:p>
      <w:pPr>
        <w:pStyle w:val="Heading2"/>
      </w:pPr>
      <w:r>
        <w:rPr>
          <w:rFonts w:ascii="Calibri" w:hAnsi="Calibri"/>
        </w:rPr>
        <w:t>Change the task when another calculation will not help</w:t>
      </w:r>
    </w:p>
    <w:p>
      <w:r>
        <w:rPr>
          <w:rFonts w:ascii="Calibri" w:hAnsi="Calibri"/>
        </w:rPr>
        <w:t>Where pupils struggle to begin, consider matching an expression to a completed grid, choosing between methods, completing one missing part or correcting a specific error. Return to constructing the solution independently; success in matching alone is not the final check.</w:t>
      </w:r>
    </w:p>
    <w:p>
      <w:pPr>
        <w:pStyle w:val="Heading2"/>
      </w:pPr>
      <w:r>
        <w:rPr>
          <w:rFonts w:ascii="Calibri" w:hAnsi="Calibri"/>
        </w:rPr>
        <w:t>Independence after the pattern</w:t>
      </w:r>
    </w:p>
    <w:p>
      <w:r>
        <w:rPr>
          <w:rFonts w:ascii="Calibri" w:hAnsi="Calibri"/>
        </w:rPr>
        <w:t>Finish a practice sequence with mixed questions where earlier examples no longer supply the answer structure. Where useful, plan a later starter with fresh numbers or presentation. Do not leave section labels or method hints that defeat an intended method-selection task.</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Check each transition:</w:t>
            </w:r>
            <w:r>
              <w:rPr>
                <w:rFonts w:ascii="Calibri" w:hAnsi="Calibri"/>
              </w:rPr>
              <w:t xml:space="preserve"> Have we changed the mathematics, changed the presentation and removed support at once? Where this is deliberate, make its purpose clear in the teacher plan.</w:t>
            </w:r>
          </w:p>
        </w:tc>
      </w:tr>
    </w:tbl>
    <w:p>
      <w:pPr>
        <w:spacing w:after="0" w:line="96" w:lineRule="auto"/>
      </w:pPr>
      <w:r>
        <w:rPr>
          <w:rFonts w:ascii="Calibri" w:hAnsi="Calibri"/>
          <w:sz w:val="6"/>
        </w:rPr>
      </w:r>
    </w:p>
    <w:p>
      <w:pPr>
        <w:pStyle w:val="Label"/>
        <w:keepNext/>
        <w:pageBreakBefore/>
      </w:pPr>
      <w:r>
        <w:rPr>
          <w:rFonts w:ascii="Calibri" w:hAnsi="Calibri"/>
        </w:rPr>
        <w:t>03  /  PURPOSEFUL COMPARISON</w:t>
      </w:r>
    </w:p>
    <w:p>
      <w:pPr>
        <w:pStyle w:val="Heading1"/>
      </w:pPr>
      <w:r>
        <w:rPr>
          <w:rFonts w:ascii="Calibri" w:hAnsi="Calibri"/>
        </w:rPr>
        <w:t>Make the relationship visible</w:t>
      </w:r>
    </w:p>
    <w:p>
      <w:r>
        <w:rPr>
          <w:rFonts w:ascii="Calibri" w:hAnsi="Calibri"/>
        </w:rPr>
        <w:t>Barton’s reflect–expect–check–explain approach asks pupils to consider the change, predict its effect, calculate and then explain. Use selected spoken or projected prompts rather than requiring a written explanation after every calculation. [2]</w:t>
      </w:r>
    </w:p>
    <w:p>
      <w:pPr>
        <w:pStyle w:val="Heading2"/>
      </w:pPr>
      <w:r>
        <w:rPr>
          <w:rFonts w:ascii="Calibri" w:hAnsi="Calibri"/>
        </w:rPr>
        <w:t>Example A: triangle area</w:t>
      </w:r>
    </w:p>
    <w:p>
      <w:r>
        <w:rPr>
          <w:rFonts w:ascii="Calibri" w:hAnsi="Calibri"/>
          <w:b/>
        </w:rPr>
        <w:t>Design-brief exemplar.</w:t>
      </w:r>
      <w:r>
        <w:rPr>
          <w:rFonts w:ascii="Calibri" w:hAnsi="Calibri"/>
        </w:rPr>
        <w:t xml:space="preserve"> Tim requested four different triangles, all with base 6 and perpendicular height 4. This is a recorded design intention; it is not recorded here as evidence of a successful lesson. [1]</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494"/>
        <w:gridCol w:w="3515"/>
        <w:gridCol w:w="3855"/>
      </w:tblGrid>
      <w:tr>
        <w:trPr>
          <w:tblHeader w:val="true"/>
        </w:trPr>
        <w:tc>
          <w:tcPr>
            <w:tcW w:type="dxa" w:w="2494"/>
            <w:shd w:fill="203B49"/>
            <w:tcMar>
              <w:top w:w="85" w:type="dxa"/>
              <w:start w:w="105" w:type="dxa"/>
              <w:bottom w:w="85" w:type="dxa"/>
              <w:end w:w="105" w:type="dxa"/>
            </w:tcMar>
            <w:vAlign w:val="center"/>
          </w:tcPr>
          <w:p>
            <w:pPr>
              <w:pStyle w:val="TableText"/>
              <w:spacing w:after="0"/>
            </w:pPr>
            <w:r>
              <w:rPr>
                <w:rFonts w:ascii="Calibri" w:hAnsi="Calibri"/>
                <w:b/>
                <w:color w:val="FFFFFF"/>
                <w:sz w:val="20"/>
              </w:rPr>
              <w:t>Keep constant</w:t>
            </w:r>
          </w:p>
        </w:tc>
        <w:tc>
          <w:tcPr>
            <w:tcW w:type="dxa" w:w="3515"/>
            <w:shd w:fill="203B49"/>
            <w:tcMar>
              <w:top w:w="85" w:type="dxa"/>
              <w:start w:w="105" w:type="dxa"/>
              <w:bottom w:w="85" w:type="dxa"/>
              <w:end w:w="105" w:type="dxa"/>
            </w:tcMar>
            <w:vAlign w:val="center"/>
          </w:tcPr>
          <w:p>
            <w:pPr>
              <w:pStyle w:val="TableText"/>
              <w:spacing w:after="0"/>
            </w:pPr>
            <w:r>
              <w:rPr>
                <w:rFonts w:ascii="Calibri" w:hAnsi="Calibri"/>
                <w:b/>
                <w:color w:val="FFFFFF"/>
                <w:sz w:val="20"/>
              </w:rPr>
              <w:t>Vary deliberately</w:t>
            </w:r>
          </w:p>
        </w:tc>
        <w:tc>
          <w:tcPr>
            <w:tcW w:type="dxa" w:w="3855"/>
            <w:shd w:fill="203B49"/>
            <w:tcMar>
              <w:top w:w="85" w:type="dxa"/>
              <w:start w:w="105" w:type="dxa"/>
              <w:bottom w:w="85" w:type="dxa"/>
              <w:end w:w="105" w:type="dxa"/>
            </w:tcMar>
            <w:vAlign w:val="center"/>
          </w:tcPr>
          <w:p>
            <w:pPr>
              <w:pStyle w:val="TableText"/>
              <w:spacing w:after="0"/>
            </w:pPr>
            <w:r>
              <w:rPr>
                <w:rFonts w:ascii="Calibri" w:hAnsi="Calibri"/>
                <w:b/>
                <w:color w:val="FFFFFF"/>
                <w:sz w:val="20"/>
              </w:rPr>
              <w:t>Intended insight</w:t>
            </w:r>
          </w:p>
        </w:tc>
      </w:tr>
      <w:tr>
        <w:trPr>
          <w:cantSplit/>
        </w:trPr>
        <w:tc>
          <w:tcPr>
            <w:tcW w:type="dxa" w:w="2494"/>
            <w:shd w:fill="F0F5F5"/>
            <w:tcMar>
              <w:top w:w="85" w:type="dxa"/>
              <w:start w:w="105" w:type="dxa"/>
              <w:bottom w:w="85" w:type="dxa"/>
              <w:end w:w="105" w:type="dxa"/>
            </w:tcMar>
            <w:vAlign w:val="top"/>
          </w:tcPr>
          <w:p>
            <w:pPr>
              <w:pStyle w:val="TableText"/>
              <w:spacing w:after="0"/>
            </w:pPr>
            <w:r>
              <w:rPr>
                <w:rFonts w:ascii="Calibri" w:hAnsi="Calibri"/>
                <w:sz w:val="20"/>
              </w:rPr>
              <w:t>Base 6 and perpendicular height 4.</w:t>
            </w:r>
          </w:p>
        </w:tc>
        <w:tc>
          <w:tcPr>
            <w:tcW w:type="dxa" w:w="3515"/>
            <w:shd w:fill="F0F5F5"/>
            <w:tcMar>
              <w:top w:w="85" w:type="dxa"/>
              <w:start w:w="105" w:type="dxa"/>
              <w:bottom w:w="85" w:type="dxa"/>
              <w:end w:w="105" w:type="dxa"/>
            </w:tcMar>
            <w:vAlign w:val="top"/>
          </w:tcPr>
          <w:p>
            <w:pPr>
              <w:pStyle w:val="TableText"/>
              <w:spacing w:after="0"/>
            </w:pPr>
            <w:r>
              <w:rPr>
                <w:rFonts w:ascii="Calibri" w:hAnsi="Calibri"/>
                <w:sz w:val="20"/>
              </w:rPr>
              <w:t>The position of the third vertex, so the triangles have different shapes.</w:t>
            </w:r>
          </w:p>
        </w:tc>
        <w:tc>
          <w:tcPr>
            <w:tcW w:type="dxa" w:w="3855"/>
            <w:shd w:fill="F0F5F5"/>
            <w:tcMar>
              <w:top w:w="85" w:type="dxa"/>
              <w:start w:w="105" w:type="dxa"/>
              <w:bottom w:w="85" w:type="dxa"/>
              <w:end w:w="105" w:type="dxa"/>
            </w:tcMar>
            <w:vAlign w:val="top"/>
          </w:tcPr>
          <w:p>
            <w:pPr>
              <w:pStyle w:val="TableText"/>
              <w:spacing w:after="0"/>
            </w:pPr>
            <w:r>
              <w:rPr>
                <w:rFonts w:ascii="Calibri" w:hAnsi="Calibri"/>
                <w:sz w:val="20"/>
              </w:rPr>
              <w:t>Area remains 12 square units despite the change in shape.</w:t>
            </w:r>
          </w:p>
        </w:tc>
      </w:tr>
    </w:tbl>
    <w:p>
      <w:pPr>
        <w:spacing w:after="0" w:before="0" w:line="96" w:lineRule="auto"/>
      </w:pPr>
      <w:r>
        <w:rPr>
          <w:rFonts w:ascii="Calibri" w:hAnsi="Calibri"/>
          <w:sz w:val="6"/>
        </w:rPr>
      </w:r>
    </w:p>
    <w:p>
      <w:r>
        <w:rPr>
          <w:rFonts w:ascii="Calibri" w:hAnsi="Calibri"/>
        </w:rPr>
        <w:t>Keep the base and height clearly identifiable. Do not accidentally replace perpendicular height with a sloping side. Introduce an external height separately if recognising it would create an additional challenge.</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Pupil prompt:</w:t>
            </w:r>
            <w:r>
              <w:rPr>
                <w:rFonts w:ascii="Calibri" w:hAnsi="Calibri"/>
              </w:rPr>
              <w:t xml:space="preserve"> Before calculating the next area, predict whether it will be larger, smaller or the same. Which measurements matter?</w:t>
            </w:r>
          </w:p>
        </w:tc>
      </w:tr>
    </w:tbl>
    <w:p>
      <w:pPr>
        <w:spacing w:after="0" w:line="96" w:lineRule="auto"/>
      </w:pPr>
      <w:r>
        <w:rPr>
          <w:rFonts w:ascii="Calibri" w:hAnsi="Calibri"/>
          <w:sz w:val="6"/>
        </w:rPr>
      </w:r>
    </w:p>
    <w:p>
      <w:pPr>
        <w:pStyle w:val="Heading2"/>
      </w:pPr>
      <w:r>
        <w:rPr>
          <w:rFonts w:ascii="Calibri" w:hAnsi="Calibri"/>
        </w:rPr>
        <w:t>Example B: factorising with a negative constant</w:t>
      </w:r>
    </w:p>
    <w:p>
      <w:r>
        <w:rPr>
          <w:rFonts w:ascii="Calibri" w:hAnsi="Calibri"/>
          <w:b/>
        </w:rPr>
        <w:t>Illustrative application, not a previously trialled resource.</w:t>
      </w:r>
      <w:r>
        <w:rPr>
          <w:rFonts w:ascii="Calibri" w:hAnsi="Calibri"/>
        </w:rPr>
        <w:t xml:space="preserve"> The pair below was proposed in this discussion to focus attention on the signs of the factors.</w:t>
      </w:r>
    </w:p>
    <w:p>
      <w:pPr>
        <w:spacing w:after="60"/>
        <w:ind w:left="198"/>
      </w:pPr>
      <m:oMath>
        <m:r>
          <m:t/>
        </m:r>
        <m:r>
          <m:t>x² + 2x − 15 = (x + 5)(x − 3)</m:t>
        </m:r>
      </m:oMath>
    </w:p>
    <w:p>
      <w:pPr>
        <w:spacing w:after="60"/>
        <w:ind w:left="198"/>
      </w:pPr>
      <m:oMath>
        <m:r>
          <m:t/>
        </m:r>
        <m:r>
          <m:t>x² − 2x − 15 = (x + 3)(x − 5)</m:t>
        </m:r>
      </m:oMath>
    </w:p>
    <w:p>
      <w:r>
        <w:rPr>
          <w:rFonts w:ascii="Calibri" w:hAnsi="Calibri"/>
        </w:rPr>
        <w:t>The product stays at −15 and the absolute values remain 3 and 5. Reversing which number is negative changes the sum from +2 to −2. For pupils not ready to factorise independently, begin by matching completed grids to the expressions, then remove that support.</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Pupil prompt:</w:t>
            </w:r>
            <w:r>
              <w:rPr>
                <w:rFonts w:ascii="Calibri" w:hAnsi="Calibri"/>
              </w:rPr>
              <w:t xml:space="preserve"> The constant term has not changed. What must change in the grid to make the middle term negative?</w:t>
            </w:r>
          </w:p>
        </w:tc>
      </w:tr>
    </w:tbl>
    <w:p>
      <w:pPr>
        <w:spacing w:after="0" w:line="96" w:lineRule="auto"/>
      </w:pPr>
      <w:r>
        <w:rPr>
          <w:rFonts w:ascii="Calibri" w:hAnsi="Calibri"/>
          <w:sz w:val="6"/>
        </w:rPr>
      </w:r>
    </w:p>
    <w:p>
      <w:pPr>
        <w:pStyle w:val="Heading2"/>
      </w:pPr>
      <w:r>
        <w:rPr>
          <w:rFonts w:ascii="Calibri" w:hAnsi="Calibri"/>
        </w:rPr>
        <w:t>Arrange the questions to support the comparison</w:t>
      </w:r>
    </w:p>
    <w:p>
      <w:r>
        <w:rPr>
          <w:rFonts w:ascii="Calibri" w:hAnsi="Calibri"/>
        </w:rPr>
        <w:t>Keep a useful pair adjacent, rather than across a page turn or distant columns. For projected examples, showing the previous question alongside the current one can make the comparison explicit. Keep graph scales and visual conventions stable unless changing them is the point. [2]</w:t>
      </w:r>
    </w:p>
    <w:p>
      <w:r>
        <w:rPr>
          <w:rFonts w:ascii="Calibri" w:hAnsi="Calibri"/>
        </w:rPr>
        <w:t>After a focused pair or chain, use a fresh question without the matching neighbour. Comparison should prepare pupils for independent mathematics, not replace it.</w:t>
      </w:r>
    </w:p>
    <w:p>
      <w:pPr>
        <w:pStyle w:val="Label"/>
        <w:keepNext/>
        <w:pageBreakBefore/>
      </w:pPr>
      <w:r>
        <w:rPr>
          <w:rFonts w:ascii="Calibri" w:hAnsi="Calibri"/>
        </w:rPr>
        <w:t>04  /  REPRESENTATIONS</w:t>
      </w:r>
    </w:p>
    <w:p>
      <w:pPr>
        <w:pStyle w:val="Heading1"/>
      </w:pPr>
      <w:r>
        <w:rPr>
          <w:rFonts w:ascii="Calibri" w:hAnsi="Calibri"/>
        </w:rPr>
        <w:t>Notation, diagrams and working space</w:t>
      </w:r>
    </w:p>
    <w:p>
      <w:pPr>
        <w:pStyle w:val="Heading2"/>
      </w:pPr>
      <w:r>
        <w:rPr>
          <w:rFonts w:ascii="Calibri" w:hAnsi="Calibri"/>
        </w:rPr>
        <w:t>Ratio tables and gradients</w:t>
      </w:r>
    </w:p>
    <w:p>
      <w:r>
        <w:rPr>
          <w:rFonts w:ascii="Calibri" w:hAnsi="Calibri"/>
        </w:rPr>
        <w:t>Use Tim’s established ratio-table conventions where relevant: mathematical italic x and y, distinct from the multiplication sign ×; headings x → and y ↑; clear entries and a genuinely blank answer space. Do not reintroduce decorative downward arrows. [1]</w:t>
      </w:r>
    </w:p>
    <w:tbl>
      <w:tblPr>
        <w:tblW w:type="auto" w:w="0"/>
        <w:jc w:val="left"/>
        <w:tblLayout w:type="fixed"/>
        <w:tblLook w:firstColumn="1" w:firstRow="1" w:lastColumn="0" w:lastRow="0" w:noHBand="0" w:noVBand="1" w:val="04A0"/>
        <w:tblInd w:w="110" w:type="dxa"/>
      </w:tblPr>
      <w:tblGrid>
        <w:gridCol w:w="1361"/>
        <w:gridCol w:w="1361"/>
      </w:tblGrid>
      <w:tr>
        <w:trPr>
          <w:tblHeader/>
        </w:trPr>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Times New Roman" w:hAnsi="Times New Roman"/>
                <w:b w:val="0"/>
                <w:i/>
                <w:sz w:val="24"/>
              </w:rPr>
              <w:t>x</w:t>
            </w:r>
            <w:r>
              <w:rPr>
                <w:rFonts w:ascii="Calibri" w:hAnsi="Calibri"/>
                <w:b w:val="0"/>
                <w:i w:val="0"/>
                <w:sz w:val="22"/>
              </w:rPr>
              <w:t xml:space="preserve"> →</w:t>
            </w:r>
          </w:p>
        </w:tc>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Times New Roman" w:hAnsi="Times New Roman"/>
                <w:b w:val="0"/>
                <w:i/>
                <w:sz w:val="24"/>
              </w:rPr>
              <w:t>y</w:t>
            </w:r>
            <w:r>
              <w:rPr>
                <w:rFonts w:ascii="Calibri" w:hAnsi="Calibri"/>
                <w:b w:val="0"/>
                <w:i w:val="0"/>
                <w:sz w:val="22"/>
              </w:rPr>
              <w:t xml:space="preserve"> ↑</w:t>
            </w:r>
          </w:p>
        </w:tc>
      </w:tr>
      <w:tr>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Calibri" w:hAnsi="Calibri"/>
                <w:sz w:val="22"/>
              </w:rPr>
              <w:t>4</w:t>
            </w:r>
          </w:p>
        </w:tc>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Calibri" w:hAnsi="Calibri"/>
                <w:sz w:val="22"/>
              </w:rPr>
              <w:t>8</w:t>
            </w:r>
          </w:p>
        </w:tc>
      </w:tr>
      <w:tr>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Calibri" w:hAnsi="Calibri"/>
                <w:sz w:val="22"/>
              </w:rPr>
              <w:t>1</w:t>
            </w:r>
          </w:p>
        </w:tc>
        <w:tc>
          <w:tcPr>
            <w:tcW w:type="dxa" w:w="1361"/>
            <w:tcMar>
              <w:top w:w="55" w:type="dxa"/>
              <w:start w:w="80" w:type="dxa"/>
              <w:bottom w:w="55" w:type="dxa"/>
              <w:end w:w="80" w:type="dxa"/>
            </w:tcMar>
            <w:vAlign w:val="center"/>
            <w:tcBorders>
              <w:top w:val="single" w:sz="6" w:color="25333B"/>
              <w:left w:val="single" w:sz="6" w:color="25333B"/>
              <w:bottom w:val="single" w:sz="6" w:color="25333B"/>
              <w:right w:val="single" w:sz="6" w:color="25333B"/>
            </w:tcBorders>
          </w:tcPr>
          <w:p>
            <w:pPr>
              <w:spacing w:after="0"/>
              <w:jc w:val="center"/>
            </w:pPr>
            <w:r>
              <w:rPr>
                <w:rFonts w:ascii="Calibri" w:hAnsi="Calibri"/>
                <w:sz w:val="22"/>
              </w:rPr>
              <w:t>________</w:t>
            </w:r>
          </w:p>
        </w:tc>
      </w:tr>
    </w:tbl>
    <w:p>
      <w:pPr>
        <w:pStyle w:val="Small"/>
      </w:pPr>
      <w:r>
        <w:rPr>
          <w:rFonts w:ascii="Calibri" w:hAnsi="Calibri"/>
        </w:rPr>
        <w:t>In a gradient movement table, the entries represent changes in x and y, not a point’s coordinates. Label a coordinate/value table appropriately when that is the intended representation. Do not blur the two meanings.</w:t>
      </w:r>
    </w:p>
    <w:p>
      <w:pPr>
        <w:pStyle w:val="Heading2"/>
      </w:pPr>
      <w:r>
        <w:rPr>
          <w:rFonts w:ascii="Calibri" w:hAnsi="Calibri"/>
        </w:rPr>
        <w:t>Coordinate grids</w:t>
      </w:r>
    </w:p>
    <w:p>
      <w:r>
        <w:rPr>
          <w:rFonts w:ascii="Calibri" w:hAnsi="Calibri"/>
        </w:rPr>
        <w:t>Provide grids tall and spacious enough for pupils to label axes and show their working. Keep tick labels clear, and check the scale on each axis. Add room without accidentally stretching one axis or changing the intended unit geometry. Use labelled changes rather than visual steepness when axes have different scales.</w:t>
      </w:r>
    </w:p>
    <w:p>
      <w:r>
        <w:rPr>
          <w:rFonts w:ascii="Calibri" w:hAnsi="Calibri"/>
        </w:rPr>
        <w:t>Where movement triangles are used, put the horizontal change by the horizontal leg and the vertical change by the vertical leg. Avoid a layout that suggests pupils should calculate the diagonal distance. Fade marked points, movement triangles and tables deliberately. [1]</w:t>
      </w:r>
    </w:p>
    <w:p>
      <w:pPr>
        <w:pStyle w:val="Heading2"/>
      </w:pPr>
      <w:r>
        <w:rPr>
          <w:rFonts w:ascii="Calibri" w:hAnsi="Calibri"/>
        </w:rPr>
        <w:t>Work down the page</w:t>
      </w:r>
    </w:p>
    <w:p>
      <w:r>
        <w:rPr>
          <w:rFonts w:ascii="Calibri" w:hAnsi="Calibri"/>
        </w:rPr>
        <w:t>Provide a new line for each stage of working, generally with one equals sign per line. Use horizontal fraction bars in worked examples and fading scaffolds rather than inline slash notation. [1]</w:t>
      </w:r>
    </w:p>
    <w:p>
      <w:pPr>
        <w:spacing w:after="60"/>
        <w:ind w:left="198"/>
      </w:pPr>
      <m:oMath>
        <m:r>
          <m:t>A = </m:t>
        </m:r>
        <m:f>
          <m:fPr>
            <m:type m:val="bar"/>
          </m:fPr>
          <m:num>
            <m:r>
              <m:t>6 × 4</m:t>
            </m:r>
          </m:num>
          <m:den>
            <m:r>
              <m:t>2</m:t>
            </m:r>
          </m:den>
        </m:f>
      </m:oMath>
    </w:p>
    <w:p>
      <w:pPr>
        <w:spacing w:after="60"/>
        <w:ind w:left="198"/>
      </w:pPr>
      <m:oMath>
        <m:r>
          <m:t>A = </m:t>
        </m:r>
        <m:f>
          <m:fPr>
            <m:type m:val="bar"/>
          </m:fPr>
          <m:num>
            <m:r>
              <m:t>24</m:t>
            </m:r>
          </m:num>
          <m:den>
            <m:r>
              <m:t>2</m:t>
            </m:r>
          </m:den>
        </m:f>
      </m:oMath>
    </w:p>
    <w:p>
      <w:pPr>
        <w:spacing w:after="60"/>
        <w:ind w:left="198"/>
      </w:pPr>
      <m:oMath>
        <m:r>
          <m:t>A = </m:t>
        </m:r>
        <m:r>
          <m:t>12</m:t>
        </m:r>
      </m:oMath>
    </w:p>
    <w:p>
      <w:r>
        <w:rPr>
          <w:rFonts w:ascii="Calibri" w:hAnsi="Calibri"/>
        </w:rPr>
        <w:t>The final independent questions need blank working space, not permanently printed denominator bars. Keep the final answer area distinct from the working where it helps pupils organise their solution.</w:t>
      </w:r>
    </w:p>
    <w:p>
      <w:pPr>
        <w:pStyle w:val="Heading2"/>
      </w:pPr>
      <w:r>
        <w:rPr>
          <w:rFonts w:ascii="Calibri" w:hAnsi="Calibri"/>
        </w:rPr>
        <w:t>Geometry and diagrams</w:t>
      </w:r>
    </w:p>
    <w:p>
      <w:r>
        <w:rPr>
          <w:rFonts w:ascii="Calibri" w:hAnsi="Calibri"/>
        </w:rPr>
        <w:t>Attach each label unambiguously to the correct side, angle or point. Show perpendicular heights and right-angle markings where needed. Check that the diagram and question agree and that labels do not collide. Preserve approved grid methods and diagram conventions when revising an existing resource.</w:t>
      </w:r>
    </w:p>
    <w:p>
      <w:pPr>
        <w:pStyle w:val="Heading2"/>
      </w:pPr>
      <w:r>
        <w:t>Shared information and reminder cards</w:t>
      </w:r>
    </w:p>
    <w:p>
      <w:pPr/>
      <w:r>
        <w:t>Use one consistent visual convention for shared information and reminders, whether an experiment diagram, repeated data, a definition or a short notation cue. Repeat useful information near the questions that need it, including midway through a sequence. Use a very pale tint of the surrounding section’s accent colour (not always blue); omit question-number badges and prominent borders. Keep wording, diagram proportions, typography and spacing consistent, with sufficient greyscale contrast. These cards should reduce the need to search backwards or remember details, rather than add decoration.</w:t>
      </w:r>
    </w:p>
    <w:p>
      <w:pPr>
        <w:pStyle w:val="Label"/>
        <w:keepNext/>
        <w:pageBreakBefore/>
      </w:pPr>
      <w:r>
        <w:rPr>
          <w:rFonts w:ascii="Calibri" w:hAnsi="Calibri"/>
        </w:rPr>
        <w:t>05  /  PRODUCTION</w:t>
      </w:r>
    </w:p>
    <w:p>
      <w:pPr>
        <w:pStyle w:val="Heading1"/>
      </w:pPr>
      <w:r>
        <w:rPr>
          <w:rFonts w:ascii="Calibri" w:hAnsi="Calibri"/>
        </w:rPr>
        <w:t>Produce a clean, consistent resource</w:t>
      </w:r>
    </w:p>
    <w:p>
      <w:pPr>
        <w:pStyle w:val="Heading2"/>
      </w:pPr>
      <w:r>
        <w:rPr>
          <w:rFonts w:ascii="Calibri" w:hAnsi="Calibri"/>
        </w:rPr>
        <w:t>Choose the format from the brief</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98"/>
        <w:gridCol w:w="7767"/>
      </w:tblGrid>
      <w:tr>
        <w:trPr>
          <w:tblHeader w:val="true"/>
        </w:trPr>
        <w:tc>
          <w:tcPr>
            <w:tcW w:type="dxa" w:w="2098"/>
            <w:shd w:fill="203B49"/>
            <w:tcMar>
              <w:top w:w="85" w:type="dxa"/>
              <w:start w:w="105" w:type="dxa"/>
              <w:bottom w:w="85" w:type="dxa"/>
              <w:end w:w="105" w:type="dxa"/>
            </w:tcMar>
            <w:vAlign w:val="center"/>
          </w:tcPr>
          <w:p>
            <w:pPr>
              <w:pStyle w:val="TableText"/>
              <w:spacing w:after="0"/>
            </w:pPr>
            <w:r>
              <w:rPr>
                <w:rFonts w:ascii="Calibri" w:hAnsi="Calibri"/>
                <w:b/>
                <w:color w:val="FFFFFF"/>
                <w:sz w:val="20"/>
              </w:rPr>
              <w:t>Resource</w:t>
            </w:r>
          </w:p>
        </w:tc>
        <w:tc>
          <w:tcPr>
            <w:tcW w:type="dxa" w:w="7767"/>
            <w:shd w:fill="203B49"/>
            <w:tcMar>
              <w:top w:w="85" w:type="dxa"/>
              <w:start w:w="105" w:type="dxa"/>
              <w:bottom w:w="85" w:type="dxa"/>
              <w:end w:w="105" w:type="dxa"/>
            </w:tcMar>
            <w:vAlign w:val="center"/>
          </w:tcPr>
          <w:p>
            <w:pPr>
              <w:pStyle w:val="TableText"/>
              <w:spacing w:after="0"/>
            </w:pPr>
            <w:r>
              <w:rPr>
                <w:rFonts w:ascii="Calibri" w:hAnsi="Calibri"/>
                <w:b/>
                <w:color w:val="FFFFFF"/>
                <w:sz w:val="20"/>
              </w:rPr>
              <w:t>Usual approach, unless the request says otherwise</w:t>
            </w:r>
          </w:p>
        </w:tc>
      </w:tr>
      <w:tr>
        <w:trPr>
          <w:cantSplit/>
        </w:trPr>
        <w:tc>
          <w:tcPr>
            <w:tcW w:type="dxa" w:w="2098"/>
            <w:shd w:fill="F0F5F5"/>
            <w:tcMar>
              <w:top w:w="85" w:type="dxa"/>
              <w:start w:w="105" w:type="dxa"/>
              <w:bottom w:w="85" w:type="dxa"/>
              <w:end w:w="105" w:type="dxa"/>
            </w:tcMar>
            <w:vAlign w:val="top"/>
          </w:tcPr>
          <w:p>
            <w:pPr>
              <w:pStyle w:val="TableText"/>
              <w:spacing w:after="0"/>
            </w:pPr>
            <w:r>
              <w:rPr>
                <w:rFonts w:ascii="Calibri" w:hAnsi="Calibri"/>
                <w:b/>
                <w:sz w:val="20"/>
              </w:rPr>
              <w:t>Write-on worksheet</w:t>
            </w:r>
          </w:p>
        </w:tc>
        <w:tc>
          <w:tcPr>
            <w:tcW w:type="dxa" w:w="7767"/>
            <w:shd w:fill="F0F5F5"/>
            <w:tcMar>
              <w:top w:w="85" w:type="dxa"/>
              <w:start w:w="105" w:type="dxa"/>
              <w:bottom w:w="85" w:type="dxa"/>
              <w:end w:w="105" w:type="dxa"/>
            </w:tcMar>
            <w:vAlign w:val="top"/>
          </w:tcPr>
          <w:p>
            <w:pPr>
              <w:pStyle w:val="TableText"/>
              <w:spacing w:after="0"/>
            </w:pPr>
            <w:r>
              <w:rPr>
                <w:rFonts w:ascii="Calibri" w:hAnsi="Calibri"/>
                <w:sz w:val="20"/>
              </w:rPr>
              <w:t>Double-sided A3 landscape is a frequent preference, with narrow practical margins and generous working space. It is not a universal requirement.</w:t>
            </w:r>
          </w:p>
        </w:tc>
      </w:tr>
      <w:tr>
        <w:trPr>
          <w:cantSplit/>
        </w:trPr>
        <w:tc>
          <w:tcPr>
            <w:tcW w:type="dxa" w:w="2098"/>
            <w:shd w:fill="FAFBFC"/>
            <w:tcMar>
              <w:top w:w="85" w:type="dxa"/>
              <w:start w:w="105" w:type="dxa"/>
              <w:bottom w:w="85" w:type="dxa"/>
              <w:end w:w="105" w:type="dxa"/>
            </w:tcMar>
            <w:vAlign w:val="top"/>
          </w:tcPr>
          <w:p>
            <w:pPr>
              <w:pStyle w:val="TableText"/>
              <w:spacing w:after="0"/>
            </w:pPr>
            <w:r>
              <w:rPr>
                <w:rFonts w:ascii="Calibri" w:hAnsi="Calibri"/>
                <w:b/>
                <w:sz w:val="20"/>
              </w:rPr>
              <w:t>Booklet</w:t>
            </w:r>
          </w:p>
        </w:tc>
        <w:tc>
          <w:tcPr>
            <w:tcW w:type="dxa" w:w="7767"/>
            <w:shd w:fill="FAFBFC"/>
            <w:tcMar>
              <w:top w:w="85" w:type="dxa"/>
              <w:start w:w="105" w:type="dxa"/>
              <w:bottom w:w="85" w:type="dxa"/>
              <w:end w:w="105" w:type="dxa"/>
            </w:tcMar>
            <w:vAlign w:val="top"/>
          </w:tcPr>
          <w:p>
            <w:pPr>
              <w:pStyle w:val="TableText"/>
              <w:spacing w:after="0"/>
            </w:pPr>
            <w:r>
              <w:rPr>
                <w:rFonts w:ascii="Calibri" w:hAnsi="Calibri"/>
                <w:sz w:val="20"/>
              </w:rPr>
              <w:t>Use the requested page size, orientation and page count. Keep the normal reading order; do not impose printer spreads unless requested.</w:t>
            </w:r>
          </w:p>
        </w:tc>
      </w:tr>
      <w:tr>
        <w:trPr>
          <w:cantSplit/>
        </w:trPr>
        <w:tc>
          <w:tcPr>
            <w:tcW w:type="dxa" w:w="2098"/>
            <w:shd w:fill="F0F5F5"/>
            <w:tcMar>
              <w:top w:w="85" w:type="dxa"/>
              <w:start w:w="105" w:type="dxa"/>
              <w:bottom w:w="85" w:type="dxa"/>
              <w:end w:w="105" w:type="dxa"/>
            </w:tcMar>
            <w:vAlign w:val="top"/>
          </w:tcPr>
          <w:p>
            <w:pPr>
              <w:pStyle w:val="TableText"/>
              <w:spacing w:after="0"/>
            </w:pPr>
            <w:r>
              <w:rPr>
                <w:rFonts w:ascii="Calibri" w:hAnsi="Calibri"/>
                <w:b/>
                <w:sz w:val="20"/>
              </w:rPr>
              <w:t>Projected practice</w:t>
            </w:r>
          </w:p>
        </w:tc>
        <w:tc>
          <w:tcPr>
            <w:tcW w:type="dxa" w:w="7767"/>
            <w:shd w:fill="F0F5F5"/>
            <w:tcMar>
              <w:top w:w="85" w:type="dxa"/>
              <w:start w:w="105" w:type="dxa"/>
              <w:bottom w:w="85" w:type="dxa"/>
              <w:end w:w="105" w:type="dxa"/>
            </w:tcMar>
            <w:vAlign w:val="top"/>
          </w:tcPr>
          <w:p>
            <w:pPr>
              <w:pStyle w:val="TableText"/>
              <w:spacing w:after="0"/>
            </w:pPr>
            <w:r>
              <w:rPr>
                <w:rFonts w:ascii="Calibri" w:hAnsi="Calibri"/>
                <w:sz w:val="20"/>
              </w:rPr>
              <w:t>Use 16:9 when requested. A 3-by-2 arrangement suits a specified set of six questions, not every activity.</w:t>
            </w:r>
          </w:p>
        </w:tc>
      </w:tr>
      <w:tr>
        <w:trPr>
          <w:cantSplit/>
        </w:trPr>
        <w:tc>
          <w:tcPr>
            <w:tcW w:type="dxa" w:w="2098"/>
            <w:shd w:fill="FAFBFC"/>
            <w:tcMar>
              <w:top w:w="85" w:type="dxa"/>
              <w:start w:w="105" w:type="dxa"/>
              <w:bottom w:w="85" w:type="dxa"/>
              <w:end w:w="105" w:type="dxa"/>
            </w:tcMar>
            <w:vAlign w:val="top"/>
          </w:tcPr>
          <w:p>
            <w:pPr>
              <w:pStyle w:val="TableText"/>
              <w:spacing w:after="0"/>
            </w:pPr>
            <w:r>
              <w:rPr>
                <w:rFonts w:ascii="Calibri" w:hAnsi="Calibri"/>
                <w:b/>
                <w:sz w:val="20"/>
              </w:rPr>
              <w:t>Existing resource</w:t>
            </w:r>
          </w:p>
        </w:tc>
        <w:tc>
          <w:tcPr>
            <w:tcW w:type="dxa" w:w="7767"/>
            <w:shd w:fill="FAFBFC"/>
            <w:tcMar>
              <w:top w:w="85" w:type="dxa"/>
              <w:start w:w="105" w:type="dxa"/>
              <w:bottom w:w="85" w:type="dxa"/>
              <w:end w:w="105" w:type="dxa"/>
            </w:tcMar>
            <w:vAlign w:val="top"/>
          </w:tcPr>
          <w:p>
            <w:pPr>
              <w:pStyle w:val="TableText"/>
              <w:spacing w:after="0"/>
            </w:pPr>
            <w:r>
              <w:rPr>
                <w:rFonts w:ascii="Calibri" w:hAnsi="Calibri"/>
                <w:sz w:val="20"/>
              </w:rPr>
              <w:t>Preserve its approved style, colours and structure when asked. Do not impose a new template during a limited correction.</w:t>
            </w:r>
          </w:p>
        </w:tc>
      </w:tr>
    </w:tbl>
    <w:p>
      <w:pPr>
        <w:spacing w:after="0" w:before="0" w:line="96" w:lineRule="auto"/>
      </w:pPr>
      <w:r>
        <w:rPr>
          <w:rFonts w:ascii="Calibri" w:hAnsi="Calibri"/>
          <w:sz w:val="6"/>
        </w:rPr>
      </w:r>
    </w:p>
    <w:p>
      <w:pPr>
        <w:pStyle w:val="Heading2"/>
      </w:pPr>
      <w:r>
        <w:rPr>
          <w:rFonts w:ascii="Calibri" w:hAnsi="Calibri"/>
        </w:rPr>
        <w:t>Use space for the work pupils must actually do</w:t>
      </w:r>
    </w:p>
    <w:p>
      <w:r>
        <w:rPr>
          <w:rFonts w:ascii="Calibri" w:hAnsi="Calibri"/>
        </w:rPr>
        <w:t>Prefer concise UK mathematics wording, clear numbering and purposeful headings. Avoid decorative images, excessive explanation, unnecessary branding and repeated generic instructions. Use high-contrast text and check that required features survive monochrome printing unless colour is explicitly part of the brief. [1]</w:t>
      </w:r>
    </w:p>
    <w:p>
      <w:r>
        <w:rPr>
          <w:rFonts w:ascii="Calibri" w:hAnsi="Calibri"/>
        </w:rPr>
        <w:t>Allocate space by task: a calculation needs vertical working room; a construction needs an open drawing area. Keep questions, diagrams and their working spaces together. Do not shrink text to force everything onto a fixed page. Reflow first; propose any necessary content reduction rather than silently deleting questions.</w:t>
      </w:r>
    </w:p>
    <w:p>
      <w:pPr>
        <w:pStyle w:val="Heading2"/>
      </w:pPr>
      <w:r>
        <w:rPr>
          <w:rFonts w:ascii="Calibri" w:hAnsi="Calibri"/>
        </w:rPr>
        <w:t>Vector-first final worksheets</w:t>
      </w:r>
    </w:p>
    <w:p>
      <w:r>
        <w:rPr>
          <w:rFonts w:ascii="Calibri" w:hAnsi="Calibri"/>
        </w:rPr>
        <w:t>For resources requested as vector PDFs, use real text and vector lines, diagrams and borders. Placing a screenshot inside a PDF or enlarging an image does not make it vector. If the only starting point is an image, rebuild the approved content rather than simply upscaling it. [1] For PDF corrections, revise and regenerate the original source: never mask old content with white patches, replacement cards or other overlays. If source is unavailable, reconstruct the affected section using native vector elements.</w:t>
      </w:r>
    </w:p>
    <w:p>
      <w:r>
        <w:rPr>
          <w:rFonts w:ascii="Calibri" w:hAnsi="Calibri"/>
        </w:rPr>
        <w:t>Inspect the final page at its intended print size and zoom in to check sharpness, alignment and clipping. Check both sides separately; matching filenames alone do not establish that they are the latest approved pages.</w:t>
      </w:r>
    </w:p>
    <w:p>
      <w:pPr>
        <w:pStyle w:val="Heading2"/>
      </w:pPr>
      <w:r>
        <w:rPr>
          <w:rFonts w:ascii="Calibri" w:hAnsi="Calibri"/>
        </w:rPr>
        <w:t>Protect approved content and rebuild revisions cleanly</w:t>
      </w:r>
    </w:p>
    <w:p>
      <w:r>
        <w:rPr>
          <w:rFonts w:ascii="Calibri" w:hAnsi="Calibri"/>
        </w:rPr>
        <w:t>Keep one approved question set as the basis for the pupil sheet, answers and projected material. When revising, record the requested changes and protect everything else. If a mathematical error is discovered, flag and correct it explicitly rather than preserving it unnoticed. Reflow changed content, inspect every affected page against the approved original, and flag any case where a faithful source-level rebuild is not feasible.</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Before combining pages:</w:t>
            </w:r>
            <w:r>
              <w:rPr>
                <w:rFonts w:ascii="Calibri" w:hAnsi="Calibri"/>
              </w:rPr>
              <w:t xml:space="preserve"> identify the latest approved front and back, their first and last question numbers, and the latest corrections. Then verify those features in the combined file.</w:t>
            </w:r>
          </w:p>
        </w:tc>
      </w:tr>
    </w:tbl>
    <w:p>
      <w:pPr>
        <w:spacing w:after="0" w:line="96" w:lineRule="auto"/>
      </w:pPr>
      <w:r>
        <w:rPr>
          <w:rFonts w:ascii="Calibri" w:hAnsi="Calibri"/>
          <w:sz w:val="6"/>
        </w:rPr>
      </w:r>
    </w:p>
    <w:p>
      <w:r>
        <w:rPr>
          <w:rFonts w:ascii="Calibri" w:hAnsi="Calibri"/>
        </w:rPr>
        <w:t>Keep production notes and file versions separate from pupil-facing content. Do not add page or version numbers to resources intended for mixing and matching when Tim has asked for them to be omitted. Do not reveal answers on pupil-facing versions unless requested.</w:t>
      </w:r>
    </w:p>
    <w:p>
      <w:pPr>
        <w:pStyle w:val="Label"/>
        <w:keepNext/>
        <w:pageBreakBefore/>
      </w:pPr>
      <w:r>
        <w:rPr>
          <w:rFonts w:ascii="Calibri" w:hAnsi="Calibri"/>
        </w:rPr>
        <w:t>06  /  FEEDBACK REGISTER</w:t>
      </w:r>
    </w:p>
    <w:p>
      <w:pPr>
        <w:pStyle w:val="Heading1"/>
      </w:pPr>
      <w:r>
        <w:rPr>
          <w:rFonts w:ascii="Calibri" w:hAnsi="Calibri"/>
        </w:rPr>
        <w:t>Use the classroom feedback precisely</w:t>
      </w:r>
    </w:p>
    <w:p>
      <w:r>
        <w:rPr>
          <w:rFonts w:ascii="Calibri" w:hAnsi="Calibri"/>
        </w:rPr>
        <w:t>These entries summarise Tim’s briefs and reported feedback. They are not substitutes for the original approved files: reopen the relevant exemplar before copying its exact layout. The status of a suggested response is kept separate from the observed problem. [1]</w:t>
      </w:r>
    </w:p>
    <w:p>
      <w:pPr>
        <w:pStyle w:val="Heading2"/>
      </w:pPr>
      <w:r>
        <w:rPr>
          <w:rFonts w:ascii="Calibri" w:hAnsi="Calibri"/>
        </w:rPr>
        <w:t>Year 10 · straight-line booklet</w:t>
      </w:r>
    </w:p>
    <w:p>
      <w:r>
        <w:rPr>
          <w:rFonts w:ascii="Calibri" w:hAnsi="Calibri"/>
          <w:b/>
        </w:rPr>
        <w:t>Recorded classroom feedback.</w:t>
      </w:r>
      <w:r>
        <w:rPr>
          <w:rFonts w:ascii="Calibri" w:hAnsi="Calibri"/>
        </w:rPr>
        <w:t xml:space="preserve"> Pupils needed more straightforward, familiar questions before less standard ones. An early unfamiliar question was difficult; supporting ratio tables using 1 and 4 for x were requested. Early questions requiring both intercepts were to be removed. A positive fractional-gradient question was to come before a negative-gradient question, and a later section needed a positive-gradient starting example.</w:t>
      </w:r>
    </w:p>
    <w:p>
      <w:r>
        <w:rPr>
          <w:rFonts w:ascii="Calibri" w:hAnsi="Calibri"/>
          <w:b/>
        </w:rPr>
        <w:t>Carry forward.</w:t>
      </w:r>
      <w:r>
        <w:rPr>
          <w:rFonts w:ascii="Calibri" w:hAnsi="Calibri"/>
        </w:rPr>
        <w:t xml:space="preserve"> Start with recognisable cases, retain useful support during a new demand and provide taller grids with separate working and answer spaces. Do not turn this into a universal claim that fractions are easier than negative numbers; use the actual class and question demands.</w:t>
      </w:r>
    </w:p>
    <w:p>
      <w:pPr>
        <w:pStyle w:val="Heading2"/>
      </w:pPr>
      <w:r>
        <w:rPr>
          <w:rFonts w:ascii="Calibri" w:hAnsi="Calibri"/>
        </w:rPr>
        <w:t>Year 9 · quadratic factorising</w:t>
      </w:r>
    </w:p>
    <w:p>
      <w:r>
        <w:rPr>
          <w:rFonts w:ascii="Calibri" w:hAnsi="Calibri"/>
          <w:b/>
        </w:rPr>
        <w:t>Recorded difficulty and proposed direction.</w:t>
      </w:r>
      <w:r>
        <w:rPr>
          <w:rFonts w:ascii="Calibri" w:hAnsi="Calibri"/>
        </w:rPr>
        <w:t xml:space="preserve"> Pupils found factorising with a negative constant difficult. Tim proposed selecting or matching correct grids, and a prerequisite sequence with numbers first and then algebra. These are recorded as planned responses, not as proven improvements.</w:t>
      </w:r>
    </w:p>
    <w:p>
      <w:r>
        <w:rPr>
          <w:rFonts w:ascii="Calibri" w:hAnsi="Calibri"/>
          <w:b/>
        </w:rPr>
        <w:t>Carry forward.</w:t>
      </w:r>
      <w:r>
        <w:rPr>
          <w:rFonts w:ascii="Calibri" w:hAnsi="Calibri"/>
        </w:rPr>
        <w:t xml:space="preserve"> Check signed multiplication, signed addition and selecting a pair with the required product and sum. Preserve the familiar grid method. Use matching or completion to isolate the obstacle, then return to independent factorisation. Do not respond only by generating more questions at the same level.</w:t>
      </w:r>
    </w:p>
    <w:p>
      <w:pPr>
        <w:pStyle w:val="Heading2"/>
      </w:pPr>
      <w:r>
        <w:rPr>
          <w:rFonts w:ascii="Calibri" w:hAnsi="Calibri"/>
        </w:rPr>
        <w:t>Year 8 · triangle area and sample spaces</w:t>
      </w:r>
    </w:p>
    <w:p>
      <w:r>
        <w:rPr>
          <w:rFonts w:ascii="Calibri" w:hAnsi="Calibri"/>
          <w:b/>
        </w:rPr>
        <w:t>Recorded design and layout requests.</w:t>
      </w:r>
      <w:r>
        <w:rPr>
          <w:rFonts w:ascii="Calibri" w:hAnsi="Calibri"/>
        </w:rPr>
        <w:t xml:space="preserve"> Triangle-area work should begin with four different triangles sharing base 6 and perpendicular height 4, with “over 2” scaffolding that eventually fades. In sample-space work, an earlier layout was too verbose and had too much generic writing space; pupils needed room to draw diagrams, with pre-drawn tables positioned after the first question that required them.</w:t>
      </w:r>
    </w:p>
    <w:p>
      <w:r>
        <w:rPr>
          <w:rFonts w:ascii="Calibri" w:hAnsi="Calibri"/>
          <w:b/>
        </w:rPr>
        <w:t>Carry forward.</w:t>
      </w:r>
      <w:r>
        <w:rPr>
          <w:rFonts w:ascii="Calibri" w:hAnsi="Calibri"/>
        </w:rPr>
        <w:t xml:space="preserve"> Allocate space to the intended pupil action. Preserve the timing of scaffold introduction as well as its appearance. Inspect table dimensions and category labels; do not introduce an extra row or column during redrawing.</w:t>
      </w:r>
    </w:p>
    <w:p>
      <w:pPr>
        <w:pStyle w:val="Heading2"/>
      </w:pPr>
      <w:r>
        <w:rPr>
          <w:rFonts w:ascii="Calibri" w:hAnsi="Calibri"/>
        </w:rPr>
        <w:t>Year 11 · trigonometry and cosine-rule resources</w:t>
      </w:r>
    </w:p>
    <w:p>
      <w:r>
        <w:rPr>
          <w:rFonts w:ascii="Calibri" w:hAnsi="Calibri"/>
          <w:b/>
        </w:rPr>
        <w:t>Recorded production feedback.</w:t>
      </w:r>
      <w:r>
        <w:rPr>
          <w:rFonts w:ascii="Calibri" w:hAnsi="Calibri"/>
        </w:rPr>
        <w:t xml:space="preserve"> Tim requested vector text and diagrams, larger text on a front sheet and reliable combination of the latest approved front and back. Earlier outputs sometimes used an old back sheet or mixed a raster front with a vector back.</w:t>
      </w:r>
    </w:p>
    <w:p>
      <w:r>
        <w:rPr>
          <w:rFonts w:ascii="Calibri" w:hAnsi="Calibri"/>
          <w:b/>
        </w:rPr>
        <w:t>Carry forward.</w:t>
      </w:r>
      <w:r>
        <w:rPr>
          <w:rFonts w:ascii="Calibri" w:hAnsi="Calibri"/>
        </w:rPr>
        <w:t xml:space="preserve"> Treat page identity and legibility as separate checks from mathematical accuracy. Rebuilding or combining pages is not permission to alter the approved questions, labels or order.</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b/>
              </w:rPr>
              <w:t>Generalise cautiously:</w:t>
            </w:r>
            <w:r>
              <w:rPr>
                <w:rFonts w:ascii="Calibri" w:hAnsi="Calibri"/>
              </w:rPr>
              <w:t xml:space="preserve"> retain a lesson about design when it transfers; retain a specific question change with its original class and resource.</w:t>
            </w:r>
          </w:p>
        </w:tc>
      </w:tr>
    </w:tbl>
    <w:p>
      <w:pPr>
        <w:spacing w:after="0" w:line="96" w:lineRule="auto"/>
      </w:pPr>
      <w:r>
        <w:rPr>
          <w:rFonts w:ascii="Calibri" w:hAnsi="Calibri"/>
          <w:sz w:val="6"/>
        </w:rPr>
      </w:r>
    </w:p>
    <w:p>
      <w:pPr>
        <w:pStyle w:val="Label"/>
        <w:keepNext/>
        <w:pageBreakBefore/>
      </w:pPr>
      <w:r>
        <w:rPr>
          <w:rFonts w:ascii="Calibri" w:hAnsi="Calibri"/>
        </w:rPr>
        <w:t>07  /  WORKFLOW AND CHECKS</w:t>
      </w:r>
    </w:p>
    <w:p>
      <w:pPr>
        <w:pStyle w:val="Heading1"/>
      </w:pPr>
      <w:r>
        <w:rPr>
          <w:rFonts w:ascii="Calibri" w:hAnsi="Calibri"/>
        </w:rPr>
        <w:t>From the brief to the final file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80"/>
        <w:gridCol w:w="7285"/>
      </w:tblGrid>
      <w:tr>
        <w:trPr>
          <w:tblHeader w:val="true"/>
        </w:trPr>
        <w:tc>
          <w:tcPr>
            <w:tcW w:type="dxa" w:w="2580"/>
            <w:shd w:fill="203B49"/>
            <w:tcMar>
              <w:top w:w="85" w:type="dxa"/>
              <w:start w:w="105" w:type="dxa"/>
              <w:bottom w:w="85" w:type="dxa"/>
              <w:end w:w="105" w:type="dxa"/>
            </w:tcMar>
            <w:vAlign w:val="center"/>
          </w:tcPr>
          <w:p>
            <w:pPr>
              <w:pStyle w:val="TableText"/>
              <w:spacing w:after="0"/>
            </w:pPr>
            <w:r>
              <w:rPr>
                <w:rFonts w:ascii="Calibri" w:hAnsi="Calibri"/>
                <w:b/>
                <w:color w:val="FFFFFF"/>
                <w:sz w:val="20"/>
              </w:rPr>
              <w:t>When Tim asks for…</w:t>
            </w:r>
          </w:p>
        </w:tc>
        <w:tc>
          <w:tcPr>
            <w:tcW w:type="dxa" w:w="7285"/>
            <w:shd w:fill="203B49"/>
            <w:tcMar>
              <w:top w:w="85" w:type="dxa"/>
              <w:start w:w="105" w:type="dxa"/>
              <w:bottom w:w="85" w:type="dxa"/>
              <w:end w:w="105" w:type="dxa"/>
            </w:tcMar>
            <w:vAlign w:val="center"/>
          </w:tcPr>
          <w:p>
            <w:pPr>
              <w:pStyle w:val="TableText"/>
              <w:spacing w:after="0"/>
            </w:pPr>
            <w:r>
              <w:rPr>
                <w:rFonts w:ascii="Calibri" w:hAnsi="Calibri"/>
                <w:b/>
                <w:color w:val="FFFFFF"/>
                <w:sz w:val="20"/>
              </w:rPr>
              <w:t>Return…</w:t>
            </w:r>
          </w:p>
        </w:tc>
      </w:tr>
      <w:tr>
        <w:trPr>
          <w:cantSplit/>
        </w:trPr>
        <w:tc>
          <w:tcPr>
            <w:tcW w:type="dxa" w:w="2580"/>
            <w:shd w:fill="F0F5F5"/>
            <w:tcMar>
              <w:top w:w="85" w:type="dxa"/>
              <w:start w:w="105" w:type="dxa"/>
              <w:bottom w:w="85" w:type="dxa"/>
              <w:end w:w="105" w:type="dxa"/>
            </w:tcMar>
            <w:vAlign w:val="top"/>
          </w:tcPr>
          <w:p>
            <w:pPr>
              <w:pStyle w:val="TableText"/>
              <w:spacing w:after="0"/>
            </w:pPr>
            <w:r>
              <w:rPr>
                <w:rFonts w:ascii="Calibri" w:hAnsi="Calibri"/>
                <w:b/>
                <w:sz w:val="20"/>
              </w:rPr>
              <w:t>A plan</w:t>
            </w:r>
          </w:p>
        </w:tc>
        <w:tc>
          <w:tcPr>
            <w:tcW w:type="dxa" w:w="7285"/>
            <w:shd w:fill="F0F5F5"/>
            <w:tcMar>
              <w:top w:w="85" w:type="dxa"/>
              <w:start w:w="105" w:type="dxa"/>
              <w:bottom w:w="85" w:type="dxa"/>
              <w:end w:w="105" w:type="dxa"/>
            </w:tcMar>
            <w:vAlign w:val="top"/>
          </w:tcPr>
          <w:p>
            <w:pPr>
              <w:pStyle w:val="TableText"/>
              <w:spacing w:after="0"/>
            </w:pPr>
            <w:r>
              <w:rPr>
                <w:rFonts w:ascii="Calibri" w:hAnsi="Calibri"/>
                <w:sz w:val="20"/>
              </w:rPr>
              <w:t>A progression with the purpose of each section, support and independent check. Do not produce the final worksheet yet.</w:t>
            </w:r>
          </w:p>
        </w:tc>
      </w:tr>
      <w:tr>
        <w:trPr>
          <w:cantSplit/>
        </w:trPr>
        <w:tc>
          <w:tcPr>
            <w:tcW w:type="dxa" w:w="2580"/>
            <w:shd w:fill="FAFBFC"/>
            <w:tcMar>
              <w:top w:w="85" w:type="dxa"/>
              <w:start w:w="105" w:type="dxa"/>
              <w:bottom w:w="85" w:type="dxa"/>
              <w:end w:w="105" w:type="dxa"/>
            </w:tcMar>
            <w:vAlign w:val="top"/>
          </w:tcPr>
          <w:p>
            <w:pPr>
              <w:pStyle w:val="TableText"/>
              <w:spacing w:after="0"/>
            </w:pPr>
            <w:r>
              <w:rPr>
                <w:rFonts w:ascii="Calibri" w:hAnsi="Calibri"/>
                <w:b/>
                <w:sz w:val="20"/>
              </w:rPr>
              <w:t>Questions in full / questions only</w:t>
            </w:r>
          </w:p>
        </w:tc>
        <w:tc>
          <w:tcPr>
            <w:tcW w:type="dxa" w:w="7285"/>
            <w:shd w:fill="FAFBFC"/>
            <w:tcMar>
              <w:top w:w="85" w:type="dxa"/>
              <w:start w:w="105" w:type="dxa"/>
              <w:bottom w:w="85" w:type="dxa"/>
              <w:end w:w="105" w:type="dxa"/>
            </w:tcMar>
            <w:vAlign w:val="top"/>
          </w:tcPr>
          <w:p>
            <w:pPr>
              <w:pStyle w:val="TableText"/>
              <w:spacing w:after="0"/>
            </w:pPr>
            <w:r>
              <w:rPr>
                <w:rFonts w:ascii="Calibri" w:hAnsi="Calibri"/>
                <w:sz w:val="20"/>
              </w:rPr>
              <w:t>The actual pupil questions and necessary diagram specifications. Respect “questions only”; do not append an unsolicited planning essay.</w:t>
            </w:r>
          </w:p>
        </w:tc>
      </w:tr>
      <w:tr>
        <w:trPr>
          <w:cantSplit/>
        </w:trPr>
        <w:tc>
          <w:tcPr>
            <w:tcW w:type="dxa" w:w="2580"/>
            <w:shd w:fill="F0F5F5"/>
            <w:tcMar>
              <w:top w:w="85" w:type="dxa"/>
              <w:start w:w="105" w:type="dxa"/>
              <w:bottom w:w="85" w:type="dxa"/>
              <w:end w:w="105" w:type="dxa"/>
            </w:tcMar>
            <w:vAlign w:val="top"/>
          </w:tcPr>
          <w:p>
            <w:pPr>
              <w:pStyle w:val="TableText"/>
              <w:spacing w:after="0"/>
            </w:pPr>
            <w:r>
              <w:rPr>
                <w:rFonts w:ascii="Calibri" w:hAnsi="Calibri"/>
                <w:b/>
                <w:sz w:val="20"/>
              </w:rPr>
              <w:t>The resource</w:t>
            </w:r>
          </w:p>
        </w:tc>
        <w:tc>
          <w:tcPr>
            <w:tcW w:type="dxa" w:w="7285"/>
            <w:shd w:fill="F0F5F5"/>
            <w:tcMar>
              <w:top w:w="85" w:type="dxa"/>
              <w:start w:w="105" w:type="dxa"/>
              <w:bottom w:w="85" w:type="dxa"/>
              <w:end w:w="105" w:type="dxa"/>
            </w:tcMar>
            <w:vAlign w:val="top"/>
          </w:tcPr>
          <w:p>
            <w:pPr>
              <w:pStyle w:val="TableText"/>
              <w:spacing w:after="0"/>
            </w:pPr>
            <w:r>
              <w:rPr>
                <w:rFonts w:ascii="Calibri" w:hAnsi="Calibri"/>
                <w:sz w:val="20"/>
              </w:rPr>
              <w:t>The requested artifact, using the approved content. Do not create another approval gate when directly asked to produce it.</w:t>
            </w:r>
          </w:p>
        </w:tc>
      </w:tr>
      <w:tr>
        <w:trPr>
          <w:cantSplit/>
        </w:trPr>
        <w:tc>
          <w:tcPr>
            <w:tcW w:type="dxa" w:w="2580"/>
            <w:shd w:fill="FAFBFC"/>
            <w:tcMar>
              <w:top w:w="85" w:type="dxa"/>
              <w:start w:w="105" w:type="dxa"/>
              <w:bottom w:w="85" w:type="dxa"/>
              <w:end w:w="105" w:type="dxa"/>
            </w:tcMar>
            <w:vAlign w:val="top"/>
          </w:tcPr>
          <w:p>
            <w:pPr>
              <w:pStyle w:val="TableText"/>
              <w:spacing w:after="0"/>
            </w:pPr>
            <w:r>
              <w:rPr>
                <w:rFonts w:ascii="Calibri" w:hAnsi="Calibri"/>
                <w:b/>
                <w:sz w:val="20"/>
              </w:rPr>
              <w:t>A revision</w:t>
            </w:r>
          </w:p>
        </w:tc>
        <w:tc>
          <w:tcPr>
            <w:tcW w:type="dxa" w:w="7285"/>
            <w:shd w:fill="FAFBFC"/>
            <w:tcMar>
              <w:top w:w="85" w:type="dxa"/>
              <w:start w:w="105" w:type="dxa"/>
              <w:bottom w:w="85" w:type="dxa"/>
              <w:end w:w="105" w:type="dxa"/>
            </w:tcMar>
            <w:vAlign w:val="top"/>
          </w:tcPr>
          <w:p>
            <w:pPr>
              <w:pStyle w:val="TableText"/>
              <w:spacing w:after="0"/>
            </w:pPr>
            <w:r>
              <w:rPr>
                <w:rFonts w:ascii="Calibri" w:hAnsi="Calibri"/>
                <w:sz w:val="20"/>
              </w:rPr>
              <w:t>The requested change, with unrelated approved content preserved. Check the complete revised file, not only the edited area.</w:t>
            </w:r>
          </w:p>
        </w:tc>
      </w:tr>
    </w:tbl>
    <w:p>
      <w:pPr>
        <w:pStyle w:val="Small"/>
        <w:spacing w:after="100" w:before="100" w:line="259" w:lineRule="auto"/>
      </w:pPr>
      <w:r>
        <w:rPr>
          <w:rFonts w:ascii="Calibri" w:hAnsi="Calibri"/>
          <w:color w:val="596973"/>
          <w:sz w:val="18"/>
        </w:rPr>
        <w:t>Workflow shortcuts: PLAN → FINALISE → PRODUCE. Full templates and command rules: Appendix A.</w:t>
      </w:r>
    </w:p>
    <w:p>
      <w:pPr>
        <w:pStyle w:val="Heading2"/>
      </w:pPr>
      <w:r>
        <w:rPr>
          <w:rFonts w:ascii="Calibri" w:hAnsi="Calibri"/>
        </w:rPr>
        <w:t>Pre-delivery checks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899"/>
        <w:gridCol w:w="7965"/>
      </w:tblGrid>
      <w:tr>
        <w:trPr>
          <w:tblHeader w:val="true"/>
        </w:trPr>
        <w:tc>
          <w:tcPr>
            <w:tcW w:type="dxa" w:w="1899"/>
            <w:shd w:fill="203B49"/>
            <w:tcMar>
              <w:top w:w="85" w:type="dxa"/>
              <w:start w:w="105" w:type="dxa"/>
              <w:bottom w:w="85" w:type="dxa"/>
              <w:end w:w="105" w:type="dxa"/>
            </w:tcMar>
            <w:vAlign w:val="center"/>
          </w:tcPr>
          <w:p>
            <w:pPr>
              <w:pStyle w:val="TableText"/>
              <w:spacing w:after="0"/>
            </w:pPr>
            <w:r>
              <w:rPr>
                <w:rFonts w:ascii="Calibri" w:hAnsi="Calibri"/>
                <w:b/>
                <w:color w:val="FFFFFF"/>
                <w:sz w:val="19"/>
              </w:rPr>
              <w:t>Check</w:t>
            </w:r>
          </w:p>
        </w:tc>
        <w:tc>
          <w:tcPr>
            <w:tcW w:type="dxa" w:w="7965"/>
            <w:shd w:fill="203B49"/>
            <w:tcMar>
              <w:top w:w="85" w:type="dxa"/>
              <w:start w:w="105" w:type="dxa"/>
              <w:bottom w:w="85" w:type="dxa"/>
              <w:end w:w="105" w:type="dxa"/>
            </w:tcMar>
            <w:vAlign w:val="center"/>
          </w:tcPr>
          <w:p>
            <w:pPr>
              <w:pStyle w:val="TableText"/>
              <w:spacing w:after="0"/>
            </w:pPr>
            <w:r>
              <w:rPr>
                <w:rFonts w:ascii="Calibri" w:hAnsi="Calibri"/>
                <w:b/>
                <w:color w:val="FFFFFF"/>
                <w:sz w:val="19"/>
              </w:rPr>
              <w:t>Evidence to inspect</w:t>
            </w:r>
          </w:p>
        </w:tc>
      </w:tr>
      <w:tr>
        <w:trPr>
          <w:cantSplit/>
        </w:trPr>
        <w:tc>
          <w:tcPr>
            <w:tcW w:type="dxa" w:w="1899"/>
            <w:shd w:fill="F0F5F5"/>
            <w:tcMar>
              <w:top w:w="85" w:type="dxa"/>
              <w:start w:w="105" w:type="dxa"/>
              <w:bottom w:w="85" w:type="dxa"/>
              <w:end w:w="105" w:type="dxa"/>
            </w:tcMar>
            <w:vAlign w:val="top"/>
          </w:tcPr>
          <w:p>
            <w:pPr>
              <w:pStyle w:val="TableText"/>
              <w:spacing w:after="0"/>
            </w:pPr>
            <w:r>
              <w:rPr>
                <w:rFonts w:ascii="Calibri" w:hAnsi="Calibri"/>
                <w:b/>
                <w:sz w:val="19"/>
              </w:rPr>
              <w:t>Mathematics</w:t>
            </w:r>
          </w:p>
        </w:tc>
        <w:tc>
          <w:tcPr>
            <w:tcW w:type="dxa" w:w="7965"/>
            <w:shd w:fill="F0F5F5"/>
            <w:tcMar>
              <w:top w:w="85" w:type="dxa"/>
              <w:start w:w="105" w:type="dxa"/>
              <w:bottom w:w="85" w:type="dxa"/>
              <w:end w:w="105" w:type="dxa"/>
            </w:tcMar>
            <w:vAlign w:val="top"/>
          </w:tcPr>
          <w:p>
            <w:pPr>
              <w:pStyle w:val="TableText"/>
              <w:spacing w:after="0"/>
            </w:pPr>
            <w:r>
              <w:rPr>
                <w:rFonts w:ascii="Calibri" w:hAnsi="Calibri"/>
                <w:sz w:val="19"/>
              </w:rPr>
              <w:t>Solve every question. Check signs, arithmetic, units, labels, rounding and any possible alternative answers. Verify distractors and worked examples.</w:t>
            </w:r>
          </w:p>
        </w:tc>
      </w:tr>
      <w:tr>
        <w:trPr>
          <w:cantSplit/>
        </w:trPr>
        <w:tc>
          <w:tcPr>
            <w:tcW w:type="dxa" w:w="1899"/>
            <w:shd w:fill="FAFBFC"/>
            <w:tcMar>
              <w:top w:w="85" w:type="dxa"/>
              <w:start w:w="105" w:type="dxa"/>
              <w:bottom w:w="85" w:type="dxa"/>
              <w:end w:w="105" w:type="dxa"/>
            </w:tcMar>
            <w:vAlign w:val="top"/>
          </w:tcPr>
          <w:p>
            <w:pPr>
              <w:pStyle w:val="TableText"/>
              <w:spacing w:after="0"/>
            </w:pPr>
            <w:r>
              <w:rPr>
                <w:rFonts w:ascii="Calibri" w:hAnsi="Calibri"/>
                <w:b/>
                <w:sz w:val="19"/>
              </w:rPr>
              <w:t>Progression</w:t>
            </w:r>
          </w:p>
        </w:tc>
        <w:tc>
          <w:tcPr>
            <w:tcW w:type="dxa" w:w="7965"/>
            <w:shd w:fill="FAFBFC"/>
            <w:tcMar>
              <w:top w:w="85" w:type="dxa"/>
              <w:start w:w="105" w:type="dxa"/>
              <w:bottom w:w="85" w:type="dxa"/>
              <w:end w:w="105" w:type="dxa"/>
            </w:tcMar>
            <w:vAlign w:val="top"/>
          </w:tcPr>
          <w:p>
            <w:pPr>
              <w:pStyle w:val="TableText"/>
              <w:spacing w:after="0"/>
            </w:pPr>
            <w:r>
              <w:rPr>
                <w:rFonts w:ascii="Calibri" w:hAnsi="Calibri"/>
                <w:sz w:val="19"/>
              </w:rPr>
              <w:t>The intended insights are represented. Entry questions are accessible for this class. Each substantial increase in demand is deliberate.</w:t>
            </w:r>
          </w:p>
        </w:tc>
      </w:tr>
      <w:tr>
        <w:trPr>
          <w:cantSplit/>
        </w:trPr>
        <w:tc>
          <w:tcPr>
            <w:tcW w:type="dxa" w:w="1899"/>
            <w:shd w:fill="F0F5F5"/>
            <w:tcMar>
              <w:top w:w="85" w:type="dxa"/>
              <w:start w:w="105" w:type="dxa"/>
              <w:bottom w:w="85" w:type="dxa"/>
              <w:end w:w="105" w:type="dxa"/>
            </w:tcMar>
            <w:vAlign w:val="top"/>
          </w:tcPr>
          <w:p>
            <w:pPr>
              <w:pStyle w:val="TableText"/>
              <w:spacing w:after="0"/>
            </w:pPr>
            <w:r>
              <w:rPr>
                <w:rFonts w:ascii="Calibri" w:hAnsi="Calibri"/>
                <w:b/>
                <w:sz w:val="19"/>
              </w:rPr>
              <w:t>Scaffolding</w:t>
            </w:r>
          </w:p>
        </w:tc>
        <w:tc>
          <w:tcPr>
            <w:tcW w:type="dxa" w:w="7965"/>
            <w:shd w:fill="F0F5F5"/>
            <w:tcMar>
              <w:top w:w="85" w:type="dxa"/>
              <w:start w:w="105" w:type="dxa"/>
              <w:bottom w:w="85" w:type="dxa"/>
              <w:end w:w="105" w:type="dxa"/>
            </w:tcMar>
            <w:vAlign w:val="top"/>
          </w:tcPr>
          <w:p>
            <w:pPr>
              <w:pStyle w:val="TableText"/>
              <w:spacing w:after="0"/>
            </w:pPr>
            <w:r>
              <w:rPr>
                <w:rFonts w:ascii="Calibri" w:hAnsi="Calibri"/>
                <w:sz w:val="19"/>
              </w:rPr>
              <w:t>Support is present where needed, then fades. Independent questions remain possible without hidden hints or an adjacent worked pattern.</w:t>
            </w:r>
          </w:p>
        </w:tc>
      </w:tr>
      <w:tr>
        <w:trPr>
          <w:cantSplit/>
        </w:trPr>
        <w:tc>
          <w:tcPr>
            <w:tcW w:type="dxa" w:w="1899"/>
            <w:shd w:fill="FAFBFC"/>
            <w:tcMar>
              <w:top w:w="85" w:type="dxa"/>
              <w:start w:w="105" w:type="dxa"/>
              <w:bottom w:w="85" w:type="dxa"/>
              <w:end w:w="105" w:type="dxa"/>
            </w:tcMar>
            <w:vAlign w:val="top"/>
          </w:tcPr>
          <w:p>
            <w:pPr>
              <w:pStyle w:val="TableText"/>
              <w:spacing w:after="0"/>
            </w:pPr>
            <w:r>
              <w:rPr>
                <w:rFonts w:ascii="Calibri" w:hAnsi="Calibri"/>
                <w:b/>
                <w:sz w:val="19"/>
              </w:rPr>
              <w:t>Representations</w:t>
            </w:r>
          </w:p>
        </w:tc>
        <w:tc>
          <w:tcPr>
            <w:tcW w:type="dxa" w:w="7965"/>
            <w:shd w:fill="FAFBFC"/>
            <w:tcMar>
              <w:top w:w="85" w:type="dxa"/>
              <w:start w:w="105" w:type="dxa"/>
              <w:bottom w:w="85" w:type="dxa"/>
              <w:end w:w="105" w:type="dxa"/>
            </w:tcMar>
            <w:vAlign w:val="top"/>
          </w:tcPr>
          <w:p>
            <w:pPr>
              <w:pStyle w:val="TableText"/>
              <w:spacing w:after="0"/>
            </w:pPr>
            <w:r>
              <w:rPr>
                <w:rFonts w:ascii="Calibri" w:hAnsi="Calibri"/>
                <w:sz w:val="19"/>
              </w:rPr>
              <w:t>Grid scales, perpendicular heights, table entries and geometry labels agree with the task. Comparison pairs preserve the intended constants. Information and reminder cards use their section’s pale tint and remain legible.</w:t>
            </w:r>
          </w:p>
        </w:tc>
      </w:tr>
      <w:tr>
        <w:trPr>
          <w:cantSplit/>
        </w:trPr>
        <w:tc>
          <w:tcPr>
            <w:tcW w:type="dxa" w:w="1899"/>
            <w:shd w:fill="F0F5F5"/>
            <w:tcMar>
              <w:top w:w="85" w:type="dxa"/>
              <w:start w:w="105" w:type="dxa"/>
              <w:bottom w:w="85" w:type="dxa"/>
              <w:end w:w="105" w:type="dxa"/>
            </w:tcMar>
            <w:vAlign w:val="top"/>
          </w:tcPr>
          <w:p>
            <w:pPr>
              <w:pStyle w:val="TableText"/>
              <w:spacing w:after="0"/>
            </w:pPr>
            <w:r>
              <w:rPr>
                <w:rFonts w:ascii="Calibri" w:hAnsi="Calibri"/>
                <w:b/>
                <w:sz w:val="19"/>
              </w:rPr>
              <w:t>Layout</w:t>
            </w:r>
          </w:p>
        </w:tc>
        <w:tc>
          <w:tcPr>
            <w:tcW w:type="dxa" w:w="7965"/>
            <w:shd w:fill="F0F5F5"/>
            <w:tcMar>
              <w:top w:w="85" w:type="dxa"/>
              <w:start w:w="105" w:type="dxa"/>
              <w:bottom w:w="85" w:type="dxa"/>
              <w:end w:w="105" w:type="dxa"/>
            </w:tcMar>
            <w:vAlign w:val="top"/>
          </w:tcPr>
          <w:p>
            <w:pPr>
              <w:pStyle w:val="TableText"/>
              <w:spacing w:after="0"/>
            </w:pPr>
            <w:r>
              <w:rPr>
                <w:rFonts w:ascii="Calibri" w:hAnsi="Calibri"/>
                <w:sz w:val="19"/>
              </w:rPr>
              <w:t>All text is legible at final size. Nothing clips, overlaps or collides. Working and drawing space match the expected solution.</w:t>
            </w:r>
          </w:p>
        </w:tc>
      </w:tr>
      <w:tr>
        <w:trPr>
          <w:cantSplit/>
        </w:trPr>
        <w:tc>
          <w:tcPr>
            <w:tcW w:type="dxa" w:w="1899"/>
            <w:shd w:fill="FAFBFC"/>
            <w:tcMar>
              <w:top w:w="85" w:type="dxa"/>
              <w:start w:w="105" w:type="dxa"/>
              <w:bottom w:w="85" w:type="dxa"/>
              <w:end w:w="105" w:type="dxa"/>
            </w:tcMar>
            <w:vAlign w:val="top"/>
          </w:tcPr>
          <w:p>
            <w:pPr>
              <w:pStyle w:val="TableText"/>
              <w:spacing w:after="0"/>
            </w:pPr>
            <w:r>
              <w:rPr>
                <w:rFonts w:ascii="Calibri" w:hAnsi="Calibri"/>
                <w:b/>
                <w:sz w:val="19"/>
              </w:rPr>
              <w:t>Consistency</w:t>
            </w:r>
          </w:p>
        </w:tc>
        <w:tc>
          <w:tcPr>
            <w:tcW w:type="dxa" w:w="7965"/>
            <w:shd w:fill="FAFBFC"/>
            <w:tcMar>
              <w:top w:w="85" w:type="dxa"/>
              <w:start w:w="105" w:type="dxa"/>
              <w:bottom w:w="85" w:type="dxa"/>
              <w:end w:w="105" w:type="dxa"/>
            </w:tcMar>
            <w:vAlign w:val="top"/>
          </w:tcPr>
          <w:p>
            <w:pPr>
              <w:pStyle w:val="TableText"/>
              <w:spacing w:after="0"/>
            </w:pPr>
            <w:r>
              <w:rPr>
                <w:rFonts w:ascii="Calibri" w:hAnsi="Calibri"/>
                <w:sz w:val="19"/>
              </w:rPr>
              <w:t>Question numbering and content match across sheets, answers and projection. The correct front and back have been used. PDF corrections are rebuilt in source, never overlaid.</w:t>
            </w:r>
          </w:p>
        </w:tc>
      </w:tr>
      <w:tr>
        <w:trPr>
          <w:cantSplit/>
        </w:trPr>
        <w:tc>
          <w:tcPr>
            <w:tcW w:type="dxa" w:w="1899"/>
            <w:shd w:fill="F0F5F5"/>
            <w:tcMar>
              <w:top w:w="85" w:type="dxa"/>
              <w:start w:w="105" w:type="dxa"/>
              <w:bottom w:w="85" w:type="dxa"/>
              <w:end w:w="105" w:type="dxa"/>
            </w:tcMar>
            <w:vAlign w:val="top"/>
          </w:tcPr>
          <w:p>
            <w:pPr>
              <w:pStyle w:val="TableText"/>
              <w:spacing w:after="0"/>
            </w:pPr>
            <w:r>
              <w:rPr>
                <w:rFonts w:ascii="Calibri" w:hAnsi="Calibri"/>
                <w:b/>
                <w:sz w:val="19"/>
              </w:rPr>
              <w:t>Delivery</w:t>
            </w:r>
          </w:p>
        </w:tc>
        <w:tc>
          <w:tcPr>
            <w:tcW w:type="dxa" w:w="7965"/>
            <w:shd w:fill="F0F5F5"/>
            <w:tcMar>
              <w:top w:w="85" w:type="dxa"/>
              <w:start w:w="105" w:type="dxa"/>
              <w:bottom w:w="85" w:type="dxa"/>
              <w:end w:w="105" w:type="dxa"/>
            </w:tcMar>
            <w:vAlign w:val="top"/>
          </w:tcPr>
          <w:p>
            <w:pPr>
              <w:pStyle w:val="TableText"/>
              <w:spacing w:after="0"/>
            </w:pPr>
            <w:r>
              <w:rPr>
                <w:rFonts w:ascii="Calibri" w:hAnsi="Calibri"/>
                <w:sz w:val="19"/>
              </w:rPr>
              <w:t>The actual final file opens, has the requested size, orientation and page count, and uses an accessible link to the file just checked.</w:t>
            </w:r>
          </w:p>
        </w:tc>
      </w:tr>
    </w:tbl>
    <w:p>
      <w:pPr>
        <w:spacing w:after="0" w:before="0" w:line="96" w:lineRule="auto"/>
      </w:pPr>
      <w:r>
        <w:rPr>
          <w:rFonts w:ascii="Calibri" w:hAnsi="Calibri"/>
          <w:sz w:val="6"/>
        </w:rPr>
      </w:r>
    </w:p>
    <w:p>
      <w:pPr>
        <w:pStyle w:val="Heading2"/>
      </w:pPr>
      <w:r>
        <w:rPr>
          <w:rFonts w:ascii="Calibri" w:hAnsi="Calibri"/>
        </w:rPr>
        <w:t>Keep the pupil version and teacher thinking separate</w:t>
      </w:r>
    </w:p>
    <w:p>
      <w:r>
        <w:rPr>
          <w:rFonts w:ascii="Calibri" w:hAnsi="Calibri"/>
        </w:rPr>
        <w:t>Place rationales, anticipated misconceptions, answers and optional discussion prompts in a separate teacher-facing section or file when requested. Keep the pupil resource concise. An attractive page does not by itself establish mathematical quality or classroom suitability.</w:t>
      </w:r>
    </w:p>
    <w:p>
      <w:pPr>
        <w:pStyle w:val="Heading2"/>
      </w:pPr>
      <w:r>
        <w:rPr>
          <w:rFonts w:ascii="Calibri" w:hAnsi="Calibri"/>
        </w:rPr>
        <w:t>After teaching</w:t>
      </w:r>
    </w:p>
    <w:p>
      <w:r>
        <w:rPr>
          <w:rFonts w:ascii="Calibri" w:hAnsi="Calibri"/>
        </w:rPr>
        <w:t>Use feedback to identify whether the difficulty concerned prerequisites, question choice, representation, support or page design. Record what actually happened before suggesting an explanation. Update the relevant example or rule only after distinguishing a local correction from a transferable lesson.</w:t>
      </w:r>
    </w:p>
    <w:p>
      <w:pPr>
        <w:pStyle w:val="Label"/>
        <w:keepNext/>
        <w:pageBreakBefore/>
      </w:pPr>
      <w:r>
        <w:rPr>
          <w:rFonts w:ascii="Calibri" w:hAnsi="Calibri"/>
        </w:rPr>
        <w:t>08  /  MAINTENANCE</w:t>
      </w:r>
    </w:p>
    <w:p>
      <w:pPr>
        <w:pStyle w:val="Heading1"/>
      </w:pPr>
      <w:r>
        <w:rPr>
          <w:rFonts w:ascii="Calibri" w:hAnsi="Calibri"/>
        </w:rPr>
        <w:t>Keep one current guide</w:t>
      </w:r>
    </w:p>
    <w:p>
      <w:pPr>
        <w:spacing w:after="60"/>
      </w:pPr>
      <w:r>
        <w:rPr>
          <w:rFonts w:ascii="Calibri" w:hAnsi="Calibri"/>
        </w:rPr>
        <w:t>Use short Project Instructions for the standing rules and this document for detailed conventions and examples. ChatGPT projects support reference files and project-specific instructions. The instruction below explicitly directs attention to the guide rather than assuming every detail will be recalled. [3]</w:t>
      </w:r>
    </w:p>
    <w:p>
      <w:pPr>
        <w:pStyle w:val="Heading2"/>
        <w:spacing w:before="80"/>
      </w:pPr>
      <w:r>
        <w:rPr>
          <w:rFonts w:ascii="Calibri" w:hAnsi="Calibri"/>
        </w:rPr>
        <w:t>Add this to the Project Instructions</w:t>
      </w:r>
    </w:p>
    <w:tbl>
      <w:tblPr>
        <w:tblW w:type="auto" w:w="0"/>
        <w:jc w:val="center"/>
        <w:tblLayout w:type="fixed"/>
        <w:tblLook w:firstColumn="1" w:firstRow="1" w:lastColumn="0" w:lastRow="0" w:noHBand="0" w:noVBand="1" w:val="04A0"/>
      </w:tblPr>
      <w:tblGrid>
        <w:gridCol w:w="9865"/>
      </w:tblGrid>
      <w:tr>
        <w:trPr>
          <w:cantSplit/>
        </w:trPr>
        <w:tc>
          <w:tcPr>
            <w:tcW w:type="dxa" w:w="9865"/>
            <w:shd w:fill="F0F5F5"/>
            <w:tcMar>
              <w:top w:w="140" w:type="dxa"/>
              <w:start w:w="160" w:type="dxa"/>
              <w:bottom w:w="140" w:type="dxa"/>
              <w:end w:w="160" w:type="dxa"/>
            </w:tcMar>
          </w:tcPr>
          <w:p>
            <w:pPr>
              <w:pStyle w:val="Callout"/>
            </w:pPr>
            <w:r>
              <w:rPr>
                <w:rFonts w:ascii="Calibri" w:hAnsi="Calibri"/>
              </w:rPr>
              <w:t>When creating or revising a maths lesson resource, consult the current Maths Resource Design Guide in the project sources and apply the relevant sections, including section-matched information/reminder cards and clean, non-overlay PDF revisions. Follow my current brief and latest approved corrections where they differ from its defaults. Keep detailed rationale teacher-facing. Preserve approved content and check the final artifact. If the guide or a required exemplar cannot be accessed, say so rather than inventing its contents.</w:t>
            </w:r>
            <w:r>
              <w:rPr>
                <w:rFonts w:ascii="Calibri" w:hAnsi="Calibri"/>
                <w:b/>
              </w:rPr>
            </w:r>
            <w:r>
              <w:rPr>
                <w:rFonts w:ascii="Calibri" w:hAnsi="Calibri"/>
              </w:rPr>
            </w:r>
          </w:p>
        </w:tc>
      </w:tr>
    </w:tbl>
    <w:p>
      <w:pPr>
        <w:spacing w:after="0" w:line="96" w:lineRule="auto"/>
      </w:pPr>
      <w:r>
        <w:rPr>
          <w:rFonts w:ascii="Calibri" w:hAnsi="Calibri"/>
          <w:sz w:val="6"/>
        </w:rPr>
      </w:r>
    </w:p>
    <w:p>
      <w:pPr>
        <w:pStyle w:val="Heading2"/>
        <w:spacing w:before="80"/>
      </w:pPr>
      <w:r>
        <w:rPr>
          <w:rFonts w:ascii="Calibri" w:hAnsi="Calibri"/>
        </w:rPr>
        <w:t>Update the master, not a collection of competing notes</w:t>
      </w:r>
    </w:p>
    <w:p>
      <w:pPr>
        <w:spacing w:after="60"/>
      </w:pPr>
      <w:r>
        <w:rPr>
          <w:rFonts w:ascii="Calibri" w:hAnsi="Calibri"/>
        </w:rPr>
        <w:t>Keep one editable master. After reviewing feedback, amend the relevant section and record the change below. Add the revised guide to the project sources and remove the superseded upload once the new copy is verified. A same-name upload can add another file rather than replace the existing one; do not rely on the filename alone. [3]</w:t>
      </w:r>
    </w:p>
    <w:p>
      <w:pPr>
        <w:spacing w:after="60"/>
      </w:pPr>
      <w:r>
        <w:rPr>
          <w:rFonts w:ascii="Calibri" w:hAnsi="Calibri"/>
        </w:rPr>
        <w:t>A chat discussion or proposed edit is not a completed update to this file or the Project Instructions. Ask for the revised document when needed, then update the stored source. Keep older versions outside the active reference set for comparison.</w:t>
      </w:r>
    </w:p>
    <w:p>
      <w:pPr>
        <w:spacing w:after="60"/>
      </w:pPr>
      <w:r>
        <w:rPr>
          <w:rFonts w:ascii="Calibri" w:hAnsi="Calibri"/>
          <w:b/>
        </w:rPr>
        <w:t>Useful maintenance request:</w:t>
      </w:r>
      <w:r>
        <w:rPr>
          <w:rFonts w:ascii="Calibri" w:hAnsi="Calibri"/>
        </w:rPr>
        <w:t xml:space="preserve"> “Use this lesson feedback to propose a precise change to the Maths Resource Design Guide. Separate a general rule from a topic-specific note, and show which existing wording it should replace.”</w:t>
      </w:r>
    </w:p>
    <w:p>
      <w:pPr>
        <w:pStyle w:val="Heading2"/>
        <w:spacing w:before="80"/>
      </w:pPr>
      <w:r>
        <w:rPr>
          <w:rFonts w:ascii="Calibri" w:hAnsi="Calibri"/>
        </w:rPr>
        <w:t>Record a meaningful change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53"/>
        <w:gridCol w:w="7512"/>
      </w:tblGrid>
      <w:tr>
        <w:trPr>
          <w:tblHeader w:val="true"/>
        </w:trPr>
        <w:tc>
          <w:tcPr>
            <w:tcW w:type="dxa" w:w="2353"/>
            <w:shd w:fill="203B49"/>
            <w:tcMar>
              <w:top w:w="85" w:type="dxa"/>
              <w:start w:w="105" w:type="dxa"/>
              <w:bottom w:w="85" w:type="dxa"/>
              <w:end w:w="105" w:type="dxa"/>
            </w:tcMar>
            <w:vAlign w:val="center"/>
          </w:tcPr>
          <w:p>
            <w:pPr>
              <w:pStyle w:val="TableText"/>
              <w:spacing w:after="0"/>
            </w:pPr>
            <w:r>
              <w:rPr>
                <w:rFonts w:ascii="Calibri" w:hAnsi="Calibri"/>
                <w:b/>
                <w:color w:val="FFFFFF"/>
                <w:sz w:val="19"/>
              </w:rPr>
              <w:t>Record</w:t>
            </w:r>
          </w:p>
        </w:tc>
        <w:tc>
          <w:tcPr>
            <w:tcW w:type="dxa" w:w="7512"/>
            <w:shd w:fill="203B49"/>
            <w:tcMar>
              <w:top w:w="85" w:type="dxa"/>
              <w:start w:w="105" w:type="dxa"/>
              <w:bottom w:w="85" w:type="dxa"/>
              <w:end w:w="105" w:type="dxa"/>
            </w:tcMar>
            <w:vAlign w:val="center"/>
          </w:tcPr>
          <w:p>
            <w:pPr>
              <w:pStyle w:val="TableText"/>
              <w:spacing w:after="0"/>
            </w:pPr>
            <w:r>
              <w:rPr>
                <w:rFonts w:ascii="Calibri" w:hAnsi="Calibri"/>
                <w:b/>
                <w:color w:val="FFFFFF"/>
                <w:sz w:val="19"/>
              </w:rPr>
              <w:t>Include</w:t>
            </w:r>
          </w:p>
        </w:tc>
      </w:tr>
      <w:tr>
        <w:trPr>
          <w:cantSplit/>
        </w:trPr>
        <w:tc>
          <w:tcPr>
            <w:tcW w:type="dxa" w:w="2353"/>
            <w:shd w:fill="F0F5F5"/>
            <w:tcMar>
              <w:top w:w="85" w:type="dxa"/>
              <w:start w:w="105" w:type="dxa"/>
              <w:bottom w:w="85" w:type="dxa"/>
              <w:end w:w="105" w:type="dxa"/>
            </w:tcMar>
            <w:vAlign w:val="top"/>
          </w:tcPr>
          <w:p>
            <w:pPr>
              <w:pStyle w:val="TableText"/>
              <w:spacing w:after="0"/>
            </w:pPr>
            <w:r>
              <w:rPr>
                <w:rFonts w:ascii="Calibri" w:hAnsi="Calibri"/>
                <w:b/>
                <w:sz w:val="19"/>
              </w:rPr>
              <w:t>Evidence and scope</w:t>
            </w:r>
          </w:p>
        </w:tc>
        <w:tc>
          <w:tcPr>
            <w:tcW w:type="dxa" w:w="7512"/>
            <w:shd w:fill="F0F5F5"/>
            <w:tcMar>
              <w:top w:w="85" w:type="dxa"/>
              <w:start w:w="105" w:type="dxa"/>
              <w:bottom w:w="85" w:type="dxa"/>
              <w:end w:w="105" w:type="dxa"/>
            </w:tcMar>
            <w:vAlign w:val="top"/>
          </w:tcPr>
          <w:p>
            <w:pPr>
              <w:pStyle w:val="TableText"/>
              <w:spacing w:after="0"/>
            </w:pPr>
            <w:r>
              <w:rPr>
                <w:rFonts w:ascii="Calibri" w:hAnsi="Calibri"/>
                <w:sz w:val="19"/>
              </w:rPr>
              <w:t>Date; class/topic or resource; what pupils did or what Tim requested; whether it is local or transferable.</w:t>
            </w:r>
          </w:p>
        </w:tc>
      </w:tr>
      <w:tr>
        <w:trPr>
          <w:cantSplit/>
        </w:trPr>
        <w:tc>
          <w:tcPr>
            <w:tcW w:type="dxa" w:w="2353"/>
            <w:shd w:fill="FAFBFC"/>
            <w:tcMar>
              <w:top w:w="85" w:type="dxa"/>
              <w:start w:w="105" w:type="dxa"/>
              <w:bottom w:w="85" w:type="dxa"/>
              <w:end w:w="105" w:type="dxa"/>
            </w:tcMar>
            <w:vAlign w:val="top"/>
          </w:tcPr>
          <w:p>
            <w:pPr>
              <w:pStyle w:val="TableText"/>
              <w:spacing w:after="0"/>
            </w:pPr>
            <w:r>
              <w:rPr>
                <w:rFonts w:ascii="Calibri" w:hAnsi="Calibri"/>
                <w:b/>
                <w:sz w:val="19"/>
              </w:rPr>
              <w:t>Amendment</w:t>
            </w:r>
          </w:p>
        </w:tc>
        <w:tc>
          <w:tcPr>
            <w:tcW w:type="dxa" w:w="7512"/>
            <w:shd w:fill="FAFBFC"/>
            <w:tcMar>
              <w:top w:w="85" w:type="dxa"/>
              <w:start w:w="105" w:type="dxa"/>
              <w:bottom w:w="85" w:type="dxa"/>
              <w:end w:w="105" w:type="dxa"/>
            </w:tcMar>
            <w:vAlign w:val="top"/>
          </w:tcPr>
          <w:p>
            <w:pPr>
              <w:pStyle w:val="TableText"/>
              <w:spacing w:after="0"/>
            </w:pPr>
            <w:r>
              <w:rPr>
                <w:rFonts w:ascii="Calibri" w:hAnsi="Calibri"/>
                <w:sz w:val="19"/>
              </w:rPr>
              <w:t>Section changed; replacement wording; reason; any limits or exceptions.</w:t>
            </w:r>
          </w:p>
        </w:tc>
      </w:tr>
      <w:tr>
        <w:trPr>
          <w:cantSplit/>
        </w:trPr>
        <w:tc>
          <w:tcPr>
            <w:tcW w:type="dxa" w:w="2353"/>
            <w:shd w:fill="F0F5F5"/>
            <w:tcMar>
              <w:top w:w="85" w:type="dxa"/>
              <w:start w:w="105" w:type="dxa"/>
              <w:bottom w:w="85" w:type="dxa"/>
              <w:end w:w="105" w:type="dxa"/>
            </w:tcMar>
            <w:vAlign w:val="top"/>
          </w:tcPr>
          <w:p>
            <w:pPr>
              <w:pStyle w:val="TableText"/>
              <w:spacing w:after="0"/>
            </w:pPr>
            <w:r>
              <w:rPr>
                <w:rFonts w:ascii="Calibri" w:hAnsi="Calibri"/>
                <w:b/>
                <w:sz w:val="19"/>
              </w:rPr>
              <w:t>Status</w:t>
            </w:r>
          </w:p>
        </w:tc>
        <w:tc>
          <w:tcPr>
            <w:tcW w:type="dxa" w:w="7512"/>
            <w:shd w:fill="F0F5F5"/>
            <w:tcMar>
              <w:top w:w="85" w:type="dxa"/>
              <w:start w:w="105" w:type="dxa"/>
              <w:bottom w:w="85" w:type="dxa"/>
              <w:end w:w="105" w:type="dxa"/>
            </w:tcMar>
            <w:vAlign w:val="top"/>
          </w:tcPr>
          <w:p>
            <w:pPr>
              <w:pStyle w:val="TableText"/>
              <w:spacing w:after="0"/>
            </w:pPr>
            <w:r>
              <w:rPr>
                <w:rFonts w:ascii="Calibri" w:hAnsi="Calibri"/>
                <w:sz w:val="19"/>
              </w:rPr>
              <w:t>Proposed, accepted for use, or classroom feedback received. Do not label a resource successful without that feedback.</w:t>
            </w:r>
          </w:p>
        </w:tc>
      </w:tr>
    </w:tbl>
    <w:p>
      <w:pPr>
        <w:spacing w:after="0" w:before="0" w:line="96" w:lineRule="auto"/>
      </w:pPr>
      <w:r>
        <w:rPr>
          <w:rFonts w:ascii="Calibri" w:hAnsi="Calibri"/>
          <w:sz w:val="6"/>
        </w:rPr>
      </w:r>
    </w:p>
    <w:p>
      <w:pPr>
        <w:pStyle w:val="Small"/>
        <w:spacing w:after="60"/>
      </w:pPr>
      <w:r>
        <w:rPr>
          <w:rFonts w:ascii="Calibri" w:hAnsi="Calibri"/>
          <w:b/>
        </w:rPr>
        <w:t>Change log: v1.1 · 18 October 2026 · Added section-matched information/reminder cards (04) and clean PDF rebuilding (05), reflecting SP2.06 feedback. v1.0 · 13 October 2026 · Initial compilation from the sources below; prepared for review. No new classroom outcomes are claimed. v1.2 workflow commands and templates: see Appendix A.</w:t>
      </w:r>
    </w:p>
    <w:p>
      <w:pPr>
        <w:pStyle w:val="Heading2"/>
        <w:spacing w:before="80"/>
      </w:pPr>
      <w:r>
        <w:rPr>
          <w:rFonts w:ascii="Calibri" w:hAnsi="Calibri"/>
        </w:rPr>
        <w:t>Sources and provenance</w:t>
      </w:r>
    </w:p>
    <w:p>
      <w:pPr>
        <w:pStyle w:val="Small"/>
        <w:spacing w:after="60"/>
      </w:pPr>
      <w:r>
        <w:rPr>
          <w:rFonts w:ascii="Calibri" w:hAnsi="Calibri"/>
          <w:b/>
        </w:rPr>
        <w:t>[1] Tim’s resource-design discussion and recorded feedback.</w:t>
      </w:r>
      <w:r>
        <w:rPr>
          <w:rFonts w:ascii="Calibri" w:hAnsi="Calibri"/>
        </w:rPr>
        <w:t xml:space="preserve"> The current conversation and earlier feedback on straight-line booklets, factorising grids, Year 8 area/probability and Year 11 vector worksheets, chiefly September–October 2026. Examples above state whether feedback concerns teaching, design or production. Original worksheet files are not embedded.</w:t>
      </w:r>
    </w:p>
    <w:p>
      <w:pPr>
        <w:pStyle w:val="Small"/>
        <w:spacing w:after="60"/>
      </w:pPr>
      <w:r>
        <w:rPr>
          <w:rFonts w:ascii="Calibri" w:hAnsi="Calibri"/>
          <w:b/>
        </w:rPr>
        <w:t>[2] Craig Barton.</w:t>
      </w:r>
      <w:r>
        <w:rPr>
          <w:rFonts w:ascii="Calibri" w:hAnsi="Calibri"/>
        </w:rPr>
        <w:t xml:space="preserve"> </w:t>
      </w:r>
      <w:hyperlink r:id="rId11">
        <w:r>
          <w:rPr>
            <w:rFonts w:ascii="Calibri" w:hAnsi="Calibri"/>
            <w:color w:val="28666E"/>
            <w:u w:val="single"/>
          </w:rPr>
          <w:t>Can AI finally create intelligently varied practice?</w:t>
        </w:r>
      </w:hyperlink>
      <w:r>
        <w:rPr>
          <w:rFonts w:ascii="Calibri" w:hAnsi="Calibri"/>
        </w:rPr>
        <w:t xml:space="preserve"> Eedi Newsletter, 13 October 2026; user-supplied article transcript. Source for critical features, short chains, mixed practice, comparison prompts and annotated exemplars. Other recommendations are the practical synthesis developed in this conversation.</w:t>
      </w:r>
    </w:p>
    <w:p>
      <w:pPr>
        <w:pStyle w:val="Small"/>
        <w:spacing w:after="60"/>
      </w:pPr>
      <w:r>
        <w:rPr>
          <w:rFonts w:ascii="Calibri" w:hAnsi="Calibri"/>
          <w:b/>
        </w:rPr>
        <w:t>[3] OpenAI Help Centre.</w:t>
      </w:r>
      <w:r>
        <w:rPr>
          <w:rFonts w:ascii="Calibri" w:hAnsi="Calibri"/>
        </w:rPr>
        <w:t xml:space="preserve"> </w:t>
      </w:r>
      <w:hyperlink r:id="rId12">
        <w:r>
          <w:rPr>
            <w:rFonts w:ascii="Calibri" w:hAnsi="Calibri"/>
            <w:color w:val="28666E"/>
            <w:u w:val="single"/>
          </w:rPr>
          <w:t>Projects in ChatGPT</w:t>
        </w:r>
      </w:hyperlink>
      <w:r>
        <w:rPr>
          <w:rFonts w:ascii="Calibri" w:hAnsi="Calibri"/>
        </w:rPr>
        <w:t xml:space="preserve"> Consulted 13 October 2026. Used only for project instructions, reference-file handling and the same-name upload caution.</w:t>
      </w:r>
    </w:p>
    <w:p>
      <w:pPr>
        <w:pStyle w:val="Label"/>
        <w:keepNext/>
        <w:pageBreakBefore/>
        <w:widowControl/>
      </w:pPr>
      <w:r>
        <w:t>APPENDIX A  /  RESOURCE CREATION WORKFLOW</w:t>
      </w:r>
    </w:p>
    <w:p>
      <w:pPr>
        <w:pStyle w:val="Heading1"/>
        <w:keepNext/>
        <w:widowControl/>
      </w:pPr>
      <w:bookmarkStart w:id="1031" w:name="WorkflowCommands"/>
      <w:r>
        <w:t>Three commands, one workflow</w:t>
      </w:r>
      <w:bookmarkEnd w:id="1031"/>
    </w:p>
    <w:p>
      <w:pPr>
        <w:pStyle w:val="Small"/>
        <w:keepNext w:val="0"/>
        <w:widowControl/>
      </w:pPr>
      <w:r>
        <w:t>Stable template names: PLAN · FINALISE · PRODUCE</w:t>
      </w:r>
    </w:p>
    <w:p>
      <w:pPr>
        <w:keepNext w:val="0"/>
        <w:widowControl/>
      </w:pPr>
      <w:r>
        <w:t>These shortcuts invoke the full templates on the following pages. Read and execute the relevant template together with the applicable sections of the current Guide; do not merely repeat the template. The shortcuts supplement ordinary requests rather than replace them.</w:t>
      </w:r>
    </w:p>
    <w:tbl>
      <w:tblPr>
        <w:tblW w:type="auto" w:w="0"/>
        <w:jc w:val="center"/>
        <w:tblLayout w:type="fixed"/>
        <w:tblLook w:firstColumn="1" w:firstRow="1" w:lastColumn="0" w:lastRow="0" w:noHBand="0" w:noVBand="1" w:val="04A0"/>
        <w:tblBorders>
          <w:top w:val="single" w:sz="4" w:color="FFFFFF"/>
          <w:bottom w:val="single" w:sz="4" w:color="FFFFFF"/>
          <w:left w:val="single" w:sz="4" w:color="FFFFFF"/>
          <w:right w:val="single" w:sz="4" w:color="FFFFFF"/>
          <w:insideH w:val="single" w:sz="4" w:color="FFFFFF"/>
          <w:insideV w:val="single" w:sz="4" w:color="FFFFFF"/>
        </w:tblBorders>
      </w:tblPr>
      <w:tblGrid>
        <w:gridCol w:w="1469"/>
        <w:gridCol w:w="3917"/>
        <w:gridCol w:w="4464"/>
      </w:tblGrid>
      <w:tr>
        <w:trPr>
          <w:cantSplit/>
          <w:tblHeader w:val="true"/>
        </w:trPr>
        <w:tc>
          <w:tcPr>
            <w:tcW w:type="dxa" w:w="1469"/>
            <w:vAlign w:val="top"/>
            <w:shd w:fill="203B49"/>
            <w:tcMar>
              <w:top w:w="90" w:type="dxa"/>
              <w:bottom w:w="90" w:type="dxa"/>
              <w:start w:w="90" w:type="dxa"/>
              <w:end w:w="90" w:type="dxa"/>
            </w:tcMar>
          </w:tcPr>
          <w:p>
            <w:pPr>
              <w:pStyle w:val="TableText"/>
              <w:spacing w:after="0"/>
            </w:pPr>
            <w:r>
              <w:rPr>
                <w:b/>
                <w:color w:val="FFFFFF"/>
              </w:rPr>
              <w:t>Template</w:t>
            </w:r>
          </w:p>
        </w:tc>
        <w:tc>
          <w:tcPr>
            <w:tcW w:type="dxa" w:w="3917"/>
            <w:vAlign w:val="top"/>
            <w:shd w:fill="203B49"/>
            <w:tcMar>
              <w:top w:w="90" w:type="dxa"/>
              <w:bottom w:w="90" w:type="dxa"/>
              <w:start w:w="90" w:type="dxa"/>
              <w:end w:w="90" w:type="dxa"/>
            </w:tcMar>
          </w:tcPr>
          <w:p>
            <w:pPr>
              <w:pStyle w:val="TableText"/>
              <w:spacing w:after="0"/>
            </w:pPr>
            <w:r>
              <w:rPr>
                <w:b/>
                <w:color w:val="FFFFFF"/>
              </w:rPr>
              <w:t>Accepted commands (examples)</w:t>
            </w:r>
          </w:p>
        </w:tc>
        <w:tc>
          <w:tcPr>
            <w:tcW w:type="dxa" w:w="4464"/>
            <w:vAlign w:val="top"/>
            <w:shd w:fill="203B49"/>
            <w:tcMar>
              <w:top w:w="90" w:type="dxa"/>
              <w:bottom w:w="90" w:type="dxa"/>
              <w:start w:w="90" w:type="dxa"/>
              <w:end w:w="90" w:type="dxa"/>
            </w:tcMar>
          </w:tcPr>
          <w:p>
            <w:pPr>
              <w:pStyle w:val="TableText"/>
              <w:spacing w:after="0"/>
            </w:pPr>
            <w:r>
              <w:rPr>
                <w:b/>
                <w:color w:val="FFFFFF"/>
              </w:rPr>
              <w:t>Output and stopping point</w:t>
            </w:r>
          </w:p>
        </w:tc>
      </w:tr>
      <w:tr>
        <w:trPr>
          <w:cantSplit/>
        </w:trPr>
        <w:tc>
          <w:tcPr>
            <w:tcW w:type="dxa" w:w="1469"/>
            <w:vAlign w:val="top"/>
            <w:shd w:fill="F0F5F5"/>
            <w:tcMar>
              <w:top w:w="90" w:type="dxa"/>
              <w:bottom w:w="90" w:type="dxa"/>
              <w:start w:w="90" w:type="dxa"/>
              <w:end w:w="90" w:type="dxa"/>
            </w:tcMar>
          </w:tcPr>
          <w:p>
            <w:pPr>
              <w:pStyle w:val="TableText"/>
              <w:spacing w:after="0"/>
            </w:pPr>
            <w:r>
              <w:rPr>
                <w:b/>
              </w:rPr>
              <w:t>PLAN</w:t>
            </w:r>
          </w:p>
        </w:tc>
        <w:tc>
          <w:tcPr>
            <w:tcW w:type="dxa" w:w="3917"/>
            <w:vAlign w:val="top"/>
            <w:shd w:fill="F0F5F5"/>
            <w:tcMar>
              <w:top w:w="90" w:type="dxa"/>
              <w:bottom w:w="90" w:type="dxa"/>
              <w:start w:w="90" w:type="dxa"/>
              <w:end w:w="90" w:type="dxa"/>
            </w:tcMar>
          </w:tcPr>
          <w:p>
            <w:pPr>
              <w:pStyle w:val="TableText"/>
              <w:spacing w:after="0"/>
            </w:pPr>
            <w:r>
              <w:rPr>
                <w:b w:val="0"/>
              </w:rPr>
              <w:t>PLAN; Plan; plan; Planning; PLANNING</w:t>
            </w:r>
          </w:p>
        </w:tc>
        <w:tc>
          <w:tcPr>
            <w:tcW w:type="dxa" w:w="4464"/>
            <w:vAlign w:val="top"/>
            <w:shd w:fill="F0F5F5"/>
            <w:tcMar>
              <w:top w:w="90" w:type="dxa"/>
              <w:bottom w:w="90" w:type="dxa"/>
              <w:start w:w="90" w:type="dxa"/>
              <w:end w:w="90" w:type="dxa"/>
            </w:tcMar>
          </w:tcPr>
          <w:p>
            <w:pPr>
              <w:pStyle w:val="TableText"/>
              <w:spacing w:after="0"/>
            </w:pPr>
            <w:r>
              <w:rPr>
                <w:b w:val="0"/>
              </w:rPr>
              <w:t>Teacher-facing progression. Stop before the final question set or worksheet.</w:t>
            </w:r>
          </w:p>
        </w:tc>
      </w:tr>
      <w:tr>
        <w:trPr>
          <w:cantSplit/>
        </w:trPr>
        <w:tc>
          <w:tcPr>
            <w:tcW w:type="dxa" w:w="1469"/>
            <w:vAlign w:val="top"/>
            <w:shd w:fill="F7FAFA"/>
            <w:tcMar>
              <w:top w:w="90" w:type="dxa"/>
              <w:bottom w:w="90" w:type="dxa"/>
              <w:start w:w="90" w:type="dxa"/>
              <w:end w:w="90" w:type="dxa"/>
            </w:tcMar>
          </w:tcPr>
          <w:p>
            <w:pPr>
              <w:pStyle w:val="TableText"/>
              <w:spacing w:after="0"/>
            </w:pPr>
            <w:r>
              <w:rPr>
                <w:b/>
              </w:rPr>
              <w:t>FINALISE</w:t>
            </w:r>
          </w:p>
        </w:tc>
        <w:tc>
          <w:tcPr>
            <w:tcW w:type="dxa" w:w="3917"/>
            <w:vAlign w:val="top"/>
            <w:shd w:fill="F7FAFA"/>
            <w:tcMar>
              <w:top w:w="90" w:type="dxa"/>
              <w:bottom w:w="90" w:type="dxa"/>
              <w:start w:w="90" w:type="dxa"/>
              <w:end w:w="90" w:type="dxa"/>
            </w:tcMar>
          </w:tcPr>
          <w:p>
            <w:pPr>
              <w:pStyle w:val="TableText"/>
              <w:spacing w:after="0"/>
            </w:pPr>
            <w:r>
              <w:rPr>
                <w:b w:val="0"/>
              </w:rPr>
              <w:t>FINALISE; Finalise; finalise; Finalise question set; FINALISE QUESTION SET</w:t>
            </w:r>
          </w:p>
        </w:tc>
        <w:tc>
          <w:tcPr>
            <w:tcW w:type="dxa" w:w="4464"/>
            <w:vAlign w:val="top"/>
            <w:shd w:fill="F7FAFA"/>
            <w:tcMar>
              <w:top w:w="90" w:type="dxa"/>
              <w:bottom w:w="90" w:type="dxa"/>
              <w:start w:w="90" w:type="dxa"/>
              <w:end w:w="90" w:type="dxa"/>
            </w:tcMar>
          </w:tcPr>
          <w:p>
            <w:pPr>
              <w:pStyle w:val="TableText"/>
              <w:spacing w:after="0"/>
            </w:pPr>
            <w:r>
              <w:rPr>
                <w:b w:val="0"/>
              </w:rPr>
              <w:t>Exact pupil specification and clearly labelled non-printing notes. No PDF.</w:t>
            </w:r>
          </w:p>
        </w:tc>
      </w:tr>
      <w:tr>
        <w:trPr>
          <w:cantSplit/>
        </w:trPr>
        <w:tc>
          <w:tcPr>
            <w:tcW w:type="dxa" w:w="1469"/>
            <w:vAlign w:val="top"/>
            <w:shd w:fill="F0F5F5"/>
            <w:tcMar>
              <w:top w:w="90" w:type="dxa"/>
              <w:bottom w:w="90" w:type="dxa"/>
              <w:start w:w="90" w:type="dxa"/>
              <w:end w:w="90" w:type="dxa"/>
            </w:tcMar>
          </w:tcPr>
          <w:p>
            <w:pPr>
              <w:pStyle w:val="TableText"/>
              <w:spacing w:after="0"/>
            </w:pPr>
            <w:r>
              <w:rPr>
                <w:b/>
              </w:rPr>
              <w:t>PRODUCE</w:t>
            </w:r>
          </w:p>
        </w:tc>
        <w:tc>
          <w:tcPr>
            <w:tcW w:type="dxa" w:w="3917"/>
            <w:vAlign w:val="top"/>
            <w:shd w:fill="F0F5F5"/>
            <w:tcMar>
              <w:top w:w="90" w:type="dxa"/>
              <w:bottom w:w="90" w:type="dxa"/>
              <w:start w:w="90" w:type="dxa"/>
              <w:end w:w="90" w:type="dxa"/>
            </w:tcMar>
          </w:tcPr>
          <w:p>
            <w:pPr>
              <w:pStyle w:val="TableText"/>
              <w:spacing w:after="0"/>
            </w:pPr>
            <w:r>
              <w:rPr>
                <w:b w:val="0"/>
              </w:rPr>
              <w:t>PRODUCE; Produce; produce; Production; PRODUCTION</w:t>
            </w:r>
          </w:p>
        </w:tc>
        <w:tc>
          <w:tcPr>
            <w:tcW w:type="dxa" w:w="4464"/>
            <w:vAlign w:val="top"/>
            <w:shd w:fill="F0F5F5"/>
            <w:tcMar>
              <w:top w:w="90" w:type="dxa"/>
              <w:bottom w:w="90" w:type="dxa"/>
              <w:start w:w="90" w:type="dxa"/>
              <w:end w:w="90" w:type="dxa"/>
            </w:tcMar>
          </w:tcPr>
          <w:p>
            <w:pPr>
              <w:pStyle w:val="TableText"/>
              <w:spacing w:after="0"/>
            </w:pPr>
            <w:r>
              <w:rPr>
                <w:b w:val="0"/>
              </w:rPr>
              <w:t>Create and check the resource from the latest finalised set.</w:t>
            </w:r>
          </w:p>
        </w:tc>
      </w:tr>
    </w:tbl>
    <w:p>
      <w:pPr>
        <w:keepNext w:val="0"/>
        <w:widowControl/>
        <w:spacing w:line="20" w:lineRule="exact" w:after="60"/>
      </w:pPr>
      <w:r/>
    </w:p>
    <w:p>
      <w:pPr>
        <w:keepNext w:val="0"/>
        <w:widowControl/>
      </w:pPr>
      <w:r>
        <w:t>Command matching is case-insensitive. Uppercase PLAN, FINALISE and PRODUCE are explicitly supported, as are the mixed-case and lowercase versions above. Recognise a command when it requests an action, including with a colon and an objective; do not trigger it when it is merely quoted or discussed.</w:t>
      </w:r>
    </w:p>
    <w:p>
      <w:pPr>
        <w:pStyle w:val="Heading2"/>
        <w:keepNext/>
        <w:widowControl/>
      </w:pPr>
      <w:r>
        <w:t>Carry the resource forward, not unrelated assumptions</w:t>
      </w:r>
    </w:p>
    <w:p>
      <w:pPr>
        <w:keepNext w:val="0"/>
        <w:widowControl/>
      </w:pPr>
      <w:r>
        <w:t>Use the current resource’s objective, code, class, prior teaching, calculator expectations, format and latest agreed decisions. Explicit current instructions and corrections override template defaults. Do not transfer another class’s accessibility rules indiscriminately. If the target resource or essential context is ambiguous, ask only for what is missing.</w:t>
      </w:r>
    </w:p>
    <w:p>
      <w:pPr>
        <w:keepNext w:val="0"/>
        <w:widowControl/>
      </w:pPr>
      <w:r>
        <w:t>A command completes one stage, not the whole sequence. PRODUCE authorises production of the latest finalised question set and subsequent corrections; do not add another approval gate. If that set or a required template cannot be accessed, identify the missing material instead of reconstructing it from guesses.</w:t>
      </w:r>
    </w:p>
    <w:p>
      <w:pPr>
        <w:pStyle w:val="Heading2"/>
        <w:keepNext/>
        <w:widowControl/>
      </w:pPr>
      <w:r>
        <w:t>Typical use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866"/>
      </w:tblGrid>
      <w:tr>
        <w:trPr>
          <w:cantSplit/>
        </w:trPr>
        <w:tc>
          <w:tcPr>
            <w:tcW w:type="dxa" w:w="9866"/>
            <w:shd w:fill="F0F5F5"/>
            <w:tcMar>
              <w:top w:w="120" w:type="dxa"/>
              <w:bottom w:w="120" w:type="dxa"/>
              <w:start w:w="120" w:type="dxa"/>
              <w:end w:w="120" w:type="dxa"/>
            </w:tcMar>
          </w:tcPr>
          <w:p>
            <w:pPr>
              <w:pStyle w:val="Callout"/>
              <w:keepLines/>
            </w:pPr>
            <w:r>
              <w:t>PLAN: SP2.07 — Use experimental probability to calculate expected outcomes. Same class and format.</w:t>
              <w:br/>
              <w:br/>
              <w:t>FINALISE</w:t>
              <w:br/>
              <w:br/>
              <w:t>PRODUCE</w:t>
            </w:r>
          </w:p>
        </w:tc>
      </w:tr>
    </w:tbl>
    <w:p>
      <w:pPr>
        <w:keepNext w:val="0"/>
        <w:widowControl/>
        <w:spacing w:before="0" w:after="60" w:line="20" w:lineRule="exact"/>
      </w:pPr>
      <w:r/>
      <w:r>
        <w:rPr>
          <w:sz w:val="2"/>
        </w:rPr>
      </w:r>
    </w:p>
    <w:p>
      <w:pPr>
        <w:pStyle w:val="Heading2"/>
        <w:keepNext/>
        <w:widowControl/>
      </w:pPr>
      <w:r>
        <w:t>Provenance and limits</w:t>
      </w:r>
    </w:p>
    <w:p>
      <w:pPr>
        <w:pStyle w:val="Small"/>
        <w:keepNext w:val="0"/>
        <w:widowControl/>
      </w:pPr>
      <w:r>
        <w:t>Barton’s article informs the critical features, purposeful short chains, mixed practice, compare/predict prompts, and use of annotated examples and non-examples. [2] The three-stage handover, accessibility decisions, production standards and command convention are adaptations from Tim’s resource-design workflow, not prompts quoted from Barton. [1] These are instruction-based shortcuts, not deterministic macros; the checking requirements remain essential.</w:t>
      </w:r>
    </w:p>
    <w:p>
      <w:pPr>
        <w:pStyle w:val="Small"/>
        <w:keepNext w:val="0"/>
        <w:widowControl/>
      </w:pPr>
      <w:r>
        <w:t>v1.2 change record · 18 October 2026 · Added Appendix A, including case-insensitive commands, complete stage templates, a Project-instructions add-on and clearer attribution. Existing design and revision conventions are retained. No new classroom outcomes or completed cross-chat workflow tests are claimed.</w:t>
      </w:r>
    </w:p>
    <w:p>
      <w:pPr>
        <w:pStyle w:val="Label"/>
        <w:keepNext/>
        <w:pageBreakBefore/>
        <w:widowControl/>
      </w:pPr>
      <w:r>
        <w:t>APPENDIX A  /  TEMPLATE: PLAN</w:t>
      </w:r>
    </w:p>
    <w:p>
      <w:pPr>
        <w:pStyle w:val="Heading1"/>
        <w:keepNext/>
        <w:widowControl/>
      </w:pPr>
      <w:bookmarkStart w:id="1045" w:name="PLAN"/>
      <w:r>
        <w:t>PLAN — Planning template</w:t>
      </w:r>
      <w:bookmarkEnd w:id="1045"/>
    </w:p>
    <w:p>
      <w:pPr>
        <w:pStyle w:val="Small"/>
        <w:keepNext w:val="0"/>
        <w:widowControl/>
      </w:pPr>
      <w:r>
        <w:t>Input: objective and resource context. Output: teacher-facing progression only.</w:t>
      </w:r>
    </w:p>
    <w:p>
      <w:pPr>
        <w:pStyle w:val="Small"/>
        <w:keepNext w:val="0"/>
        <w:widowControl/>
      </w:pPr>
      <w:r>
        <w:t>Apply the following instructions to the current resource. Resolve bracketed inputs from the user’s request and established context; they are not text to print on the worksheet.</w:t>
      </w:r>
    </w:p>
    <w:p>
      <w:pPr>
        <w:keepNext w:val="0"/>
        <w:widowControl/>
      </w:pPr>
      <w:r>
        <w:rPr>
          <w:b/>
        </w:rPr>
        <w:t>Learning objective:</w:t>
      </w:r>
      <w:r>
        <w:t xml:space="preserve"> [code — full learning objective]</w:t>
      </w:r>
    </w:p>
    <w:p>
      <w:pPr>
        <w:keepNext w:val="0"/>
        <w:widowControl/>
      </w:pPr>
      <w:r>
        <w:t>Plan a progression of questions for the requested resource. Unless the current brief specifies otherwise, plan a double-sided A3 landscape worksheet. Use the current Maths Resource Design Guide and the relevant class context, prior teaching and accessibility decisions already established for this resource.</w:t>
      </w:r>
    </w:p>
    <w:p>
      <w:pPr>
        <w:keepNext w:val="0"/>
        <w:widowControl/>
      </w:pPr>
      <w:r>
        <w:t>Briefly identify the essential prerequisites, intended mathematical insights and likely misconceptions. Keep the lesson focused on this objective, distinguishing it from adjacent objectives already supplied. Include a prerequisite check or bridge only where it is needed.</w:t>
      </w:r>
    </w:p>
    <w:p>
      <w:pPr>
        <w:keepNext w:val="0"/>
        <w:widowControl/>
      </w:pPr>
      <w:r>
        <w:t>For each section, specify the proposed question content, its purpose, what stays the same and changes, and which scaffolds are introduced, retained or removed. Give enough detail about numbers, diagrams and task types to evaluate the progression, without yet presenting the final pupil wording.</w:t>
      </w:r>
    </w:p>
    <w:p>
      <w:pPr>
        <w:keepNext w:val="0"/>
        <w:widowControl/>
      </w:pPr>
      <w:r>
        <w:t>Plan mathematical difficulty, representation changes and scaffold fading separately. Use short, purposeful chains where comparison reveals useful mathematics; reset to a familiar case when introducing a new idea. Do not force minimally different questions onto every activity or remove scaffolds at arbitrary question numbers.</w:t>
      </w:r>
    </w:p>
    <w:p>
      <w:pPr>
        <w:keepNext w:val="0"/>
        <w:widowControl/>
      </w:pPr>
      <w:r>
        <w:t>For each purposeful comparison, identify what pupils should notice and, where useful, a brief compare or predict prompt. Do not require a written explanation after every question. Include a fresh independent check without a neighbouring pattern that supplies the answer, and appropriate depth for stronger pupils without unnecessary reading or notation demands.</w:t>
      </w:r>
    </w:p>
    <w:p>
      <w:pPr>
        <w:keepNext w:val="0"/>
        <w:widowControl/>
      </w:pPr>
      <w:r>
        <w:t>Where a relevant approved exemplar is available, inspect it and identify the design features worth transferring. Use recorded examples and non-examples to guide decisions, without copying topic-specific features indiscriminately. If an exemplar is required but inaccessible, say so rather than inventing its contents.</w:t>
      </w:r>
    </w:p>
    <w:p>
      <w:pPr>
        <w:keepNext w:val="0"/>
        <w:widowControl/>
      </w:pPr>
      <w:r>
        <w:t>Propose a realistic quantity of questions and allocation across the requested pages, allowing enough space for the working, writing, shading or drawing pupils must actually do. Do not add questions merely to fill the page or prescribe a fixed number of sections for every objective.</w:t>
      </w:r>
    </w:p>
    <w:p>
      <w:pPr>
        <w:keepNext w:val="0"/>
        <w:widowControl/>
      </w:pPr>
      <w:r>
        <w:t>Use information already supplied, including calculator expectations. State reasonable minor assumptions and flag only important unresolved questions. Keep the rationale teacher-facing. Check the proposed mathematics and the suitability of each transition before presenting the plan.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866"/>
      </w:tblGrid>
      <w:tr>
        <w:trPr>
          <w:cantSplit/>
        </w:trPr>
        <w:tc>
          <w:tcPr>
            <w:tcW w:type="dxa" w:w="9866"/>
            <w:shd w:fill="F0F5F5"/>
            <w:tcMar>
              <w:top w:w="120" w:type="dxa"/>
              <w:bottom w:w="120" w:type="dxa"/>
              <w:start w:w="120" w:type="dxa"/>
              <w:end w:w="120" w:type="dxa"/>
            </w:tcMar>
          </w:tcPr>
          <w:p>
            <w:pPr>
              <w:pStyle w:val="Callout"/>
              <w:keepLines/>
            </w:pPr>
            <w:r>
              <w:t>Stop after planning. Do not create the finalised question set or the worksheet yet.</w:t>
            </w:r>
          </w:p>
        </w:tc>
      </w:tr>
    </w:tbl>
    <w:p>
      <w:pPr>
        <w:keepNext w:val="0"/>
        <w:widowControl/>
        <w:spacing w:before="0" w:after="60" w:line="20" w:lineRule="exact"/>
      </w:pPr>
      <w:r/>
      <w:r>
        <w:rPr>
          <w:sz w:val="2"/>
        </w:rPr>
      </w:r>
    </w:p>
    <w:p>
      <w:pPr>
        <w:pStyle w:val="Label"/>
        <w:keepNext/>
        <w:pageBreakBefore/>
        <w:widowControl/>
      </w:pPr>
      <w:r>
        <w:t>APPENDIX A  /  TEMPLATE: FINALISE</w:t>
      </w:r>
    </w:p>
    <w:p>
      <w:pPr>
        <w:pStyle w:val="Heading1"/>
        <w:keepNext/>
        <w:widowControl/>
      </w:pPr>
      <w:bookmarkStart w:id="1059" w:name="FINALISE"/>
      <w:r>
        <w:t>FINALISE — Question-set template</w:t>
      </w:r>
      <w:bookmarkEnd w:id="1059"/>
    </w:p>
    <w:p>
      <w:pPr>
        <w:pStyle w:val="Small"/>
        <w:keepNext w:val="0"/>
        <w:widowControl/>
      </w:pPr>
      <w:r>
        <w:t>Input: latest agreed plan and corrections. Output: exact content specification, not a PDF.</w:t>
      </w:r>
    </w:p>
    <w:p>
      <w:pPr>
        <w:keepNext w:val="0"/>
        <w:widowControl/>
      </w:pPr>
      <w:r>
        <w:t>Finalise the complete question set for [code — current resource], using the latest agreed plan and the user’s subsequent corrections. Read and apply the relevant sections of the current Maths Resource Design Guide.</w:t>
      </w:r>
    </w:p>
    <w:p>
      <w:pPr>
        <w:keepNext w:val="0"/>
        <w:widowControl/>
      </w:pPr>
      <w:r>
        <w:t>State exactly what pupils will read and complete: the numbered questions, shared information, necessary reminders, any agreed worked examples, and the precise scaffolding. Show which entries are supplied and which are left blank. Do not leave the production stage to invent question content or decide when support disappears.</w:t>
      </w:r>
    </w:p>
    <w:p>
      <w:pPr>
        <w:keepNext w:val="0"/>
        <w:widowControl/>
      </w:pPr>
      <w:r>
        <w:t>Preserve the agreed progression and scope. Use concise wording appropriate to this class and retain the established notation and accessibility decisions. Do not change the mathematical task, add extra questions or reintroduce rejected wording during finalisation.</w:t>
      </w:r>
    </w:p>
    <w:p>
      <w:pPr>
        <w:keepNext w:val="0"/>
        <w:widowControl/>
      </w:pPr>
      <w:r>
        <w:t>Include all information needed for each experiment or context, such as labels, units, equal likelihood, independence or replacement where relevant. Make the scope of shared diagrams and information cards explicit by giving the correct question references. Retain useful reminders without giving away answers in independent checks.</w:t>
      </w:r>
    </w:p>
    <w:p>
      <w:pPr>
        <w:keepNext w:val="0"/>
        <w:widowControl/>
      </w:pPr>
      <w:r>
        <w:t>Where a diagram or scaffold cannot be represented clearly in the response, add a concise “Production note — not pupil text”, linked to the relevant question or shared-information card. Specify the labels, values, shading, pre-filled entries, blank parts and relationships needed to construct it accurately. Do not use a written diagram description as a replacement for the actual diagram on the pupil sheet.</w:t>
      </w:r>
    </w:p>
    <w:p>
      <w:pPr>
        <w:keepNext w:val="0"/>
        <w:widowControl/>
      </w:pPr>
      <w:r>
        <w:t>Distinguish the exact pupil content from those non-printing construction notes. Keep pedagogical rationale, anticipated misconceptions, teacher answers and solutions to the pupil exercises out of this response. Retain deliberately supplied worked examples, completed entries and other agreed teaching material; these are not an unsolicited answer key.</w:t>
      </w:r>
    </w:p>
    <w:p>
      <w:pPr>
        <w:keepNext w:val="0"/>
        <w:widowControl/>
      </w:pPr>
      <w:r>
        <w:t>Check every question mathematically, including examples and distractors. Check wording, numbering, shared-question references, diagram specifications, scaffold fading and any possible alternative answers. Flag a substantive ambiguity or error rather than silently changing the agreed task.</w:t>
      </w:r>
    </w:p>
    <w:p>
      <w:pPr>
        <w:keepNext w:val="0"/>
        <w:widowControl/>
      </w:pPr>
      <w:r>
        <w:t>The result is the authoritative content specification for production, subject to the user’s later corrections. Leave production freedom over line wrapping, spacing and diagram scale while preserving the specified content, geometry and support. If the agreed content cannot fit legibly in the requested format, flag that issue rather than silently cutting it.</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866"/>
      </w:tblGrid>
      <w:tr>
        <w:trPr>
          <w:cantSplit/>
        </w:trPr>
        <w:tc>
          <w:tcPr>
            <w:tcW w:type="dxa" w:w="9866"/>
            <w:shd w:fill="F0F5F5"/>
            <w:tcMar>
              <w:top w:w="120" w:type="dxa"/>
              <w:bottom w:w="120" w:type="dxa"/>
              <w:start w:w="120" w:type="dxa"/>
              <w:end w:w="120" w:type="dxa"/>
            </w:tcMar>
          </w:tcPr>
          <w:p>
            <w:pPr>
              <w:pStyle w:val="Callout"/>
              <w:keepLines/>
            </w:pPr>
            <w:r>
              <w:t>Stop after finalising the specification. Do not create the PDF yet.</w:t>
            </w:r>
          </w:p>
        </w:tc>
      </w:tr>
    </w:tbl>
    <w:p>
      <w:pPr>
        <w:keepNext w:val="0"/>
        <w:widowControl/>
        <w:spacing w:before="0" w:after="60" w:line="20" w:lineRule="exact"/>
      </w:pPr>
      <w:r/>
      <w:r>
        <w:rPr>
          <w:sz w:val="2"/>
        </w:rPr>
      </w:r>
    </w:p>
    <w:p>
      <w:pPr>
        <w:pStyle w:val="Label"/>
        <w:keepNext/>
        <w:pageBreakBefore/>
        <w:widowControl/>
      </w:pPr>
      <w:r>
        <w:t>APPENDIX A  /  TEMPLATE: PRODUCE</w:t>
      </w:r>
    </w:p>
    <w:p>
      <w:pPr>
        <w:pStyle w:val="Heading1"/>
        <w:keepNext/>
        <w:widowControl/>
      </w:pPr>
      <w:bookmarkStart w:id="1071" w:name="PRODUCE"/>
      <w:r>
        <w:t>PRODUCE — Production template</w:t>
      </w:r>
      <w:bookmarkEnd w:id="1071"/>
    </w:p>
    <w:p>
      <w:pPr>
        <w:pStyle w:val="Small"/>
        <w:keepNext w:val="0"/>
        <w:widowControl/>
      </w:pPr>
      <w:r>
        <w:t>Input: latest finalised specification and corrections. Output: checked resource and download link.</w:t>
      </w:r>
    </w:p>
    <w:p>
      <w:pPr>
        <w:keepNext w:val="0"/>
        <w:widowControl/>
      </w:pPr>
      <w:r>
        <w:t>Create the worksheet for [code — current resource] from the latest finalised question set and the user’s subsequent corrections. Treat that specification as authoritative: the earlier plan may inform layout decisions, but it is not an alternative source from which to select different questions.</w:t>
      </w:r>
    </w:p>
    <w:p>
      <w:pPr>
        <w:keepNext w:val="0"/>
        <w:widowControl/>
      </w:pPr>
      <w:r>
        <w:t>Unless the current brief specifies otherwise, produce a two-page A3 landscape PDF suitable for double-sided printing, with narrow practical margins and genuine vector text, mathematical notation, diagrams, shading and borders. Apply any explicit alternative format instead of imposing the worksheet default.</w:t>
      </w:r>
    </w:p>
    <w:p>
      <w:pPr>
        <w:keepNext w:val="0"/>
        <w:widowControl/>
      </w:pPr>
      <w:r>
        <w:t>Use the current Maths Resource Design Guide. Match the established resource style where applicable. Shared information, repeated data, definitions and reminders must use a very pale tint of their surrounding section’s colour, without question-number badges or prominent borders. Keep each card close to the questions that need it.</w:t>
      </w:r>
    </w:p>
    <w:p>
      <w:pPr>
        <w:keepNext w:val="0"/>
        <w:widowControl/>
      </w:pPr>
      <w:r>
        <w:t>Preserve the approved wording, numbering, mathematical content, diagram information and scaffolding. Use non-printing production notes to construct the resource; do not print those notes or teacher-facing rationale. Do not expose exercise answers unless they are part of an agreed worked example or supplied scaffold.</w:t>
      </w:r>
    </w:p>
    <w:p>
      <w:pPr>
        <w:keepNext w:val="0"/>
        <w:widowControl/>
      </w:pPr>
      <w:r>
        <w:t>Use the full printable width and height. Allocate space according to the working, writing, shading or drawing each task requires. Large blank construction areas are useful space, not gaps to fill with text. Maintain readable type and sufficient handwriting room, including the vertical height of numerator and denominator boxes where specified.</w:t>
      </w:r>
    </w:p>
    <w:p>
      <w:pPr>
        <w:keepNext w:val="0"/>
        <w:widowControl/>
      </w:pPr>
      <w:r>
        <w:t>Reflow rather than crowd the page or distort diagram geometry. Do not add, omit or rewrite questions merely to make the layout fit. If preserving the approved content and legibility requires a substantive change, flag it rather than making that change silently.</w:t>
      </w:r>
    </w:p>
    <w:p>
      <w:pPr>
        <w:keepNext w:val="0"/>
        <w:widowControl/>
      </w:pPr>
      <w:r>
        <w:t>For revisions, edit and regenerate the original source; never mask old content with patches, replacement cards or overlays. If the source is unavailable, reconstruct the affected section using native vector elements and check it against the approved original. Preserve and verify everything outside the requested changes. Retain the editable generation source where available for future revisions.</w:t>
      </w:r>
    </w:p>
    <w:p>
      <w:pPr>
        <w:keepNext w:val="0"/>
        <w:widowControl/>
      </w:pPr>
      <w:r>
        <w:t>Check the mathematics and compare the actual PDF against the finalised set. Render and inspect both pages for legibility, alignment, overlaps, clipping, diagram accuracy and usable working space. Verify page count, page size and orientation, and that text and diagrams are not rasterised. Report any unresolved issue; do not claim checks succeeded when they did not.</w:t>
      </w:r>
    </w:p>
    <w:p>
      <w:pPr>
        <w:keepNext w:val="0"/>
        <w:widowControl/>
      </w:pPr>
      <w:r>
        <w:t>For an A3 worksheet, save the final PDF as [code]_[full learning objective]_A3.pdf. Use two-digit objective suffixes, such as SP2.07; omit year-group labels and version information. Add _Answers before _A3 only for a separately requested answer sheet. Use the supplied code and adapt the format suffix if the requested format differs.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9866"/>
      </w:tblGrid>
      <w:tr>
        <w:trPr>
          <w:cantSplit/>
        </w:trPr>
        <w:tc>
          <w:tcPr>
            <w:tcW w:type="dxa" w:w="9866"/>
            <w:shd w:fill="F0F5F5"/>
            <w:tcMar>
              <w:top w:w="120" w:type="dxa"/>
              <w:bottom w:w="120" w:type="dxa"/>
              <w:start w:w="120" w:type="dxa"/>
              <w:end w:w="120" w:type="dxa"/>
            </w:tcMar>
          </w:tcPr>
          <w:p>
            <w:pPr>
              <w:pStyle w:val="Callout"/>
              <w:keepLines/>
            </w:pPr>
            <w:r>
              <w:t>Deliver the checked PDF download link. Do not require another approval step after an explicit PRODUCE request when the required specification is available.</w:t>
            </w:r>
          </w:p>
        </w:tc>
      </w:tr>
    </w:tbl>
    <w:p>
      <w:pPr>
        <w:keepNext w:val="0"/>
        <w:widowControl/>
        <w:spacing w:before="0" w:after="60" w:line="20" w:lineRule="exact"/>
      </w:pPr>
      <w:r/>
      <w:r>
        <w:rPr>
          <w:sz w:val="2"/>
        </w:rPr>
      </w:r>
    </w:p>
    <w:p>
      <w:pPr>
        <w:pStyle w:val="Label"/>
        <w:keepNext/>
        <w:pageBreakBefore/>
        <w:widowControl/>
      </w:pPr>
      <w:r>
        <w:t>APPENDIX A  /  PROJECT-INSTRUCTIONS ADD-ON</w:t>
      </w:r>
    </w:p>
    <w:p>
      <w:pPr>
        <w:pStyle w:val="Heading1"/>
        <w:keepNext/>
        <w:widowControl/>
      </w:pPr>
      <w:bookmarkStart w:id="1084" w:name="WorkflowSetup"/>
      <w:r>
        <w:t>Activate the three shortcuts</w:t>
      </w:r>
      <w:bookmarkEnd w:id="1084"/>
    </w:p>
    <w:p>
      <w:pPr>
        <w:pStyle w:val="Small"/>
        <w:keepNext w:val="0"/>
        <w:widowControl/>
      </w:pPr>
      <w:r>
        <w:t>Add the block below alongside the standing Project instructions in Section 08.</w:t>
      </w:r>
    </w:p>
    <w:p>
      <w:pPr>
        <w:keepNext w:val="0"/>
        <w:widowControl/>
      </w:pPr>
      <w:r>
        <w:t>Keep the current Guide in the Project sources and one active version of the templates. The block below points to that reference rather than duplicating the full prompts. Updating this document does not itself change the stored Project instructions or replace the active Project file.</w:t>
      </w:r>
    </w:p>
    <w:p>
      <w:pPr>
        <w:pStyle w:val="Heading2"/>
        <w:keepNext/>
        <w:widowControl/>
      </w:pPr>
      <w:r>
        <w:t>Copy-ready Project-instructions block</w:t>
      </w:r>
    </w:p>
    <w:p>
      <w:pPr>
        <w:keepNext w:val="0"/>
        <w:widowControl/>
        <w:spacing w:after="120" w:line="252" w:lineRule="auto"/>
        <w:shd w:fill="F0F5F5"/>
        <w:ind w:left="160" w:right="160"/>
      </w:pPr>
      <w:r>
        <w:rPr>
          <w:b/>
          <w:sz w:val="21"/>
        </w:rPr>
        <w:t>Resource workflow commands</w:t>
      </w:r>
    </w:p>
    <w:p>
      <w:pPr>
        <w:keepNext w:val="0"/>
        <w:widowControl/>
        <w:spacing w:after="120" w:line="252" w:lineRule="auto"/>
        <w:shd w:fill="F0F5F5"/>
        <w:ind w:left="160" w:right="160"/>
      </w:pPr>
      <w:r>
        <w:rPr>
          <w:sz w:val="21"/>
        </w:rPr>
        <w:t>When I use one of the following phrases to request an action, read and execute the corresponding template in Appendix A — Resource creation workflow of the current Maths Resource Design Guide. Apply the relevant sections of the Guide. Execute the template; do not merely quote or summarise it.</w:t>
      </w:r>
    </w:p>
    <w:p>
      <w:pPr>
        <w:keepNext w:val="0"/>
        <w:widowControl/>
        <w:spacing w:after="120" w:line="252" w:lineRule="auto"/>
        <w:shd w:fill="F0F5F5"/>
        <w:ind w:left="160" w:right="160"/>
      </w:pPr>
      <w:r>
        <w:rPr>
          <w:sz w:val="21"/>
        </w:rPr>
        <w:t>Match commands case-insensitively. Explicitly recognise PLAN, FINALISE and PRODUCE in full capitals, and their lowercase and mixed-case versions. Also recognise Planning, Finalise question set and Production in any capitalisation.</w:t>
      </w:r>
    </w:p>
    <w:p>
      <w:pPr>
        <w:keepNext w:val="0"/>
        <w:widowControl/>
        <w:spacing w:after="120" w:line="252" w:lineRule="auto"/>
        <w:shd w:fill="F0F5F5"/>
        <w:ind w:left="160" w:right="160"/>
      </w:pPr>
      <w:r>
        <w:rPr>
          <w:sz w:val="21"/>
        </w:rPr>
        <w:t>PLAN / Planning → PLAN template. Use the stated objective and relevant established class context. Return the teacher-facing progression only; stop before the finalised question set or worksheet.</w:t>
      </w:r>
    </w:p>
    <w:p>
      <w:pPr>
        <w:keepNext w:val="0"/>
        <w:widowControl/>
        <w:spacing w:after="120" w:line="252" w:lineRule="auto"/>
        <w:shd w:fill="F0F5F5"/>
        <w:ind w:left="160" w:right="160"/>
      </w:pPr>
      <w:r>
        <w:rPr>
          <w:sz w:val="21"/>
        </w:rPr>
        <w:t>FINALISE / Finalise question set → FINALISE template. Use the latest agreed plan for the current resource and my subsequent corrections. Return the complete pupil-content specification with clearly labelled non-printing production notes. Do not create a PDF.</w:t>
      </w:r>
    </w:p>
    <w:p>
      <w:pPr>
        <w:keepNext w:val="0"/>
        <w:widowControl/>
        <w:spacing w:after="120" w:line="252" w:lineRule="auto"/>
        <w:shd w:fill="F0F5F5"/>
        <w:ind w:left="160" w:right="160"/>
      </w:pPr>
      <w:r>
        <w:rPr>
          <w:sz w:val="21"/>
        </w:rPr>
        <w:t>PRODUCE / Production → PRODUCE template. Use the latest finalised question set for the current resource and my subsequent corrections. Create and check the requested resource. My PRODUCE request authorises that stage; do not add another approval gate.</w:t>
      </w:r>
    </w:p>
    <w:p>
      <w:pPr>
        <w:keepNext w:val="0"/>
        <w:widowControl/>
        <w:spacing w:after="120" w:line="252" w:lineRule="auto"/>
        <w:shd w:fill="F0F5F5"/>
        <w:ind w:left="160" w:right="160"/>
      </w:pPr>
      <w:r>
        <w:rPr>
          <w:sz w:val="21"/>
        </w:rPr>
        <w:t>Carry forward the current resource’s code, objective, class, prior teaching, calculator expectations, format and agreed decisions. My explicit current instructions override template defaults. Do not import unrelated class-specific decisions or substitute an older proposal for finalised content.</w:t>
      </w:r>
    </w:p>
    <w:p>
      <w:pPr>
        <w:keepNext w:val="0"/>
        <w:widowControl/>
        <w:spacing w:after="120" w:line="252" w:lineRule="auto"/>
        <w:shd w:fill="F0F5F5"/>
        <w:ind w:left="160" w:right="160"/>
      </w:pPr>
      <w:r>
        <w:rPr>
          <w:sz w:val="21"/>
        </w:rPr>
        <w:t>Complete only the stage requested. Treat the phrases as commands only when they request an action, including at the start of a request followed by an objective or details—not when they are merely quoted or discussed. Ordinary requests remain valid.</w:t>
      </w:r>
    </w:p>
    <w:p>
      <w:pPr>
        <w:keepNext w:val="0"/>
        <w:widowControl/>
        <w:spacing w:after="120" w:line="252" w:lineRule="auto"/>
        <w:shd w:fill="F0F5F5"/>
        <w:ind w:left="160" w:right="160"/>
      </w:pPr>
      <w:r>
        <w:rPr>
          <w:sz w:val="21"/>
        </w:rPr>
        <w:t>If the current template or the required plan, question set or essential context cannot be accessed, state what is missing and ask only for what is needed. Do not invent a replacement template, pretend to have read a source, or proceed from a guessed resource.</w:t>
      </w:r>
    </w:p>
    <w:p>
      <w:pPr>
        <w:pStyle w:val="Heading2"/>
        <w:keepNext/>
        <w:widowControl/>
      </w:pPr>
      <w:r>
        <w:t>Check the handover once</w:t>
      </w:r>
    </w:p>
    <w:p>
      <w:pPr>
        <w:pStyle w:val="Small"/>
        <w:keepNext w:val="0"/>
        <w:widowControl/>
      </w:pPr>
      <w:r>
        <w:t>In a fresh Project chat, test PLAN with an objective and class context, then FINALISE, then PRODUCE. Check that each stage stops at the right point and that production uses the finalised specification. These are proposed acceptance checks, not a claim that a cross-chat test has already been completed.</w:t>
      </w:r>
    </w:p>
    <w:sectPr w:rsidR="00FC693F" w:rsidRPr="0006063C" w:rsidSect="00034616">
      <w:headerReference w:type="default" r:id="rId9"/>
      <w:footerReference w:type="default" r:id="rId10"/>
      <w:footerReference w:type="first" r:id="rId13"/>
      <w:footerReference w:type="even" r:id="rId14"/>
      <w:pgSz w:w="11906" w:h="16838"/>
      <w:pgMar w:top="1020" w:right="1020" w:bottom="935"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865" w:val="right"/>
      </w:tabs>
      <w:spacing w:before="0" w:after="0"/>
    </w:pPr>
    <w:r>
      <w:rPr>
        <w:rFonts w:ascii="Calibri" w:hAnsi="Calibri"/>
        <w:sz w:val="16"/>
      </w:rPr>
      <w:t>v1.2  •  18 October 2026</w:t>
    </w:r>
    <w:r>
      <w:rPr>
        <w:rFonts w:ascii="Calibri" w:hAnsi="Calibri"/>
      </w:rPr>
      <w:tab/>
    </w:r>
    <w:r>
      <w:rPr>
        <w:rFonts w:ascii="Calibri" w:hAnsi="Calibri"/>
        <w:sz w:val="16"/>
      </w:rPr>
      <w:t xml:space="preserve">PAGE </w:t>
    </w:r>
    <w:fldSimple w:instr="PAGE">
      <w:r>
        <w:rPr>
          <w:rFonts w:ascii="Calibri" w:hAnsi="Calibri"/>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80"/>
      <w:pBdr>
        <w:bottom w:val="single" w:sz="5" w:space="5" w:color="D7E0E3"/>
      </w:pBdr>
    </w:pPr>
    <w:r>
      <w:rPr>
        <w:rFonts w:ascii="Calibri" w:hAnsi="Calibri"/>
        <w:b/>
        <w:color w:val="28666E"/>
        <w:sz w:val="16"/>
      </w:rPr>
      <w:t>MATHS LESSON RESOURCES  /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25333B"/>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203B4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8666E"/>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203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203B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Calibri" w:hAnsi="Calibri"/>
      <w:b w:val="0"/>
      <w:i/>
      <w:iCs/>
      <w:color w:val="5969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9" w:lineRule="auto"/>
    </w:pPr>
    <w:rPr>
      <w:rFonts w:ascii="Calibri" w:hAnsi="Calibri"/>
      <w:color w:val="2533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20"/>
      <w:contextualSpacing/>
    </w:pPr>
    <w:rPr>
      <w:rFonts w:ascii="Calibri" w:hAnsi="Calibri"/>
      <w:color w:val="25333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120"/>
      <w:contextualSpacing/>
    </w:pPr>
    <w:rPr>
      <w:rFonts w:ascii="Calibri" w:hAnsi="Calibri"/>
      <w:color w:val="2533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59" w:lineRule="auto"/>
    </w:pPr>
    <w:rPr>
      <w:rFonts w:ascii="Calibri" w:hAnsi="Calibri"/>
      <w:color w:val="596973"/>
      <w:sz w:val="18"/>
    </w:rPr>
  </w:style>
  <w:style w:type="paragraph" w:customStyle="1" w:styleId="TableText">
    <w:name w:val="Table Text"/>
    <w:basedOn w:val="Normal"/>
    <w:pPr>
      <w:spacing w:after="80" w:line="247" w:lineRule="auto"/>
    </w:pPr>
    <w:rPr>
      <w:rFonts w:ascii="Calibri" w:hAnsi="Calibri"/>
      <w:sz w:val="20"/>
    </w:rPr>
  </w:style>
  <w:style w:type="paragraph" w:customStyle="1" w:styleId="Callout">
    <w:name w:val="Callout"/>
    <w:basedOn w:val="Normal"/>
    <w:pPr>
      <w:spacing w:after="0" w:line="259" w:lineRule="auto"/>
    </w:pPr>
    <w:rPr>
      <w:rFonts w:ascii="Calibri" w:hAnsi="Calibri"/>
      <w:sz w:val="22"/>
    </w:rPr>
  </w:style>
  <w:style w:type="paragraph" w:customStyle="1" w:styleId="Label">
    <w:name w:val="Label"/>
    <w:basedOn w:val="Normal"/>
    <w:pPr>
      <w:spacing w:after="120" w:line="259" w:lineRule="auto"/>
    </w:pPr>
    <w:rPr>
      <w:rFonts w:ascii="Calibri" w:hAnsi="Calibri"/>
      <w:b/>
      <w:color w:val="2866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edi.substack.com/p/can-ai-finally-create-intelligently" TargetMode="External"/><Relationship Id="rId12" Type="http://schemas.openxmlformats.org/officeDocument/2006/relationships/hyperlink" Target="https://help.openai.com/en/articles/10169521-projects-in-chatgpt" TargetMode="Externa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Maths Resource Design Guide v1.2</dc:title>
  <dc:subject>Secondary mathematics resource design and PLAN / FINALISE / PRODUCE workflow templates</dc:subject>
  <dc:creator>Tim</dc:creator>
  <cp:keywords>maths; resource design; intelligent variation; scaffolding; worksheets; booklets; project guide</cp:keywords>
  <dc:description>Version 1.2 adds Appendix A: case-insensitive workflow commands, complete templates, and a Project-instructions add-on.</dc:description>
  <cp:lastModifiedBy/>
  <cp:revision>1</cp:revision>
  <dcterms:created xsi:type="dcterms:W3CDTF">2026-10-13T10:00:00Z</dcterms:created>
  <dcterms:modified xsi:type="dcterms:W3CDTF">2026-10-18T00:00:00Z</dcterms:modified>
  <cp:category/>
  <cp:version>1.2</cp:version>
</cp:coreProperties>
</file>