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496A" w:rsidRDefault="00A7496A" w:rsidP="00A7496A">
      <w:pPr>
        <w:spacing w:line="480" w:lineRule="auto"/>
      </w:pPr>
      <w:r>
        <w:t>Tyler Bradley</w:t>
      </w:r>
    </w:p>
    <w:p w:rsidR="00A7496A" w:rsidRDefault="00A7496A" w:rsidP="00A7496A">
      <w:pPr>
        <w:spacing w:line="480" w:lineRule="auto"/>
        <w:rPr>
          <w:rFonts w:eastAsia="Times New Roman" w:cstheme="minorHAnsi"/>
        </w:rPr>
      </w:pPr>
      <w:r>
        <w:t xml:space="preserve">ENVE661 – </w:t>
      </w:r>
      <w:r w:rsidRPr="00A7496A">
        <w:rPr>
          <w:rFonts w:eastAsia="Times New Roman" w:cstheme="minorHAnsi"/>
        </w:rPr>
        <w:t>Environmental Engineering Operations – Physical and Chemical Water Treatment</w:t>
      </w:r>
    </w:p>
    <w:p w:rsidR="00A7496A" w:rsidRDefault="00A7496A" w:rsidP="00A7496A">
      <w:pPr>
        <w:spacing w:line="480" w:lineRule="auto"/>
        <w:rPr>
          <w:rFonts w:eastAsia="Times New Roman" w:cstheme="minorHAnsi"/>
        </w:rPr>
      </w:pPr>
      <w:r>
        <w:rPr>
          <w:rFonts w:eastAsia="Times New Roman" w:cstheme="minorHAnsi"/>
        </w:rPr>
        <w:t>June 1, 2018</w:t>
      </w:r>
    </w:p>
    <w:p w:rsidR="00A7496A" w:rsidRDefault="00A7496A" w:rsidP="00A7496A">
      <w:pPr>
        <w:spacing w:line="480" w:lineRule="auto"/>
        <w:jc w:val="center"/>
        <w:rPr>
          <w:rFonts w:eastAsia="Times New Roman" w:cstheme="minorHAnsi"/>
        </w:rPr>
      </w:pPr>
      <w:r>
        <w:rPr>
          <w:rFonts w:eastAsia="Times New Roman" w:cstheme="minorHAnsi"/>
        </w:rPr>
        <w:t>Corrosion Control Treatment using Orthophosphate</w:t>
      </w:r>
    </w:p>
    <w:p w:rsidR="00A7496A" w:rsidRDefault="00A7496A" w:rsidP="00A7496A">
      <w:pPr>
        <w:spacing w:line="480" w:lineRule="auto"/>
        <w:rPr>
          <w:rFonts w:eastAsia="Times New Roman" w:cstheme="minorHAnsi"/>
        </w:rPr>
      </w:pPr>
      <w:r>
        <w:rPr>
          <w:rFonts w:eastAsia="Times New Roman" w:cstheme="minorHAnsi"/>
        </w:rPr>
        <w:tab/>
        <w:t>The Lead and Copper Rule (LCR) was promulgated in 1991 by the United States Environmental Protection Agency (USEPA) and mandated that all Community Water Systems (CWS) reduce their levels of lead and copper at customer taps by using Corrosion Control Treatment (CCT)</w:t>
      </w:r>
      <w:r>
        <w:rPr>
          <w:rFonts w:eastAsia="Times New Roman" w:cstheme="minorHAnsi"/>
          <w:vertAlign w:val="superscript"/>
        </w:rPr>
        <w:t>1</w:t>
      </w:r>
      <w:r>
        <w:rPr>
          <w:rFonts w:eastAsia="Times New Roman" w:cstheme="minorHAnsi"/>
        </w:rPr>
        <w:t xml:space="preserve">. </w:t>
      </w:r>
      <w:r w:rsidR="006C0E4B">
        <w:rPr>
          <w:rFonts w:eastAsia="Times New Roman" w:cstheme="minorHAnsi"/>
        </w:rPr>
        <w:t xml:space="preserve">CCT is of vital importance in the water treatment process </w:t>
      </w:r>
      <w:r w:rsidR="007333C8">
        <w:rPr>
          <w:rFonts w:eastAsia="Times New Roman" w:cstheme="minorHAnsi"/>
        </w:rPr>
        <w:t xml:space="preserve">due to the health effects associated with lead exposure. Studies have shown that lead can result </w:t>
      </w:r>
      <w:r w:rsidR="00940CAC">
        <w:rPr>
          <w:rFonts w:eastAsia="Times New Roman" w:cstheme="minorHAnsi"/>
        </w:rPr>
        <w:t>in behavior and learning problems, low IQ, and slowed growth in children, reduced fetus growth and premature birth in pregnant women, and cardiovascular problems and reproducibility issues in adults</w:t>
      </w:r>
      <w:r w:rsidR="00940CAC">
        <w:rPr>
          <w:rFonts w:eastAsia="Times New Roman" w:cstheme="minorHAnsi"/>
          <w:vertAlign w:val="superscript"/>
        </w:rPr>
        <w:t>2</w:t>
      </w:r>
      <w:r w:rsidR="00691EF2">
        <w:rPr>
          <w:rFonts w:eastAsia="Times New Roman" w:cstheme="minorHAnsi"/>
          <w:vertAlign w:val="superscript"/>
        </w:rPr>
        <w:t>,3</w:t>
      </w:r>
      <w:r w:rsidR="00940CAC">
        <w:rPr>
          <w:rFonts w:eastAsia="Times New Roman" w:cstheme="minorHAnsi"/>
        </w:rPr>
        <w:t xml:space="preserve">. These health effects have made lead in drinking water a prominent topic for water treatment, as a lot of old plumbing inside of homes contains lead that could leach into the drinking water. CCT helps to prevent this lead from making its way into the bulk water. </w:t>
      </w:r>
      <w:r>
        <w:rPr>
          <w:rFonts w:eastAsia="Times New Roman" w:cstheme="minorHAnsi"/>
        </w:rPr>
        <w:t>There are several ways of implementing CCT</w:t>
      </w:r>
      <w:r w:rsidR="006C0E4B">
        <w:rPr>
          <w:rFonts w:eastAsia="Times New Roman" w:cstheme="minorHAnsi"/>
        </w:rPr>
        <w:t>, including elevated pH and steady free chlorine residual, dosing with polyphosphate, or dosing with orthophosphate</w:t>
      </w:r>
      <w:r w:rsidR="00EC544B">
        <w:rPr>
          <w:rFonts w:eastAsia="Times New Roman" w:cstheme="minorHAnsi"/>
        </w:rPr>
        <w:t xml:space="preserve"> (o-PO</w:t>
      </w:r>
      <w:r w:rsidR="00EC544B">
        <w:rPr>
          <w:rFonts w:eastAsia="Times New Roman" w:cstheme="minorHAnsi"/>
          <w:vertAlign w:val="subscript"/>
        </w:rPr>
        <w:t>4</w:t>
      </w:r>
      <w:r w:rsidR="00EC544B">
        <w:rPr>
          <w:rFonts w:eastAsia="Times New Roman" w:cstheme="minorHAnsi"/>
        </w:rPr>
        <w:t>)</w:t>
      </w:r>
      <w:r w:rsidR="006C0E4B">
        <w:rPr>
          <w:rFonts w:eastAsia="Times New Roman" w:cstheme="minorHAnsi"/>
        </w:rPr>
        <w:t xml:space="preserve">. Of those options, the most popular as of this writing is the use of </w:t>
      </w:r>
      <w:r w:rsidR="00EC544B">
        <w:rPr>
          <w:rFonts w:eastAsia="Times New Roman" w:cstheme="minorHAnsi"/>
        </w:rPr>
        <w:t>o-PO</w:t>
      </w:r>
      <w:r w:rsidR="00EC544B">
        <w:rPr>
          <w:rFonts w:eastAsia="Times New Roman" w:cstheme="minorHAnsi"/>
          <w:vertAlign w:val="subscript"/>
        </w:rPr>
        <w:t>4</w:t>
      </w:r>
      <w:r w:rsidR="006C0E4B">
        <w:rPr>
          <w:rFonts w:eastAsia="Times New Roman" w:cstheme="minorHAnsi"/>
        </w:rPr>
        <w:t xml:space="preserve">. </w:t>
      </w:r>
    </w:p>
    <w:p w:rsidR="00A7496A" w:rsidRDefault="006C0E4B" w:rsidP="00A7496A">
      <w:pPr>
        <w:spacing w:line="480" w:lineRule="auto"/>
        <w:rPr>
          <w:rFonts w:eastAsia="Times New Roman" w:cstheme="minorHAnsi"/>
        </w:rPr>
      </w:pPr>
      <w:r>
        <w:rPr>
          <w:rFonts w:eastAsia="Times New Roman" w:cstheme="minorHAnsi"/>
        </w:rPr>
        <w:tab/>
        <w:t xml:space="preserve">The implementation of CCT via dosing </w:t>
      </w:r>
      <w:r w:rsidR="00EC544B">
        <w:rPr>
          <w:rFonts w:eastAsia="Times New Roman" w:cstheme="minorHAnsi"/>
        </w:rPr>
        <w:t>o-PO</w:t>
      </w:r>
      <w:r w:rsidR="00EC544B">
        <w:rPr>
          <w:rFonts w:eastAsia="Times New Roman" w:cstheme="minorHAnsi"/>
          <w:vertAlign w:val="subscript"/>
        </w:rPr>
        <w:t>4</w:t>
      </w:r>
      <w:r w:rsidR="00EC544B">
        <w:rPr>
          <w:rFonts w:eastAsia="Times New Roman" w:cstheme="minorHAnsi"/>
          <w:vertAlign w:val="subscript"/>
        </w:rPr>
        <w:t xml:space="preserve"> </w:t>
      </w:r>
      <w:r>
        <w:rPr>
          <w:rFonts w:eastAsia="Times New Roman" w:cstheme="minorHAnsi"/>
        </w:rPr>
        <w:t xml:space="preserve">has been shown by many studies to </w:t>
      </w:r>
      <w:r w:rsidR="00940CAC">
        <w:rPr>
          <w:rFonts w:eastAsia="Times New Roman" w:cstheme="minorHAnsi"/>
        </w:rPr>
        <w:t>reduce the amount of lead, and other metals, that can leach in to the bulk water from the pipe materials by forming a protective seal around the pipe</w:t>
      </w:r>
      <w:r w:rsidR="00940CAC">
        <w:rPr>
          <w:rFonts w:eastAsia="Times New Roman" w:cstheme="minorHAnsi"/>
          <w:vertAlign w:val="superscript"/>
        </w:rPr>
        <w:t>3</w:t>
      </w:r>
      <w:r w:rsidR="00940CAC">
        <w:rPr>
          <w:rFonts w:eastAsia="Times New Roman" w:cstheme="minorHAnsi"/>
        </w:rPr>
        <w:t xml:space="preserve">. </w:t>
      </w:r>
      <w:r w:rsidR="00EC544B">
        <w:rPr>
          <w:rFonts w:eastAsia="Times New Roman" w:cstheme="minorHAnsi"/>
        </w:rPr>
        <w:t>This technique is especially useful to utilities who use chloramines as a disinfectant. Chloramines</w:t>
      </w:r>
      <w:r w:rsidR="00715E3A">
        <w:rPr>
          <w:rFonts w:eastAsia="Times New Roman" w:cstheme="minorHAnsi"/>
        </w:rPr>
        <w:t>, unlike free chlorine,</w:t>
      </w:r>
      <w:r w:rsidR="00EC544B">
        <w:rPr>
          <w:rFonts w:eastAsia="Times New Roman" w:cstheme="minorHAnsi"/>
        </w:rPr>
        <w:t xml:space="preserve"> do not have the oxidation-reduction potential required to convert lead from th</w:t>
      </w:r>
      <w:r w:rsidR="00715E3A">
        <w:rPr>
          <w:rFonts w:eastAsia="Times New Roman" w:cstheme="minorHAnsi"/>
        </w:rPr>
        <w:t xml:space="preserve">e unstable, soluble form of </w:t>
      </w:r>
      <w:r w:rsidR="00715E3A">
        <w:rPr>
          <w:rFonts w:eastAsia="Times New Roman" w:cstheme="minorHAnsi"/>
        </w:rPr>
        <w:lastRenderedPageBreak/>
        <w:t>lead</w:t>
      </w:r>
      <w:r w:rsidR="00EC544B">
        <w:rPr>
          <w:rFonts w:eastAsia="Times New Roman" w:cstheme="minorHAnsi"/>
        </w:rPr>
        <w:t xml:space="preserve"> (Pb</w:t>
      </w:r>
      <w:r w:rsidR="00EC544B">
        <w:rPr>
          <w:rFonts w:eastAsia="Times New Roman" w:cstheme="minorHAnsi"/>
          <w:vertAlign w:val="superscript"/>
        </w:rPr>
        <w:t>2+</w:t>
      </w:r>
      <w:r w:rsidR="00EC544B">
        <w:rPr>
          <w:rFonts w:eastAsia="Times New Roman" w:cstheme="minorHAnsi"/>
        </w:rPr>
        <w:t>) to the stable, insoluble form (Pb</w:t>
      </w:r>
      <w:r w:rsidR="00EC544B">
        <w:rPr>
          <w:rFonts w:eastAsia="Times New Roman" w:cstheme="minorHAnsi"/>
          <w:vertAlign w:val="superscript"/>
        </w:rPr>
        <w:t>4+</w:t>
      </w:r>
      <w:r w:rsidR="00EC544B">
        <w:rPr>
          <w:rFonts w:eastAsia="Times New Roman" w:cstheme="minorHAnsi"/>
        </w:rPr>
        <w:t>). As a result, lead is unstable in chloramine systems that do not use some other form of corrosion control. When o-PO</w:t>
      </w:r>
      <w:r w:rsidR="00EC544B">
        <w:rPr>
          <w:rFonts w:eastAsia="Times New Roman" w:cstheme="minorHAnsi"/>
          <w:vertAlign w:val="subscript"/>
        </w:rPr>
        <w:t>4</w:t>
      </w:r>
      <w:r w:rsidR="00EC544B">
        <w:rPr>
          <w:rFonts w:eastAsia="Times New Roman" w:cstheme="minorHAnsi"/>
        </w:rPr>
        <w:t xml:space="preserve"> is added to the water, the lead </w:t>
      </w:r>
      <w:r w:rsidR="00792455">
        <w:rPr>
          <w:rFonts w:eastAsia="Times New Roman" w:cstheme="minorHAnsi"/>
        </w:rPr>
        <w:t>pipes</w:t>
      </w:r>
      <w:bookmarkStart w:id="0" w:name="_GoBack"/>
      <w:bookmarkEnd w:id="0"/>
      <w:r w:rsidR="00792455">
        <w:rPr>
          <w:rFonts w:eastAsia="Times New Roman" w:cstheme="minorHAnsi"/>
        </w:rPr>
        <w:t xml:space="preserve"> react</w:t>
      </w:r>
      <w:r w:rsidR="00EC544B">
        <w:rPr>
          <w:rFonts w:eastAsia="Times New Roman" w:cstheme="minorHAnsi"/>
        </w:rPr>
        <w:t xml:space="preserve"> with the o-PO</w:t>
      </w:r>
      <w:r w:rsidR="00EC544B">
        <w:rPr>
          <w:rFonts w:eastAsia="Times New Roman" w:cstheme="minorHAnsi"/>
          <w:vertAlign w:val="subscript"/>
        </w:rPr>
        <w:t>4</w:t>
      </w:r>
      <w:r w:rsidR="00EC544B">
        <w:rPr>
          <w:rFonts w:eastAsia="Times New Roman" w:cstheme="minorHAnsi"/>
        </w:rPr>
        <w:t xml:space="preserve"> to form a very stable scale consisting of hydro</w:t>
      </w:r>
      <w:r w:rsidR="0005618E">
        <w:rPr>
          <w:rFonts w:eastAsia="Times New Roman" w:cstheme="minorHAnsi"/>
        </w:rPr>
        <w:t>xy</w:t>
      </w:r>
      <w:r w:rsidR="00EC544B">
        <w:rPr>
          <w:rFonts w:eastAsia="Times New Roman" w:cstheme="minorHAnsi"/>
        </w:rPr>
        <w:t>pyromorphite and/or chloropyromorphite</w:t>
      </w:r>
      <w:r w:rsidR="0005618E">
        <w:rPr>
          <w:rFonts w:eastAsia="Times New Roman" w:cstheme="minorHAnsi"/>
          <w:vertAlign w:val="superscript"/>
        </w:rPr>
        <w:t>3</w:t>
      </w:r>
      <w:r w:rsidR="00EC544B">
        <w:rPr>
          <w:rFonts w:eastAsia="Times New Roman" w:cstheme="minorHAnsi"/>
        </w:rPr>
        <w:t xml:space="preserve">. These compounds are extremely stable and insoluble, resulting in a significant decrease in lead release from lead-containing pipes. </w:t>
      </w:r>
    </w:p>
    <w:p w:rsidR="00EC544B" w:rsidRDefault="00EC544B" w:rsidP="00A7496A">
      <w:pPr>
        <w:spacing w:line="480" w:lineRule="auto"/>
        <w:rPr>
          <w:rFonts w:eastAsia="Times New Roman" w:cstheme="minorHAnsi"/>
        </w:rPr>
      </w:pPr>
      <w:r>
        <w:rPr>
          <w:rFonts w:eastAsia="Times New Roman" w:cstheme="minorHAnsi"/>
        </w:rPr>
        <w:tab/>
        <w:t>Similar to many other chemical treatment methods in the water treatment process, dosing o-PO</w:t>
      </w:r>
      <w:r>
        <w:rPr>
          <w:rFonts w:eastAsia="Times New Roman" w:cstheme="minorHAnsi"/>
          <w:vertAlign w:val="subscript"/>
        </w:rPr>
        <w:t>4</w:t>
      </w:r>
      <w:r>
        <w:rPr>
          <w:rFonts w:eastAsia="Times New Roman" w:cstheme="minorHAnsi"/>
        </w:rPr>
        <w:t xml:space="preserve"> follows a trend of diminishing return. This means that a utility cannot expect the same amount of reduction in lead levels by increasing o-PO</w:t>
      </w:r>
      <w:r>
        <w:rPr>
          <w:rFonts w:eastAsia="Times New Roman" w:cstheme="minorHAnsi"/>
          <w:vertAlign w:val="subscript"/>
        </w:rPr>
        <w:t>4</w:t>
      </w:r>
      <w:r>
        <w:rPr>
          <w:rFonts w:eastAsia="Times New Roman" w:cstheme="minorHAnsi"/>
        </w:rPr>
        <w:t xml:space="preserve"> once they have already reached a certain dosing level. Theoretical models have shown that the optimal dosage of o-PO</w:t>
      </w:r>
      <w:r>
        <w:rPr>
          <w:rFonts w:eastAsia="Times New Roman" w:cstheme="minorHAnsi"/>
          <w:vertAlign w:val="subscript"/>
        </w:rPr>
        <w:t>4</w:t>
      </w:r>
      <w:r>
        <w:rPr>
          <w:rFonts w:eastAsia="Times New Roman" w:cstheme="minorHAnsi"/>
        </w:rPr>
        <w:t xml:space="preserve"> </w:t>
      </w:r>
      <w:r w:rsidR="0005618E">
        <w:rPr>
          <w:rFonts w:eastAsia="Times New Roman" w:cstheme="minorHAnsi"/>
        </w:rPr>
        <w:t>can range from 1 to 3</w:t>
      </w:r>
      <w:r>
        <w:rPr>
          <w:rFonts w:eastAsia="Times New Roman" w:cstheme="minorHAnsi"/>
        </w:rPr>
        <w:t xml:space="preserve"> mg/L as P</w:t>
      </w:r>
      <w:r w:rsidR="0005618E">
        <w:rPr>
          <w:rFonts w:eastAsia="Times New Roman" w:cstheme="minorHAnsi"/>
        </w:rPr>
        <w:t xml:space="preserve"> depending on the level of dissolved inorganic carbon</w:t>
      </w:r>
      <w:r>
        <w:rPr>
          <w:rFonts w:eastAsia="Times New Roman" w:cstheme="minorHAnsi"/>
          <w:vertAlign w:val="superscript"/>
        </w:rPr>
        <w:t>3</w:t>
      </w:r>
      <w:r>
        <w:rPr>
          <w:rFonts w:eastAsia="Times New Roman" w:cstheme="minorHAnsi"/>
        </w:rPr>
        <w:t xml:space="preserve">. While this is the optimal dose in theoretical models, every system is different and </w:t>
      </w:r>
      <w:r w:rsidR="00715E3A">
        <w:rPr>
          <w:rFonts w:eastAsia="Times New Roman" w:cstheme="minorHAnsi"/>
        </w:rPr>
        <w:t>pipe loop studies should be performed to indicate whether o-PO</w:t>
      </w:r>
      <w:r w:rsidR="00715E3A">
        <w:rPr>
          <w:rFonts w:eastAsia="Times New Roman" w:cstheme="minorHAnsi"/>
          <w:vertAlign w:val="subscript"/>
        </w:rPr>
        <w:t>4</w:t>
      </w:r>
      <w:r w:rsidR="00715E3A">
        <w:rPr>
          <w:rFonts w:eastAsia="Times New Roman" w:cstheme="minorHAnsi"/>
        </w:rPr>
        <w:t xml:space="preserve"> is the correct CCT for their system and at what dose the o-PO</w:t>
      </w:r>
      <w:r w:rsidR="00715E3A">
        <w:rPr>
          <w:rFonts w:eastAsia="Times New Roman" w:cstheme="minorHAnsi"/>
          <w:vertAlign w:val="subscript"/>
        </w:rPr>
        <w:t>4</w:t>
      </w:r>
      <w:r w:rsidR="00715E3A">
        <w:rPr>
          <w:rFonts w:eastAsia="Times New Roman" w:cstheme="minorHAnsi"/>
        </w:rPr>
        <w:t xml:space="preserve"> is most effective. </w:t>
      </w:r>
      <w:r>
        <w:rPr>
          <w:rFonts w:eastAsia="Times New Roman" w:cstheme="minorHAnsi"/>
        </w:rPr>
        <w:t xml:space="preserve"> </w:t>
      </w:r>
    </w:p>
    <w:p w:rsidR="00A030EA" w:rsidRDefault="00715E3A" w:rsidP="00A7496A">
      <w:pPr>
        <w:spacing w:line="480" w:lineRule="auto"/>
        <w:rPr>
          <w:rFonts w:eastAsia="Times New Roman" w:cstheme="minorHAnsi"/>
        </w:rPr>
      </w:pPr>
      <w:r>
        <w:rPr>
          <w:rFonts w:eastAsia="Times New Roman" w:cstheme="minorHAnsi"/>
        </w:rPr>
        <w:tab/>
        <w:t>CCT is an extremely important part of the water treatment process for drinking water and is something that should always be considered when making any changes in the water treatment process. The effects of not carefully implementing CCT can be disastrous (as seen most recently in Flint, MI). o-PO</w:t>
      </w:r>
      <w:r>
        <w:rPr>
          <w:rFonts w:eastAsia="Times New Roman" w:cstheme="minorHAnsi"/>
          <w:vertAlign w:val="subscript"/>
        </w:rPr>
        <w:t>4</w:t>
      </w:r>
      <w:r>
        <w:rPr>
          <w:rFonts w:eastAsia="Times New Roman" w:cstheme="minorHAnsi"/>
        </w:rPr>
        <w:t xml:space="preserve"> may prove to be the most effective method </w:t>
      </w:r>
      <w:r w:rsidR="00D63F3C">
        <w:rPr>
          <w:rFonts w:eastAsia="Times New Roman" w:cstheme="minorHAnsi"/>
        </w:rPr>
        <w:t xml:space="preserve">of </w:t>
      </w:r>
      <w:r>
        <w:rPr>
          <w:rFonts w:eastAsia="Times New Roman" w:cstheme="minorHAnsi"/>
        </w:rPr>
        <w:t xml:space="preserve">CCT. </w:t>
      </w:r>
    </w:p>
    <w:p w:rsidR="00A030EA" w:rsidRPr="00A030EA" w:rsidRDefault="00A030EA" w:rsidP="00A7496A">
      <w:pPr>
        <w:spacing w:line="480" w:lineRule="auto"/>
        <w:rPr>
          <w:rFonts w:eastAsia="Times New Roman" w:cstheme="minorHAnsi"/>
          <w:b/>
        </w:rPr>
      </w:pPr>
      <w:r>
        <w:rPr>
          <w:rFonts w:eastAsia="Times New Roman" w:cstheme="minorHAnsi"/>
          <w:b/>
        </w:rPr>
        <w:t>References:</w:t>
      </w:r>
    </w:p>
    <w:p w:rsidR="00A030EA" w:rsidRPr="00A030EA" w:rsidRDefault="00A030EA" w:rsidP="00A030EA">
      <w:pPr>
        <w:numPr>
          <w:ilvl w:val="0"/>
          <w:numId w:val="2"/>
        </w:numPr>
        <w:autoSpaceDE w:val="0"/>
        <w:autoSpaceDN w:val="0"/>
        <w:adjustRightInd w:val="0"/>
        <w:ind w:right="-720"/>
        <w:rPr>
          <w:rFonts w:cstheme="minorHAnsi"/>
        </w:rPr>
      </w:pPr>
      <w:r w:rsidRPr="00A030EA">
        <w:rPr>
          <w:rFonts w:cstheme="minorHAnsi"/>
        </w:rPr>
        <w:t>USEPA. “Control of Lead and Copper.” </w:t>
      </w:r>
      <w:r w:rsidRPr="00A030EA">
        <w:rPr>
          <w:rFonts w:cstheme="minorHAnsi"/>
          <w:i/>
          <w:iCs/>
        </w:rPr>
        <w:t>ECFR - Code of Federal Regulations</w:t>
      </w:r>
      <w:r w:rsidRPr="00A030EA">
        <w:rPr>
          <w:rFonts w:cstheme="minorHAnsi"/>
        </w:rPr>
        <w:t>, 1991, www.ecfr.gov/cgi-bin/text-idx?SID=531617f923c3de2cbf5d12ae4663f56d&amp;mc=true&amp;node=sp40.23.141.i&amp;rgn=div6.</w:t>
      </w:r>
    </w:p>
    <w:p w:rsidR="00A030EA" w:rsidRPr="00A030EA" w:rsidRDefault="00A030EA" w:rsidP="00A030EA">
      <w:pPr>
        <w:pStyle w:val="ListParagraph"/>
        <w:numPr>
          <w:ilvl w:val="0"/>
          <w:numId w:val="2"/>
        </w:numPr>
        <w:autoSpaceDE w:val="0"/>
        <w:autoSpaceDN w:val="0"/>
        <w:adjustRightInd w:val="0"/>
        <w:ind w:right="-720"/>
        <w:rPr>
          <w:rFonts w:cstheme="minorHAnsi"/>
        </w:rPr>
      </w:pPr>
      <w:r w:rsidRPr="00A030EA">
        <w:rPr>
          <w:rFonts w:cstheme="minorHAnsi"/>
        </w:rPr>
        <w:t>“</w:t>
      </w:r>
      <w:r w:rsidRPr="00A030EA">
        <w:rPr>
          <w:rFonts w:cstheme="minorHAnsi"/>
        </w:rPr>
        <w:t>Basic Information about Lead in Drinking Water.” </w:t>
      </w:r>
      <w:r w:rsidRPr="00A030EA">
        <w:rPr>
          <w:rFonts w:cstheme="minorHAnsi"/>
          <w:i/>
          <w:iCs/>
        </w:rPr>
        <w:t>EPA</w:t>
      </w:r>
      <w:r w:rsidRPr="00A030EA">
        <w:rPr>
          <w:rFonts w:cstheme="minorHAnsi"/>
        </w:rPr>
        <w:t>, Environmental Protection Agency, 23 Mar. 2018, www.epa.gov/ground-water-and-drinking-water/basic-information-about-lead-drinking-water#health.</w:t>
      </w:r>
    </w:p>
    <w:p w:rsidR="00A7496A" w:rsidRPr="00A030EA" w:rsidRDefault="00A030EA" w:rsidP="00A030EA">
      <w:pPr>
        <w:pStyle w:val="ListParagraph"/>
        <w:numPr>
          <w:ilvl w:val="0"/>
          <w:numId w:val="2"/>
        </w:numPr>
        <w:rPr>
          <w:rFonts w:eastAsia="Times New Roman" w:cstheme="minorHAnsi"/>
        </w:rPr>
      </w:pPr>
      <w:r w:rsidRPr="00A030EA">
        <w:rPr>
          <w:rFonts w:cstheme="minorHAnsi"/>
        </w:rPr>
        <w:t>Edzwald, James K. </w:t>
      </w:r>
      <w:r w:rsidRPr="00A030EA">
        <w:rPr>
          <w:rFonts w:cstheme="minorHAnsi"/>
          <w:i/>
          <w:iCs/>
        </w:rPr>
        <w:t>Water Quality &amp; Treatment: a Handbook on Drinking Water</w:t>
      </w:r>
      <w:r w:rsidRPr="00A030EA">
        <w:rPr>
          <w:rFonts w:cstheme="minorHAnsi"/>
        </w:rPr>
        <w:t xml:space="preserve">. 6th ed., </w:t>
      </w:r>
      <w:r w:rsidRPr="00A030EA">
        <w:rPr>
          <w:rFonts w:cstheme="minorHAnsi"/>
        </w:rPr>
        <w:t>McGraw-Hill, 2011. pg 2.39-2.40, 20.54-20.63</w:t>
      </w:r>
    </w:p>
    <w:sectPr w:rsidR="00A7496A" w:rsidRPr="00A030EA" w:rsidSect="006B7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24A2830"/>
    <w:multiLevelType w:val="hybridMultilevel"/>
    <w:tmpl w:val="C5003CCA"/>
    <w:lvl w:ilvl="0" w:tplc="9CB4256A">
      <w:start w:val="1"/>
      <w:numFmt w:val="decimal"/>
      <w:lvlText w:val="%1."/>
      <w:lvlJc w:val="left"/>
      <w:pPr>
        <w:ind w:left="720" w:hanging="360"/>
      </w:pPr>
      <w:rPr>
        <w:rFonts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96A"/>
    <w:rsid w:val="0005618E"/>
    <w:rsid w:val="003C17C0"/>
    <w:rsid w:val="00691EF2"/>
    <w:rsid w:val="006B7B52"/>
    <w:rsid w:val="006C0E4B"/>
    <w:rsid w:val="00715E3A"/>
    <w:rsid w:val="007333C8"/>
    <w:rsid w:val="00792455"/>
    <w:rsid w:val="00940CAC"/>
    <w:rsid w:val="00A030EA"/>
    <w:rsid w:val="00A7496A"/>
    <w:rsid w:val="00AA583D"/>
    <w:rsid w:val="00D63F3C"/>
    <w:rsid w:val="00EC5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6A0AC3"/>
  <w14:defaultImageDpi w14:val="32767"/>
  <w15:chartTrackingRefBased/>
  <w15:docId w15:val="{27186C90-ECDB-5C41-8960-CB3C6735A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309583">
      <w:bodyDiv w:val="1"/>
      <w:marLeft w:val="0"/>
      <w:marRight w:val="0"/>
      <w:marTop w:val="0"/>
      <w:marBottom w:val="0"/>
      <w:divBdr>
        <w:top w:val="none" w:sz="0" w:space="0" w:color="auto"/>
        <w:left w:val="none" w:sz="0" w:space="0" w:color="auto"/>
        <w:bottom w:val="none" w:sz="0" w:space="0" w:color="auto"/>
        <w:right w:val="none" w:sz="0" w:space="0" w:color="auto"/>
      </w:divBdr>
    </w:div>
    <w:div w:id="540822471">
      <w:bodyDiv w:val="1"/>
      <w:marLeft w:val="0"/>
      <w:marRight w:val="0"/>
      <w:marTop w:val="0"/>
      <w:marBottom w:val="0"/>
      <w:divBdr>
        <w:top w:val="none" w:sz="0" w:space="0" w:color="auto"/>
        <w:left w:val="none" w:sz="0" w:space="0" w:color="auto"/>
        <w:bottom w:val="none" w:sz="0" w:space="0" w:color="auto"/>
        <w:right w:val="none" w:sz="0" w:space="0" w:color="auto"/>
      </w:divBdr>
    </w:div>
    <w:div w:id="1485047048">
      <w:bodyDiv w:val="1"/>
      <w:marLeft w:val="0"/>
      <w:marRight w:val="0"/>
      <w:marTop w:val="0"/>
      <w:marBottom w:val="0"/>
      <w:divBdr>
        <w:top w:val="none" w:sz="0" w:space="0" w:color="auto"/>
        <w:left w:val="none" w:sz="0" w:space="0" w:color="auto"/>
        <w:bottom w:val="none" w:sz="0" w:space="0" w:color="auto"/>
        <w:right w:val="none" w:sz="0" w:space="0" w:color="auto"/>
      </w:divBdr>
    </w:div>
    <w:div w:id="1872839164">
      <w:bodyDiv w:val="1"/>
      <w:marLeft w:val="0"/>
      <w:marRight w:val="0"/>
      <w:marTop w:val="0"/>
      <w:marBottom w:val="0"/>
      <w:divBdr>
        <w:top w:val="none" w:sz="0" w:space="0" w:color="auto"/>
        <w:left w:val="none" w:sz="0" w:space="0" w:color="auto"/>
        <w:bottom w:val="none" w:sz="0" w:space="0" w:color="auto"/>
        <w:right w:val="none" w:sz="0" w:space="0" w:color="auto"/>
      </w:divBdr>
    </w:div>
    <w:div w:id="203811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Bradley,Tyler</dc:creator>
  <cp:keywords/>
  <dc:description/>
  <cp:lastModifiedBy>Bradley,Tyler</cp:lastModifiedBy>
  <cp:revision>5</cp:revision>
  <dcterms:created xsi:type="dcterms:W3CDTF">2018-05-27T16:05:00Z</dcterms:created>
  <dcterms:modified xsi:type="dcterms:W3CDTF">2018-05-30T22:21:00Z</dcterms:modified>
</cp:coreProperties>
</file>