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חתימה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:‏{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}</w:t>
      </w:r>
    </w:p>
    <w:p w:rsidR="00000000" w:rsidDel="00000000" w:rsidP="00000000" w:rsidRDefault="00000000" w:rsidRPr="00000000" w14:paraId="00000002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משפט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השלום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. ________</w:t>
      </w:r>
    </w:p>
    <w:p w:rsidR="00000000" w:rsidDel="00000000" w:rsidP="00000000" w:rsidRDefault="00000000" w:rsidRPr="00000000" w14:paraId="00000003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{% for p in plaintiffs %}</w:t>
      </w:r>
    </w:p>
    <w:p w:rsidR="00000000" w:rsidDel="00000000" w:rsidP="00000000" w:rsidRDefault="00000000" w:rsidRPr="00000000" w14:paraId="00000005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{% if p is Israeli: %}</w:t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{p.FULL_NAME}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{p.ID}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{p.ADDRESS}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291yq7n7ks7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{p.PHONE}</w:t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{% if p is not Israeli: %}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88e1bvwoa5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{p.full_name_English}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דרכון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{p.passport}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{p.ADDRESS_ENGLISH}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{p.EMAIL}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{p.PHONE}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עוה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עמית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חורש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70706)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מרח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העורבני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1,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זכרון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3091786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' 054-5630411;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077-4703242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מען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להמצאת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amit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horesh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15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ind w:left="-341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ind w:left="-341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ind w:left="-3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                                                                           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נגד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-</w:t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{% for d in defendants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ind w:left="7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בע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   </w:t>
      </w:r>
    </w:p>
    <w:p w:rsidR="00000000" w:rsidDel="00000000" w:rsidP="00000000" w:rsidRDefault="00000000" w:rsidRPr="00000000" w14:paraId="0000001E">
      <w:pPr>
        <w:spacing w:after="0" w:line="240" w:lineRule="auto"/>
        <w:ind w:left="7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{address}</w:t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ind w:left="7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}.</w:t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ind w:left="7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ind w:left="504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הנתבעת</w:t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line="240" w:lineRule="auto"/>
        <w:ind w:left="-341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ind w:left="-341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מתוקן</w:t>
      </w:r>
    </w:p>
    <w:p w:rsidR="00000000" w:rsidDel="00000000" w:rsidP="00000000" w:rsidRDefault="00000000" w:rsidRPr="00000000" w14:paraId="00000026">
      <w:pPr>
        <w:bidi w:val="1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סוג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ונושאה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תיק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אזרחי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בסדר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כספי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חוזים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צרכנות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;</w:t>
      </w:r>
    </w:p>
    <w:p w:rsidR="00000000" w:rsidDel="00000000" w:rsidP="00000000" w:rsidRDefault="00000000" w:rsidRPr="00000000" w14:paraId="00000028">
      <w:pPr>
        <w:bidi w:val="1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הסעדים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המבוקשים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כספי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; </w:t>
      </w:r>
    </w:p>
    <w:p w:rsidR="00000000" w:rsidDel="00000000" w:rsidP="00000000" w:rsidRDefault="00000000" w:rsidRPr="00000000" w14:paraId="0000002A">
      <w:pPr>
        <w:bidi w:val="1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{AMOUNT_MONEY} ₪ </w:t>
      </w:r>
    </w:p>
    <w:p w:rsidR="00000000" w:rsidDel="00000000" w:rsidP="00000000" w:rsidRDefault="00000000" w:rsidRPr="00000000" w14:paraId="0000002C">
      <w:pPr>
        <w:bidi w:val="1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276" w:lineRule="auto"/>
        <w:ind w:right="-28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האגרה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}.₪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לפרט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לתוספת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לתקנות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בתי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אגרות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תשס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-2007;</w:t>
      </w:r>
    </w:p>
    <w:p w:rsidR="00000000" w:rsidDel="00000000" w:rsidP="00000000" w:rsidRDefault="00000000" w:rsidRPr="00000000" w14:paraId="0000002E">
      <w:pPr>
        <w:bidi w:val="1"/>
        <w:spacing w:after="0" w:line="276" w:lineRule="auto"/>
        <w:ind w:right="-28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="276" w:lineRule="auto"/>
        <w:ind w:right="-28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קיומו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הליך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בקשר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למסכת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עובדתית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שהתובעת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אין</w:t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ind w:left="-341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276" w:lineRule="auto"/>
        <w:ind w:right="-284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לדין</w:t>
      </w:r>
    </w:p>
    <w:p w:rsidR="00000000" w:rsidDel="00000000" w:rsidP="00000000" w:rsidRDefault="00000000" w:rsidRPr="00000000" w14:paraId="00000032">
      <w:pPr>
        <w:bidi w:val="1"/>
        <w:spacing w:after="0" w:line="276" w:lineRule="auto"/>
        <w:ind w:right="-284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="276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PLAINTIFF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הגישו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נגדך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הנכם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מוזמנים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שישים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שהומצאה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bidi w:val="1"/>
        <w:spacing w:after="0" w:line="276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0" w:line="276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לתשומת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תגיש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130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לתקנות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האזרחי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התשע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-2018,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לתובעים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הזכות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0" w:line="276" w:lineRule="auto"/>
        <w:ind w:right="-284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שני</w:t>
      </w:r>
    </w:p>
    <w:p w:rsidR="00000000" w:rsidDel="00000000" w:rsidP="00000000" w:rsidRDefault="00000000" w:rsidRPr="00000000" w14:paraId="00000038">
      <w:pPr>
        <w:bidi w:val="1"/>
        <w:spacing w:after="0" w:line="276" w:lineRule="auto"/>
        <w:ind w:right="-284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הצדדים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d89qm2l52m1m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{COMPANY_NAME}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תעופה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הרשומה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נציגות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אזרחים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רכשו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כרטיסי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במסלול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fqwsbbulpkq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הסעד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בהמ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הנכבד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מתבקש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יחידי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לסעדים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המפורטים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792" w:right="-284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מיחידי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בפיצוי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תעופה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כהגדרתו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{MONEY_AMOUNT}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₪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0" w:line="360" w:lineRule="auto"/>
        <w:ind w:left="792" w:right="-284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להשיב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מיחידי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הוצאותיו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הוצאות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נסיעות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לפירוט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המצורף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0" w:line="360" w:lineRule="auto"/>
        <w:ind w:left="792" w:right="-284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מיחידי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בפיצוי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עוגמת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הנפש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אבדן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טרטור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שנגרמו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האיחור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{MONEY_AMOUNT}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₪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הנוחות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בנספח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מפורטים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הסעדים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משפחות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0" w:line="360" w:lineRule="auto"/>
        <w:ind w:left="84" w:right="-284" w:hanging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eqtwaqlrorb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תמצית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העובדות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הנחוצות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לביסוס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עילת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נולדה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רוכשי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הכרטיסים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{FLIGHT_NUMBER}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תוכננה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להמריא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{DATE}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{HOUR}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{CITY}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רכשו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הכרטיסים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דרכיכם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סוכנויות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וחלקם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רוכשי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והועברו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בחברתכם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240" w:before="240" w:line="480" w:lineRule="auto"/>
        <w:ind w:right="-14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העתק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כרטיסי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נספח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רכשו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כרטיסי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בחבילה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טיול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מארגנת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הטיול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~}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{CITY}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התייצבו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העומס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הכבד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התעופה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הודיעו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לתובעים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הוקדמה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משעה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לשעה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דחיות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הודיעו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נציגי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החברה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תצא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ידעו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לספק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ענייני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שהתובעים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הפצירו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בנציגי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הנתבעת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ציינו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בפניהם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מבוטלת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ועליהם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לגשת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למסוף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איסוף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הכבודה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ולעזוב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.~}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סמוך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העלייה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למטוס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הטיסות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הודעות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דחיית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המראת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המתנה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הודיעה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בוטלה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טכנית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והתובעים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הונחו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ולהמתין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לאוטובוסים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שייקחו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מלון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.~}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5ceg0kpem4m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העובדות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המקנות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נכבד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הסמכות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העניינית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והמקומית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בתובענה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tabs>
          <w:tab w:val="left" w:leader="none" w:pos="651"/>
        </w:tabs>
        <w:spacing w:after="240" w:before="240" w:line="360" w:lineRule="auto"/>
        <w:ind w:left="720" w:right="-284" w:hanging="72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t3n2o8mrbcj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שלישי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העובדתי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רוכשי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הכרטיסים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FLIGHT_NUM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תוכננה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להמריא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15:35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התייצבו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העומס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הכבד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התעופה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הבטחון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ביקורת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דרכונים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המתינו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באזור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הדיוטי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ההכוונה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לשער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למטוס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הודיעו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הדחייה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לשעה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בערב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דחיה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NUM_HOURS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הודיעו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דחיה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נוספות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לשעה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ולאחר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הודיעו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דחיה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נוספת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לשעה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דחיה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NUM_HOUR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וזאת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בנוסף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לשעות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הארוכות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ההמתנה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בתורים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העומס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הכבד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בנתב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בשלב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משפחות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שלמות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ילדים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זקנים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וכיו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עמדו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בתורים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המפרכים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בנתב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העמוס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NUM_HOUR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הודיעו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נציגי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החברה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תצא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ידעו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לספק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ענייני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בהודעה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שלחו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לאסוף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הכבודה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ידעו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מתי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ופתרו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עצמם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בתשובות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מעורפלות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ייתכן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ומחר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אחה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מובטח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שהתובעים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הפצירו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בנציגי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הנתבעת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ציינו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בפניהם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מבוטלת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ועליהם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לגשת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למסוף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איסוף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הכבודה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ולעזוב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דורשים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תשובות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אזי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עוגמת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הנפש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הייתה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כנראה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נציגי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החברה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הסתירו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קריטי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ביטול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.~}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יודגש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ההמתנה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סופקו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שוברי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ושתייה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סדור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כנדרש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שחלק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שוברים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ומידע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זכויותיהם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כמחוייב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תעופה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נאלצו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כספים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ושתייה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בטרמינל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ההוצאות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והפיצויים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כנספח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הקבלות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להוצאות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כנספח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3.~}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xpzhdps07d4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נשלחה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זכויות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נותרה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וודאי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נשלח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480" w:lineRule="auto"/>
        <w:ind w:left="-198" w:right="-142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.~}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התייחסות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והזלזול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נותרה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לנוסעים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הנכבד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הסעדים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זכאים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2sx8jj1rrjv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עילות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r5o6z86sef1j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חולק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תעופה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כהגדרתו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ויודגש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מנציגי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מחוייבת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התעופה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וסיוע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בתנאיה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-2012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360" w:right="113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113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      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שעתיים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הנקוב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ממפעיל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מהמארגן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ומשקאות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113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         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לגרוע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מהוראות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חמש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ופחות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משמונה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מהמועד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הנקוב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להשבת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בחירתו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להמריא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שלמחרת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ובחר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לינה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הסעה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ואולם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המריאה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שביתה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השבתה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מוגנות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להשבת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למזון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ומשקאות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ולשירותי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-341" w:right="-142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מחולקת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לעניין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להגדרתה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שהתעכבה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8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ואולם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יראו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במספר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כשלעצמו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(1)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התקיימה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הנקוב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שנקבע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6(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);"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מושכלת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360" w:right="113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הוראת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' 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תש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0" w:before="72" w:line="240" w:lineRule="auto"/>
        <w:ind w:right="1134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.       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)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שהונפק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שבוטלה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ממפעיל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מהמארגן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הטבות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before="72" w:line="240" w:lineRule="auto"/>
        <w:ind w:right="1134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(1)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סיוע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0" w:before="72" w:line="240" w:lineRule="auto"/>
        <w:ind w:right="1134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(2)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תמורה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חלופי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הנוסע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0" w:before="72" w:line="240" w:lineRule="auto"/>
        <w:ind w:right="1134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(3)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פיצוי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כספי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בתוספת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יודגש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מקוממת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רשלנית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ולתכלית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העומדות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עיכוב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וחמור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סיפקה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כנדרש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צרכים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בסיסיים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מבוגרים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ותינוקות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ההמתנה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הבלעדית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ויודגש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נציגי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לסייע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זכויותיהם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זרקו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לאקוניות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מעורפלות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ציינו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באחריותם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לדאוג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ללינה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זקוקים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סרבו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נציג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בחברתכם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הבטיחו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הבטחות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שווא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הגביר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ורשלנות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ומזכה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פיצוי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עוגמת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מרובה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תשפ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   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לפסוק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תלויים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בנזק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בסעיף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בסכום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10,590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שקלים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ביודעין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(1)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מארגן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הטבות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שטיסתו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בוטלה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)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הטבות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שטיסתו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המריאה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ציינו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נציגי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והחברה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תודיע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...")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נציגי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לדאוג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ועלויות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כנדרש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יצוין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מהנתבעים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מהצפון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וברי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למחרת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למועד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לגחמות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יצוין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מהנתבעים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תתעכב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ייתכן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מבטלים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ומבטלים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התקצרה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הקיצוניים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ההתייחסות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הרשלנית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נציגי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מתועדת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באסמכתאות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סרטונים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שיידרשו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רוכשי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כרטיסי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התבטלה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נשוא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מכתבי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טיסתם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החליפית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ויודגש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כהוא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מאחריות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המגיעות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טיסתם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COMPANY_NAME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מתעכבת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נדחה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להתריע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מבעוד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מגביר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התנהלותכם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השערוריתית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וחסרת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שיכלו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וחלק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רכשו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כרטיסי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סוכנויות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נסיעות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אזי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ומדגיש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0" w:before="72" w:line="240" w:lineRule="auto"/>
        <w:ind w:right="1134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"4 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יראו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מארגן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שהנוסע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בינו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הנוסע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הסכם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כמי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שמבצע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שהנוסע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התקשר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בהסכם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החובות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המוטלות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1"/>
        </w:rPr>
        <w:t xml:space="preserve">."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שעתיים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איחור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מוצדק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לסעיף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6(1)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      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ממפעיל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מהמארגן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הטבות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(2)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(3)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פיצוי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כספי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בתוספת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לסיוע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להעניק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ההמתנה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זכאים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לפיצוי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יודגש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התנהלה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מקומם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רשלני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ולתכלית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העומדות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עיכוב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וחמור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סיפקה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צרכים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בסיסיים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מבוגרים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ותינוקות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ההמתנה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הבלעדית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360" w:right="113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      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שעתיים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הנקוב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ממפעיל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מהמארגן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ומשקאות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113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         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לגרוע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מהוראות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חמש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ופחות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משמונה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מהמועד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הנקוב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להשבת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בחירתו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להמריא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שלמחרת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ובחר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לינה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הסעה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ואולם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המריאה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שביתה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השבתה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מוגנות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להשבת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למזון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ומשקאות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ולשירותי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יצוין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תתעכב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ייתכן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מבטלים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ומבטלים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התקצרה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הפסידו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המהותי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בטיסה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עוגמת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לחופשה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לילות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אובדן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מהחופשה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להוצאות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שנאלצו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ההמתנה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ויודגש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מנציגי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משפחות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תינוקות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מבוגרים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הנזקקים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לתרופות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ורשלנות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ומזכה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בפיצוי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עוגמת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לסעיף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   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לפסוק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תלויים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בנזק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בסעיף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בסכום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10,590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שקלים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ביודעין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(1)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מארגן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הטבות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שטיסתו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בוטלה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)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הטבות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שטיסתו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המריאה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vi963rm99mj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הנזכרת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נטענת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מצטבר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משלים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הנכללת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והקשר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הדבקם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בהעלאת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באזכור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ההוכחה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ההוכחה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אלמלא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הועלתה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אוזכרה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מתבקש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הנכבד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ולחייבה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הסכומים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המפורטים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הפרשי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הצמדה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וריבית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בתוספת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9">
      <w:pPr>
        <w:tabs>
          <w:tab w:val="left" w:leader="none" w:pos="651"/>
        </w:tabs>
        <w:bidi w:val="1"/>
        <w:spacing w:after="240" w:before="240" w:line="480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651"/>
        </w:tabs>
        <w:bidi w:val="1"/>
        <w:spacing w:after="240" w:before="240" w:line="480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328930</wp:posOffset>
            </wp:positionV>
            <wp:extent cx="1104900" cy="78052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80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tabs>
          <w:tab w:val="left" w:leader="none" w:pos="651"/>
        </w:tabs>
        <w:bidi w:val="1"/>
        <w:spacing w:after="240" w:before="240" w:line="480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עמית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חורש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8C">
      <w:pPr>
        <w:tabs>
          <w:tab w:val="left" w:leader="none" w:pos="651"/>
        </w:tabs>
        <w:bidi w:val="1"/>
        <w:spacing w:after="240" w:before="240" w:line="480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בתובעים</w:t>
      </w:r>
    </w:p>
    <w:p w:rsidR="00000000" w:rsidDel="00000000" w:rsidP="00000000" w:rsidRDefault="00000000" w:rsidRPr="00000000" w14:paraId="0000008D">
      <w:pPr>
        <w:tabs>
          <w:tab w:val="left" w:leader="none" w:pos="651"/>
        </w:tabs>
        <w:bidi w:val="1"/>
        <w:spacing w:after="240" w:before="240" w:line="480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spacing w:after="0" w:before="240" w:line="360" w:lineRule="auto"/>
        <w:ind w:left="-199" w:right="-284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360" w:lineRule="auto"/>
        <w:ind w:left="84" w:right="-28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1210" w:right="1134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David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714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bacc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5" w:hanging="64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pPr>
      <w:tabs>
        <w:tab w:val="center" w:pos="4153"/>
        <w:tab w:val="right" w:pos="8306"/>
      </w:tabs>
      <w:spacing w:after="0" w:line="240" w:lineRule="auto"/>
    </w:pPr>
    <w:rPr>
      <w:rFonts w:eastAsiaTheme="minorHAnsi"/>
      <w:lang w:eastAsia="en-US"/>
    </w:rPr>
  </w:style>
  <w:style w:type="character" w:styleId="a4" w:customStyle="1">
    <w:name w:val="כותרת עליונה תו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 w:val="1"/>
    <w:pPr>
      <w:tabs>
        <w:tab w:val="center" w:pos="4153"/>
        <w:tab w:val="right" w:pos="8306"/>
      </w:tabs>
      <w:spacing w:after="0" w:line="240" w:lineRule="auto"/>
    </w:pPr>
    <w:rPr>
      <w:rFonts w:eastAsiaTheme="minorHAnsi"/>
      <w:lang w:eastAsia="en-US"/>
    </w:rPr>
  </w:style>
  <w:style w:type="character" w:styleId="a6" w:customStyle="1">
    <w:name w:val="כותרת תחתונה תו"/>
    <w:basedOn w:val="a0"/>
    <w:link w:val="a5"/>
    <w:uiPriority w:val="99"/>
  </w:style>
  <w:style w:type="paragraph" w:styleId="a7">
    <w:name w:val="List Paragraph"/>
    <w:basedOn w:val="a"/>
    <w:uiPriority w:val="34"/>
    <w:qFormat w:val="1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 w:val="1"/>
    <w:unhideWhenUsed w:val="1"/>
    <w:rPr>
      <w:color w:val="605e5c"/>
      <w:shd w:color="auto" w:fill="e1dfdd" w:val="clear"/>
    </w:rPr>
  </w:style>
  <w:style w:type="character" w:styleId="a9">
    <w:name w:val="Placeholder Text"/>
    <w:basedOn w:val="a0"/>
    <w:uiPriority w:val="99"/>
    <w:semiHidden w:val="1"/>
    <w:rPr>
      <w:color w:val="808080"/>
    </w:rPr>
  </w:style>
  <w:style w:type="character" w:styleId="ts-alignment-element" w:customStyle="1">
    <w:name w:val="ts-alignment-element"/>
    <w:basedOn w:val="a0"/>
  </w:style>
  <w:style w:type="character" w:styleId="ts-alignment-element-highlighted" w:customStyle="1">
    <w:name w:val="ts-alignment-element-highlighted"/>
    <w:basedOn w:val="a0"/>
  </w:style>
  <w:style w:type="paragraph" w:styleId="p00" w:customStyle="1">
    <w:name w:val="p00"/>
    <w:basedOn w:val="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character" w:styleId="big-number" w:customStyle="1">
    <w:name w:val="big-number"/>
    <w:basedOn w:val="a0"/>
  </w:style>
  <w:style w:type="character" w:styleId="default" w:customStyle="1">
    <w:name w:val="default"/>
    <w:basedOn w:val="a0"/>
  </w:style>
  <w:style w:type="character" w:styleId="10" w:customStyle="1">
    <w:name w:val="כותרת 1 תו"/>
    <w:basedOn w:val="a0"/>
    <w:link w:val="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ja-JP"/>
    </w:rPr>
  </w:style>
  <w:style w:type="paragraph" w:styleId="NormalWeb">
    <w:name w:val="Normal (Web)"/>
    <w:basedOn w:val="a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aa">
    <w:name w:val="Revision"/>
    <w:hidden w:val="1"/>
    <w:uiPriority w:val="99"/>
    <w:semiHidden w:val="1"/>
    <w:pPr>
      <w:spacing w:after="0" w:line="240" w:lineRule="auto"/>
    </w:pPr>
    <w:rPr>
      <w:rFonts w:eastAsiaTheme="minorEastAsia"/>
      <w:lang w:eastAsia="ja-JP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eS5NKfiAGbVslH79OKyWVhHXGA==">CgMxLjAyDmgucjI5MXlxN243a3M3Mg5oLmo4OGUxYnZ3b2E1cjIOaC5kODlxbTJsNTJtMW0yDmguZnF3c2JidWxwa3FzMg5oLmVxdHdhcWxyb3JiczIOaC41Y2VnMGtwZW00bXkyDmgudDNuMm84bXJiY2pqMg5oLjV4cHpoZHBzMDdkNDIOaC4yc3g4amoxcnJqdmcyDmgucjVvNno4NnNlZjFqMg5oLnZpOTYzcm05OW1qNjgAciExMnVib2N0XzhyMzBQVWVxT3VFY1NEVW40SE53Ymo1Z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2022-10-20T05:11:00Z</dcterms:created>
  <dc:creator>Amit Horesh</dc:creator>
</cp:coreProperties>
</file>