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>
        <w:t>תאריך חתימה: 2025-08-16</w:t>
      </w:r>
    </w:p>
    <w:p w:rsidR="00000000" w:rsidDel="00000000" w:rsidP="00000000" w:rsidRDefault="00000000" w:rsidRPr="00000000" w14:paraId="00000002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>
        <w:t>בבית משפט השלום הוד השרון</w:t>
        <w:tab/>
        <w:tab/>
        <w:tab/>
        <w:tab/>
        <w:tab/>
        <w:tab/>
        <w:tab/>
        <w:t>ת.א. _______</w:t>
      </w:r>
    </w:p>
    <w:p w:rsidR="00000000" w:rsidDel="00000000" w:rsidP="00000000" w:rsidRDefault="00000000" w:rsidRPr="00000000" w14:paraId="00000003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{% for p in plaintiffs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},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 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}</w:t>
      </w:r>
    </w:p>
    <w:p w:rsidR="00000000" w:rsidDel="00000000" w:rsidP="00000000" w:rsidRDefault="00000000" w:rsidRPr="00000000" w14:paraId="00000008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{p.ADDRESS}</w:t>
      </w:r>
    </w:p>
    <w:p w:rsidR="00000000" w:rsidDel="00000000" w:rsidP="00000000" w:rsidRDefault="00000000" w:rsidRPr="00000000" w14:paraId="00000009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טל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};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פקס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}</w:t>
      </w:r>
    </w:p>
    <w:p w:rsidR="00000000" w:rsidDel="00000000" w:rsidP="00000000" w:rsidRDefault="00000000" w:rsidRPr="00000000" w14:paraId="0000000A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0B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ab/>
        <w:tab/>
        <w:tab/>
        <w:tab/>
        <w:t xml:space="preserve">8 ע"י ב"כ עוה"ד עמית חורש (מ.ר. 70706)  </w:t>
      </w:r>
    </w:p>
    <w:p w:rsidR="00000000" w:rsidDel="00000000" w:rsidP="00000000" w:rsidRDefault="00000000" w:rsidRPr="00000000" w14:paraId="0000000C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מרח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העורבני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1,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זכרון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יעקב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3091786</w:t>
      </w:r>
    </w:p>
    <w:p w:rsidR="00000000" w:rsidDel="00000000" w:rsidP="00000000" w:rsidRDefault="00000000" w:rsidRPr="00000000" w14:paraId="0000000D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טל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' 054-5630411;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פקס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077-4703242</w:t>
      </w:r>
    </w:p>
    <w:p w:rsidR="00000000" w:rsidDel="00000000" w:rsidP="00000000" w:rsidRDefault="00000000" w:rsidRPr="00000000" w14:paraId="0000000E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מען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להמצאת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horesh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</w:t>
      </w:r>
    </w:p>
    <w:p w:rsidR="00000000" w:rsidDel="00000000" w:rsidP="00000000" w:rsidRDefault="00000000" w:rsidRPr="00000000" w14:paraId="0000000F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התובעות</w:t>
      </w:r>
    </w:p>
    <w:p w:rsidR="00000000" w:rsidDel="00000000" w:rsidP="00000000" w:rsidRDefault="00000000" w:rsidRPr="00000000" w14:paraId="00000011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="240" w:lineRule="auto"/>
        <w:ind w:left="43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–</w:t>
      </w:r>
    </w:p>
    <w:p w:rsidR="00000000" w:rsidDel="00000000" w:rsidP="00000000" w:rsidRDefault="00000000" w:rsidRPr="00000000" w14:paraId="00000013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14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ab/>
        <w:tab/>
        <w:tab/>
        <w:tab/>
        <w:t xml:space="preserve">רם אדרת הנדסה אזרחית בע"מ בע"מ, ח.פ. 514123456 </w:t>
      </w:r>
    </w:p>
    <w:p w:rsidR="00000000" w:rsidDel="00000000" w:rsidP="00000000" w:rsidRDefault="00000000" w:rsidRPr="00000000" w14:paraId="00000015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ab/>
        <w:t xml:space="preserve">        </w:t>
        <w:tab/>
        <w:tab/>
        <w:tab/>
        <w:t xml:space="preserve">עמל 10 קומה ג', פארק סיבל, ראש העין </w:t>
      </w:r>
    </w:p>
    <w:p w:rsidR="00000000" w:rsidDel="00000000" w:rsidP="00000000" w:rsidRDefault="00000000" w:rsidRPr="00000000" w14:paraId="00000016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טל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052-8878855;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פקס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אין</w:t>
      </w:r>
    </w:p>
    <w:p w:rsidR="00000000" w:rsidDel="00000000" w:rsidP="00000000" w:rsidRDefault="00000000" w:rsidRPr="00000000" w14:paraId="00000017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{% for d in defendants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},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 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}</w:t>
      </w:r>
    </w:p>
    <w:p w:rsidR="00000000" w:rsidDel="00000000" w:rsidP="00000000" w:rsidRDefault="00000000" w:rsidRPr="00000000" w14:paraId="00000019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{d.ADDRESS}</w:t>
      </w:r>
    </w:p>
    <w:p w:rsidR="00000000" w:rsidDel="00000000" w:rsidP="00000000" w:rsidRDefault="00000000" w:rsidRPr="00000000" w14:paraId="0000001A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טל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};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פקס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}</w:t>
      </w:r>
    </w:p>
    <w:p w:rsidR="00000000" w:rsidDel="00000000" w:rsidP="00000000" w:rsidRDefault="00000000" w:rsidRPr="00000000" w14:paraId="0000001B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אימייל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}</w:t>
      </w:r>
    </w:p>
    <w:p w:rsidR="00000000" w:rsidDel="00000000" w:rsidP="00000000" w:rsidRDefault="00000000" w:rsidRPr="00000000" w14:paraId="0000001C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1D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</w:t>
        <w:tab/>
        <w:tab/>
      </w:r>
    </w:p>
    <w:p w:rsidR="00000000" w:rsidDel="00000000" w:rsidP="00000000" w:rsidRDefault="00000000" w:rsidRPr="00000000" w14:paraId="0000001E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 xml:space="preserve"> </w:t>
      </w:r>
    </w:p>
    <w:p w:rsidR="00000000" w:rsidDel="00000000" w:rsidP="00000000" w:rsidRDefault="00000000" w:rsidRPr="00000000" w14:paraId="0000001F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הנתבעת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22">
      <w:pPr>
        <w:bidi w:val="1"/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כתב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תביעה</w:t>
      </w:r>
    </w:p>
    <w:p w:rsidR="00000000" w:rsidDel="00000000" w:rsidP="00000000" w:rsidRDefault="00000000" w:rsidRPr="00000000" w14:paraId="00000023">
      <w:pPr>
        <w:bidi w:val="1"/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(</w:t>
      </w:r>
      <w:r w:rsidDel="00000000" w:rsidR="00000000" w:rsidRPr="00000000">
        <w:rPr>
          <w:sz w:val="20"/>
          <w:szCs w:val="20"/>
          <w:rtl w:val="1"/>
        </w:rPr>
        <w:t xml:space="preserve">הגשה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חוזרת</w:t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0"/>
          <w:szCs w:val="20"/>
          <w:rtl w:val="0"/>
        </w:rPr>
        <w:t xml:space="preserve">(12637531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0" w:lineRule="auto"/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סוג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התביעה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ונושאה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תיק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אזרחי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בסדר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רגיל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מקרקעין</w:t>
      </w:r>
      <w:r w:rsidDel="00000000" w:rsidR="00000000" w:rsidRPr="00000000">
        <w:rPr>
          <w:sz w:val="20"/>
          <w:szCs w:val="20"/>
          <w:rtl w:val="1"/>
        </w:rPr>
        <w:t xml:space="preserve"> – </w:t>
      </w:r>
      <w:r w:rsidDel="00000000" w:rsidR="00000000" w:rsidRPr="00000000">
        <w:rPr>
          <w:sz w:val="20"/>
          <w:szCs w:val="20"/>
          <w:rtl w:val="1"/>
        </w:rPr>
        <w:t xml:space="preserve">ליקויי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בניה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חוזים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הצהרתי</w:t>
      </w:r>
      <w:r w:rsidDel="00000000" w:rsidR="00000000" w:rsidRPr="00000000">
        <w:rPr>
          <w:sz w:val="20"/>
          <w:szCs w:val="20"/>
          <w:rtl w:val="1"/>
        </w:rPr>
        <w:t xml:space="preserve">;</w:t>
      </w:r>
    </w:p>
    <w:p w:rsidR="00000000" w:rsidDel="00000000" w:rsidP="00000000" w:rsidRDefault="00000000" w:rsidRPr="00000000" w14:paraId="00000026">
      <w:pPr>
        <w:bidi w:val="1"/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הסעדים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המבוקשים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כספי</w:t>
      </w:r>
      <w:r w:rsidDel="00000000" w:rsidR="00000000" w:rsidRPr="00000000">
        <w:rPr>
          <w:sz w:val="20"/>
          <w:szCs w:val="20"/>
          <w:rtl w:val="1"/>
        </w:rPr>
        <w:t xml:space="preserve">; </w:t>
      </w:r>
    </w:p>
    <w:p w:rsidR="00000000" w:rsidDel="00000000" w:rsidP="00000000" w:rsidRDefault="00000000" w:rsidRPr="00000000" w14:paraId="00000028">
      <w:pPr>
        <w:bidi w:val="1"/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0" w:lineRule="auto"/>
        <w:rPr>
          <w:sz w:val="20"/>
          <w:szCs w:val="20"/>
        </w:rPr>
      </w:pPr>
      <w:r>
        <w:t xml:space="preserve">סכום התביעה: נזקי רטיבות ופגיעה ברכוש ₪ </w:t>
      </w:r>
    </w:p>
    <w:p w:rsidR="00000000" w:rsidDel="00000000" w:rsidP="00000000" w:rsidRDefault="00000000" w:rsidRPr="00000000" w14:paraId="0000002A">
      <w:pPr>
        <w:bidi w:val="1"/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0" w:lineRule="auto"/>
        <w:ind w:right="-284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סכום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האגרה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: 4,167 ₪ </w:t>
      </w:r>
      <w:r w:rsidDel="00000000" w:rsidR="00000000" w:rsidRPr="00000000">
        <w:rPr>
          <w:sz w:val="20"/>
          <w:szCs w:val="20"/>
          <w:rtl w:val="1"/>
        </w:rPr>
        <w:t xml:space="preserve">בהתאם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לפרט</w:t>
      </w:r>
      <w:r w:rsidDel="00000000" w:rsidR="00000000" w:rsidRPr="00000000">
        <w:rPr>
          <w:sz w:val="20"/>
          <w:szCs w:val="20"/>
          <w:rtl w:val="1"/>
        </w:rPr>
        <w:t xml:space="preserve"> 1 </w:t>
      </w:r>
      <w:r w:rsidDel="00000000" w:rsidR="00000000" w:rsidRPr="00000000">
        <w:rPr>
          <w:sz w:val="20"/>
          <w:szCs w:val="20"/>
          <w:rtl w:val="1"/>
        </w:rPr>
        <w:t xml:space="preserve">לתוספת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לתקנות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בתי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המשפט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1"/>
        </w:rPr>
        <w:t xml:space="preserve">אגרות</w:t>
      </w:r>
      <w:r w:rsidDel="00000000" w:rsidR="00000000" w:rsidRPr="00000000">
        <w:rPr>
          <w:sz w:val="20"/>
          <w:szCs w:val="20"/>
          <w:rtl w:val="1"/>
        </w:rPr>
        <w:t xml:space="preserve">), </w:t>
      </w:r>
      <w:r w:rsidDel="00000000" w:rsidR="00000000" w:rsidRPr="00000000">
        <w:rPr>
          <w:sz w:val="20"/>
          <w:szCs w:val="20"/>
          <w:rtl w:val="1"/>
        </w:rPr>
        <w:t xml:space="preserve">תשס</w:t>
      </w:r>
      <w:r w:rsidDel="00000000" w:rsidR="00000000" w:rsidRPr="00000000">
        <w:rPr>
          <w:sz w:val="20"/>
          <w:szCs w:val="20"/>
          <w:rtl w:val="1"/>
        </w:rPr>
        <w:t xml:space="preserve">"</w:t>
      </w:r>
      <w:r w:rsidDel="00000000" w:rsidR="00000000" w:rsidRPr="00000000">
        <w:rPr>
          <w:sz w:val="20"/>
          <w:szCs w:val="20"/>
          <w:rtl w:val="1"/>
        </w:rPr>
        <w:t xml:space="preserve">ז</w:t>
      </w:r>
      <w:r w:rsidDel="00000000" w:rsidR="00000000" w:rsidRPr="00000000">
        <w:rPr>
          <w:sz w:val="20"/>
          <w:szCs w:val="20"/>
          <w:rtl w:val="1"/>
        </w:rPr>
        <w:t xml:space="preserve">-2007;</w:t>
      </w:r>
    </w:p>
    <w:p w:rsidR="00000000" w:rsidDel="00000000" w:rsidP="00000000" w:rsidRDefault="00000000" w:rsidRPr="00000000" w14:paraId="0000002C">
      <w:pPr>
        <w:bidi w:val="1"/>
        <w:spacing w:after="0" w:lineRule="auto"/>
        <w:ind w:right="-284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0" w:lineRule="auto"/>
        <w:ind w:right="-284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קיומו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של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הליך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נוסף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בקשר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למסכת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עובדתית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דומה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שהתובעת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היא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צד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לו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או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היתה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צד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לא</w:t>
      </w:r>
      <w:r w:rsidDel="00000000" w:rsidR="00000000" w:rsidRPr="00000000">
        <w:rPr>
          <w:sz w:val="20"/>
          <w:szCs w:val="20"/>
          <w:rtl w:val="1"/>
        </w:rPr>
        <w:t xml:space="preserve">;</w:t>
      </w:r>
    </w:p>
    <w:p w:rsidR="00000000" w:rsidDel="00000000" w:rsidP="00000000" w:rsidRDefault="00000000" w:rsidRPr="00000000" w14:paraId="0000002E">
      <w:pPr>
        <w:bidi w:val="1"/>
        <w:spacing w:after="0" w:lineRule="auto"/>
        <w:ind w:right="-284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after="0" w:lineRule="auto"/>
        <w:ind w:right="-284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after="0" w:lineRule="auto"/>
        <w:ind w:right="-284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הזמנה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לדין</w:t>
      </w:r>
    </w:p>
    <w:p w:rsidR="00000000" w:rsidDel="00000000" w:rsidP="00000000" w:rsidRDefault="00000000" w:rsidRPr="00000000" w14:paraId="00000031">
      <w:pPr>
        <w:bidi w:val="1"/>
        <w:spacing w:after="0" w:lineRule="auto"/>
        <w:ind w:right="-284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after="0" w:lineRule="auto"/>
        <w:ind w:right="-284"/>
        <w:jc w:val="both"/>
        <w:rPr>
          <w:sz w:val="24"/>
          <w:szCs w:val="24"/>
        </w:rPr>
      </w:pPr>
      <w:r>
        <w:t xml:space="preserve">הואיל וה"ה זוהי קריכלי, גיל קריכלי הגישו כתב תביעה זה נגדך, אתה מוזמן להגיש כתב הגנה תוך שישים ימים מיום שהומצאה לך הזמנה זו. </w:t>
      </w:r>
    </w:p>
    <w:p w:rsidR="00000000" w:rsidDel="00000000" w:rsidP="00000000" w:rsidRDefault="00000000" w:rsidRPr="00000000" w14:paraId="00000033">
      <w:pPr>
        <w:bidi w:val="1"/>
        <w:spacing w:after="0" w:lineRule="auto"/>
        <w:ind w:right="-28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after="0" w:lineRule="auto"/>
        <w:ind w:right="-28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לתשומת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לבך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אזי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תקנה</w:t>
      </w:r>
      <w:r w:rsidDel="00000000" w:rsidR="00000000" w:rsidRPr="00000000">
        <w:rPr>
          <w:sz w:val="24"/>
          <w:szCs w:val="24"/>
          <w:rtl w:val="1"/>
        </w:rPr>
        <w:t xml:space="preserve"> 130 </w:t>
      </w:r>
      <w:r w:rsidDel="00000000" w:rsidR="00000000" w:rsidRPr="00000000">
        <w:rPr>
          <w:sz w:val="24"/>
          <w:szCs w:val="24"/>
          <w:rtl w:val="1"/>
        </w:rPr>
        <w:t xml:space="preserve">לתקנות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האזרחי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התשע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ט</w:t>
      </w:r>
      <w:r w:rsidDel="00000000" w:rsidR="00000000" w:rsidRPr="00000000">
        <w:rPr>
          <w:sz w:val="24"/>
          <w:szCs w:val="24"/>
          <w:rtl w:val="1"/>
        </w:rPr>
        <w:t xml:space="preserve">-2018, </w:t>
      </w:r>
      <w:r w:rsidDel="00000000" w:rsidR="00000000" w:rsidRPr="00000000">
        <w:rPr>
          <w:sz w:val="24"/>
          <w:szCs w:val="24"/>
          <w:rtl w:val="1"/>
        </w:rPr>
        <w:t xml:space="preserve">תהיה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לתובעות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בפניך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5">
      <w:pPr>
        <w:bidi w:val="1"/>
        <w:spacing w:after="0" w:lineRule="auto"/>
        <w:ind w:right="-28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after="0" w:lineRule="auto"/>
        <w:ind w:right="-284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שני</w:t>
      </w:r>
    </w:p>
    <w:p w:rsidR="00000000" w:rsidDel="00000000" w:rsidP="00000000" w:rsidRDefault="00000000" w:rsidRPr="00000000" w14:paraId="00000037">
      <w:pPr>
        <w:bidi w:val="1"/>
        <w:spacing w:after="0" w:lineRule="auto"/>
        <w:ind w:right="-284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84" w:right="-284" w:hanging="709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הצדדים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t xml:space="preserve">התובע{ת/ים.ות} 1 היא {הרוכש/ת/ים/ הבעלים} של דירה בכתובת רחוב חיים הרצוג 7 (להלן: "דירה 7", "ההסכם", בהתאמה) אשר רכשה מהנתבעת.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{</w:t>
      </w:r>
      <w:r w:rsidDel="00000000" w:rsidR="00000000" w:rsidRPr="00000000">
        <w:rPr>
          <w:sz w:val="24"/>
          <w:szCs w:val="24"/>
          <w:rtl w:val="1"/>
        </w:rPr>
        <w:t xml:space="preserve">ת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ים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ות</w:t>
      </w:r>
      <w:r w:rsidDel="00000000" w:rsidR="00000000" w:rsidRPr="00000000">
        <w:rPr>
          <w:sz w:val="24"/>
          <w:szCs w:val="24"/>
          <w:rtl w:val="1"/>
        </w:rPr>
        <w:t xml:space="preserve">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0"/>
        </w:rPr>
        <w:t xml:space="preserve">….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העתק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הירושה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נספח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1}.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עסקה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בזמנים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הרלוונטים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לתביעה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ביזמות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בבניה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ובמכירה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מגורים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ביצעה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בעצמה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מטעמה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הבניה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במסגרתן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נבנו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נזכרת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בכתב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תביעה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תהא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לנתבעת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מטעמה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קבלניה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קבלני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פועליה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משמשיה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ושלוחיה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מכוחה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מטעמה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84" w:right="-284" w:hanging="709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הסעד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המבוקש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tabs>
          <w:tab w:val="left" w:leader="none" w:pos="651"/>
        </w:tabs>
        <w:bidi w:val="1"/>
        <w:spacing w:after="240" w:line="360" w:lineRule="auto"/>
        <w:ind w:left="360" w:right="-28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לאור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להלן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מתבקש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המשפט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הנכבד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הסעדים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כדלקמן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tabs>
          <w:tab w:val="left" w:leader="none" w:pos="651"/>
        </w:tabs>
        <w:bidi w:val="1"/>
        <w:spacing w:after="0" w:before="240" w:line="360" w:lineRule="auto"/>
        <w:ind w:left="792" w:right="-284" w:hanging="43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{~</w:t>
      </w:r>
      <w:r w:rsidDel="00000000" w:rsidR="00000000" w:rsidRPr="00000000">
        <w:rPr>
          <w:sz w:val="24"/>
          <w:szCs w:val="24"/>
          <w:rtl w:val="1"/>
        </w:rPr>
        <w:t xml:space="preserve">להורות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לנתבעת</w:t>
      </w:r>
      <w:r w:rsidDel="00000000" w:rsidR="00000000" w:rsidRPr="00000000">
        <w:rPr>
          <w:sz w:val="24"/>
          <w:szCs w:val="24"/>
          <w:rtl w:val="1"/>
        </w:rPr>
        <w:t xml:space="preserve"> 1 </w:t>
      </w:r>
      <w:r w:rsidDel="00000000" w:rsidR="00000000" w:rsidRPr="00000000">
        <w:rPr>
          <w:sz w:val="24"/>
          <w:szCs w:val="24"/>
          <w:rtl w:val="1"/>
        </w:rPr>
        <w:t xml:space="preserve">לבצע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התיקונים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הנדרשים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הנדרשות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מעבדות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מוסמכות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ובפיקוח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מפקח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המשפט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הנכבד</w:t>
      </w:r>
      <w:r w:rsidDel="00000000" w:rsidR="00000000" w:rsidRPr="00000000">
        <w:rPr>
          <w:sz w:val="24"/>
          <w:szCs w:val="24"/>
          <w:rtl w:val="1"/>
        </w:rPr>
        <w:t xml:space="preserve">.~}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tabs>
          <w:tab w:val="left" w:leader="none" w:pos="651"/>
        </w:tabs>
        <w:bidi w:val="1"/>
        <w:spacing w:after="0" w:line="360" w:lineRule="auto"/>
        <w:ind w:left="792" w:right="-284" w:hanging="43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{~</w:t>
      </w:r>
      <w:r w:rsidDel="00000000" w:rsidR="00000000" w:rsidRPr="00000000">
        <w:rPr>
          <w:sz w:val="24"/>
          <w:szCs w:val="24"/>
          <w:rtl w:val="1"/>
        </w:rPr>
        <w:t xml:space="preserve">להורות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לנתבעת</w:t>
      </w:r>
      <w:r w:rsidDel="00000000" w:rsidR="00000000" w:rsidRPr="00000000">
        <w:rPr>
          <w:sz w:val="24"/>
          <w:szCs w:val="24"/>
          <w:rtl w:val="1"/>
        </w:rPr>
        <w:t xml:space="preserve"> 1 </w:t>
      </w:r>
      <w:r w:rsidDel="00000000" w:rsidR="00000000" w:rsidRPr="00000000">
        <w:rPr>
          <w:sz w:val="24"/>
          <w:szCs w:val="24"/>
          <w:rtl w:val="1"/>
        </w:rPr>
        <w:t xml:space="preserve">לבצע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תיקון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נדרש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נדרשת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למנוע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מוחלט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רטיבות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שמקורה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הנתבע</w:t>
      </w:r>
      <w:r w:rsidDel="00000000" w:rsidR="00000000" w:rsidRPr="00000000">
        <w:rPr>
          <w:sz w:val="24"/>
          <w:szCs w:val="24"/>
          <w:rtl w:val="1"/>
        </w:rPr>
        <w:t xml:space="preserve"> 2.~}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tabs>
          <w:tab w:val="left" w:leader="none" w:pos="651"/>
        </w:tabs>
        <w:bidi w:val="1"/>
        <w:spacing w:after="0" w:line="360" w:lineRule="auto"/>
        <w:ind w:left="792" w:right="-284" w:hanging="43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{~</w:t>
      </w:r>
      <w:r w:rsidDel="00000000" w:rsidR="00000000" w:rsidRPr="00000000">
        <w:rPr>
          <w:sz w:val="24"/>
          <w:szCs w:val="24"/>
          <w:rtl w:val="1"/>
        </w:rPr>
        <w:t xml:space="preserve">להורות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לנתבע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מטעמו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המתגורר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לשתף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תיקונים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הקשורים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בדירתו</w:t>
      </w:r>
      <w:r w:rsidDel="00000000" w:rsidR="00000000" w:rsidRPr="00000000">
        <w:rPr>
          <w:sz w:val="24"/>
          <w:szCs w:val="24"/>
          <w:rtl w:val="1"/>
        </w:rPr>
        <w:t xml:space="preserve">.~}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tabs>
          <w:tab w:val="left" w:leader="none" w:pos="651"/>
        </w:tabs>
        <w:bidi w:val="1"/>
        <w:spacing w:after="0" w:line="360" w:lineRule="auto"/>
        <w:ind w:left="792" w:right="-284" w:hanging="43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{~</w:t>
      </w:r>
      <w:r w:rsidDel="00000000" w:rsidR="00000000" w:rsidRPr="00000000">
        <w:rPr>
          <w:sz w:val="24"/>
          <w:szCs w:val="24"/>
          <w:rtl w:val="1"/>
        </w:rPr>
        <w:t xml:space="preserve">להורות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הנתבעת</w:t>
      </w:r>
      <w:r w:rsidDel="00000000" w:rsidR="00000000" w:rsidRPr="00000000">
        <w:rPr>
          <w:sz w:val="24"/>
          <w:szCs w:val="24"/>
          <w:rtl w:val="1"/>
        </w:rPr>
        <w:t xml:space="preserve"> 1 </w:t>
      </w:r>
      <w:r w:rsidDel="00000000" w:rsidR="00000000" w:rsidRPr="00000000">
        <w:rPr>
          <w:sz w:val="24"/>
          <w:szCs w:val="24"/>
          <w:rtl w:val="1"/>
        </w:rPr>
        <w:t xml:space="preserve">בקשר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ליקוי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הרטיבות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תוארך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-3 </w:t>
      </w:r>
      <w:r w:rsidDel="00000000" w:rsidR="00000000" w:rsidRPr="00000000">
        <w:rPr>
          <w:sz w:val="24"/>
          <w:szCs w:val="24"/>
          <w:rtl w:val="1"/>
        </w:rPr>
        <w:t xml:space="preserve">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תקופת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האחריות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הקבועה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בהסכם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התיקונים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המבוקשים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המאוחר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מביניהם</w:t>
      </w:r>
      <w:r w:rsidDel="00000000" w:rsidR="00000000" w:rsidRPr="00000000">
        <w:rPr>
          <w:sz w:val="24"/>
          <w:szCs w:val="24"/>
          <w:rtl w:val="1"/>
        </w:rPr>
        <w:t xml:space="preserve">.~}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tabs>
          <w:tab w:val="left" w:leader="none" w:pos="651"/>
        </w:tabs>
        <w:bidi w:val="1"/>
        <w:spacing w:after="0" w:line="360" w:lineRule="auto"/>
        <w:ind w:left="792" w:right="-284" w:hanging="43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{~</w:t>
      </w:r>
      <w:r w:rsidDel="00000000" w:rsidR="00000000" w:rsidRPr="00000000">
        <w:rPr>
          <w:sz w:val="24"/>
          <w:szCs w:val="24"/>
          <w:rtl w:val="1"/>
        </w:rPr>
        <w:t xml:space="preserve">להורות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לנתבעת</w:t>
      </w:r>
      <w:r w:rsidDel="00000000" w:rsidR="00000000" w:rsidRPr="00000000">
        <w:rPr>
          <w:sz w:val="24"/>
          <w:szCs w:val="24"/>
          <w:rtl w:val="1"/>
        </w:rPr>
        <w:t xml:space="preserve"> 1 </w:t>
      </w:r>
      <w:r w:rsidDel="00000000" w:rsidR="00000000" w:rsidRPr="00000000">
        <w:rPr>
          <w:sz w:val="24"/>
          <w:szCs w:val="24"/>
          <w:rtl w:val="1"/>
        </w:rPr>
        <w:t xml:space="preserve">לפצות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בעוגמת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הנפש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שנגרמה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טרחה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והפסד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שהפסיד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שעתיד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להפסיד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בעקבות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התיקונים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והכל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MONEY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AMOUNT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שקלים</w:t>
      </w:r>
      <w:r w:rsidDel="00000000" w:rsidR="00000000" w:rsidRPr="00000000">
        <w:rPr>
          <w:sz w:val="24"/>
          <w:szCs w:val="24"/>
          <w:rtl w:val="1"/>
        </w:rPr>
        <w:t xml:space="preserve">.~}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tabs>
          <w:tab w:val="left" w:leader="none" w:pos="651"/>
        </w:tabs>
        <w:bidi w:val="1"/>
        <w:spacing w:after="0" w:line="360" w:lineRule="auto"/>
        <w:ind w:left="792" w:right="-284" w:hanging="43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{</w:t>
      </w:r>
      <w:r w:rsidDel="00000000" w:rsidR="00000000" w:rsidRPr="00000000">
        <w:rPr>
          <w:sz w:val="24"/>
          <w:szCs w:val="24"/>
          <w:rtl w:val="1"/>
        </w:rPr>
        <w:t xml:space="preserve">להורות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לנתבעת</w:t>
      </w:r>
      <w:r w:rsidDel="00000000" w:rsidR="00000000" w:rsidRPr="00000000">
        <w:rPr>
          <w:sz w:val="24"/>
          <w:szCs w:val="24"/>
          <w:rtl w:val="1"/>
        </w:rPr>
        <w:t xml:space="preserve"> 1 </w:t>
      </w:r>
      <w:r w:rsidDel="00000000" w:rsidR="00000000" w:rsidRPr="00000000">
        <w:rPr>
          <w:sz w:val="24"/>
          <w:szCs w:val="24"/>
          <w:rtl w:val="1"/>
        </w:rPr>
        <w:t xml:space="preserve">לשפות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שנגרמו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MONEY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AMOUNT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שקלים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מע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.~}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tabs>
          <w:tab w:val="left" w:leader="none" w:pos="651"/>
        </w:tabs>
        <w:bidi w:val="1"/>
        <w:spacing w:after="0" w:line="360" w:lineRule="auto"/>
        <w:ind w:left="792" w:right="-284" w:hanging="43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{~</w:t>
      </w:r>
      <w:r w:rsidDel="00000000" w:rsidR="00000000" w:rsidRPr="00000000">
        <w:rPr>
          <w:sz w:val="24"/>
          <w:szCs w:val="24"/>
          <w:rtl w:val="1"/>
        </w:rPr>
        <w:t xml:space="preserve">להורות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לנתבעת</w:t>
      </w:r>
      <w:r w:rsidDel="00000000" w:rsidR="00000000" w:rsidRPr="00000000">
        <w:rPr>
          <w:sz w:val="24"/>
          <w:szCs w:val="24"/>
          <w:rtl w:val="1"/>
        </w:rPr>
        <w:t xml:space="preserve"> 1 </w:t>
      </w:r>
      <w:r w:rsidDel="00000000" w:rsidR="00000000" w:rsidRPr="00000000">
        <w:rPr>
          <w:sz w:val="24"/>
          <w:szCs w:val="24"/>
          <w:rtl w:val="1"/>
        </w:rPr>
        <w:t xml:space="preserve">לשפות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נזק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שיידרש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הליקויים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ונזקי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הרטיבות</w:t>
      </w:r>
      <w:r w:rsidDel="00000000" w:rsidR="00000000" w:rsidRPr="00000000">
        <w:rPr>
          <w:sz w:val="24"/>
          <w:szCs w:val="24"/>
          <w:rtl w:val="1"/>
        </w:rPr>
        <w:t xml:space="preserve">.~}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tabs>
          <w:tab w:val="left" w:leader="none" w:pos="651"/>
        </w:tabs>
        <w:bidi w:val="1"/>
        <w:spacing w:after="240" w:line="360" w:lineRule="auto"/>
        <w:ind w:left="792" w:right="-284" w:hanging="43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{~</w:t>
      </w:r>
      <w:r w:rsidDel="00000000" w:rsidR="00000000" w:rsidRPr="00000000">
        <w:rPr>
          <w:sz w:val="24"/>
          <w:szCs w:val="24"/>
          <w:rtl w:val="1"/>
        </w:rPr>
        <w:t xml:space="preserve">להורות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לנתבעת</w:t>
      </w:r>
      <w:r w:rsidDel="00000000" w:rsidR="00000000" w:rsidRPr="00000000">
        <w:rPr>
          <w:sz w:val="24"/>
          <w:szCs w:val="24"/>
          <w:rtl w:val="1"/>
        </w:rPr>
        <w:t xml:space="preserve"> 1 </w:t>
      </w:r>
      <w:r w:rsidDel="00000000" w:rsidR="00000000" w:rsidRPr="00000000">
        <w:rPr>
          <w:sz w:val="24"/>
          <w:szCs w:val="24"/>
          <w:rtl w:val="1"/>
        </w:rPr>
        <w:t xml:space="preserve">לשפות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נזקים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והפסדים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הנובעים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מאובדן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הכנסות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מהשכרת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ועלויות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הדיירים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המתגוררים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בשכירות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ידרשו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הסעדים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המבוקשים</w:t>
      </w:r>
      <w:r w:rsidDel="00000000" w:rsidR="00000000" w:rsidRPr="00000000">
        <w:rPr>
          <w:sz w:val="24"/>
          <w:szCs w:val="24"/>
          <w:rtl w:val="1"/>
        </w:rPr>
        <w:t xml:space="preserve">.~}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240" w:lineRule="auto"/>
        <w:ind w:left="788" w:right="-28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84" w:right="-284" w:hanging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תמצית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העובדות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הנחוצות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לביסוס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עילת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התביעה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ומתי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נולדה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360" w:right="-28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84" w:right="-284" w:hanging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העובדות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המקנות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סמכות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לבית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הסמכות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העניינית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והמקומית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לדון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בתובענה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התביעה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ולאור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תניית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השיפוט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בהסכם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המכר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D">
      <w:pPr>
        <w:tabs>
          <w:tab w:val="left" w:leader="none" w:pos="651"/>
        </w:tabs>
        <w:bidi w:val="1"/>
        <w:spacing w:after="120" w:before="120" w:line="360" w:lineRule="auto"/>
        <w:ind w:left="720" w:right="-284" w:hanging="72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שלישי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84" w:right="-284" w:hanging="709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העובדתי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הצדדים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בעלי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הזכויות</w:t>
      </w:r>
      <w:r w:rsidDel="00000000" w:rsidR="00000000" w:rsidRPr="00000000">
        <w:rPr>
          <w:sz w:val="24"/>
          <w:szCs w:val="24"/>
          <w:rtl w:val="1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העתק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הסכם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המכר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נספח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APPENDIX_NUMBER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.~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{~</w:t>
      </w:r>
      <w:r w:rsidDel="00000000" w:rsidR="00000000" w:rsidRPr="00000000">
        <w:rPr>
          <w:sz w:val="24"/>
          <w:szCs w:val="24"/>
          <w:rtl w:val="1"/>
        </w:rPr>
        <w:t xml:space="preserve">העתק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ההסכם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נספח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APPENDIX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_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NUMBER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.~}</w:t>
      </w:r>
    </w:p>
    <w:p w:rsidR="00000000" w:rsidDel="00000000" w:rsidP="00000000" w:rsidRDefault="00000000" w:rsidRPr="00000000" w14:paraId="00000052">
      <w:pPr>
        <w:tabs>
          <w:tab w:val="left" w:leader="none" w:pos="651"/>
        </w:tabs>
        <w:bidi w:val="1"/>
        <w:spacing w:after="120" w:before="120" w:line="360" w:lineRule="auto"/>
        <w:ind w:left="-199" w:right="-284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{~</w:t>
      </w:r>
      <w:r w:rsidDel="00000000" w:rsidR="00000000" w:rsidRPr="00000000">
        <w:rPr>
          <w:sz w:val="24"/>
          <w:szCs w:val="24"/>
          <w:rtl w:val="1"/>
        </w:rPr>
        <w:t xml:space="preserve">העתק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נסחי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מקרקעין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נספח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APPENDIX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_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NUMBER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.~}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נמסרו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לתובעות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במהלך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אפריל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2018.~</w:t>
      </w: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מחויבת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ההסכם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לתכנן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ולבנות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ולפקח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בנייתן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במומחיות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ובמקצועיות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ולעשות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בחומרים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נאותים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וטובים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למפרט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לתוכניות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ולהוראות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מחייבת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ההסכם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ליקוי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יתגלו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~}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עמדו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בהתחייבויותיהן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ההסכם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ושילמו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לנתבעת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התמורה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.~}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עקא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מסירת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לתובעות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נתגלו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התאמות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ליקויי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בנייה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ופגמים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וחמורים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מאפשרים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מגורים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סביר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וראוי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כאמור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ואמורות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במצב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~}.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גילויי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הליקויים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לנתבעת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בכתב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בדרישה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שתמלא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חובתה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ותתקן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הליקויים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שהנתבעת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מילאה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חובתה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ביצעה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התיקונים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הדרושים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שביצעה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ביצעה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חלקי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רשלני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שבפועל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במועד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תביעה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נותרו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ליקויים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.~}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העתק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דוגמאות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לתכתובות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נספח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APPENDIX_NUMBER.}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העבירו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לנתבעת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מטעמן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המומחה</w:t>
      </w:r>
      <w:r w:rsidDel="00000000" w:rsidR="00000000" w:rsidRPr="00000000">
        <w:rPr>
          <w:sz w:val="24"/>
          <w:szCs w:val="24"/>
          <w:rtl w:val="0"/>
        </w:rPr>
        <w:t xml:space="preserve">…~}.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84" w:right="-284" w:hanging="709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עילות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התביעה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ת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יטענו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0"/>
        </w:rPr>
        <w:t xml:space="preserve">…~}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{~</w:t>
      </w:r>
      <w:r w:rsidDel="00000000" w:rsidR="00000000" w:rsidRPr="00000000">
        <w:rPr>
          <w:sz w:val="24"/>
          <w:szCs w:val="24"/>
          <w:rtl w:val="1"/>
        </w:rPr>
        <w:t xml:space="preserve">התובע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ת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ות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יטענו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…~}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התיקונים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הדרושים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…~}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84" w:right="-284" w:hanging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העברת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נטל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השכנוע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{</w:t>
      </w:r>
      <w:r w:rsidDel="00000000" w:rsidR="00000000" w:rsidRPr="00000000">
        <w:rPr>
          <w:sz w:val="24"/>
          <w:szCs w:val="24"/>
          <w:rtl w:val="1"/>
        </w:rPr>
        <w:t xml:space="preserve">התובע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ת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ות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ים</w:t>
      </w:r>
      <w:r w:rsidDel="00000000" w:rsidR="00000000" w:rsidRPr="00000000">
        <w:rPr>
          <w:sz w:val="24"/>
          <w:szCs w:val="24"/>
          <w:rtl w:val="1"/>
        </w:rPr>
        <w:t xml:space="preserve">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יטענו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הימצאות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הפגמים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הליקויים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ההתאמות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כמפורט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בכתב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תביעה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נספחיו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מביאים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מסקנה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התרשלה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הקשור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בבניית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ומבלי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לפגוע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לגרוע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מהאמור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יסתמכו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הוראות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סעיף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לפקודת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הנזיקין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שכותרתו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ברשלנות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כשהדבר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ויטענו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רובץ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נטל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והשכנוע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התרשלה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בבניית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61">
      <w:pPr>
        <w:tabs>
          <w:tab w:val="left" w:leader="none" w:pos="651"/>
        </w:tabs>
        <w:bidi w:val="1"/>
        <w:spacing w:after="120" w:before="120" w:line="360" w:lineRule="auto"/>
        <w:ind w:right="-284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651"/>
        </w:tabs>
        <w:bidi w:val="1"/>
        <w:spacing w:after="120" w:before="120" w:line="360" w:lineRule="auto"/>
        <w:ind w:right="-284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84" w:right="-284" w:hanging="709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הנזכרת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בכתב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תביעה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נטענת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מצטבר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חלופי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הנכללת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העניין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והקשר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הדבקם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בהעלאת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באזכור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בכתב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תביעה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להעביר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נטל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ההוכחה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נטל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נטל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ההוכחה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מוטל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אלמלא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הועלתה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הטענה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אוזכרה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מתבקש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הנכבד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לדין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ולחייבה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לשלם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לתובעות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הסכומים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המפורטים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בצירוף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הפרשי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הצמדה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וריבית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התביעה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התשלום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בתוספת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="0" w:tblpY="14527"/>
        <w:bidiVisual w:val="1"/>
        <w:tblW w:w="195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1951"/>
        <w:tblGridChange w:id="0">
          <w:tblGrid>
            <w:gridCol w:w="19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tabs>
                <w:tab w:val="left" w:leader="none" w:pos="651"/>
              </w:tabs>
              <w:bidi w:val="1"/>
              <w:spacing w:after="120" w:before="120" w:line="360" w:lineRule="auto"/>
              <w:ind w:right="-284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651"/>
              </w:tabs>
              <w:bidi w:val="1"/>
              <w:spacing w:after="120" w:before="120" w:line="360" w:lineRule="auto"/>
              <w:ind w:right="-284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651"/>
              </w:tabs>
              <w:bidi w:val="1"/>
              <w:spacing w:after="120" w:before="120" w:line="360" w:lineRule="auto"/>
              <w:ind w:right="-284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651"/>
              </w:tabs>
              <w:bidi w:val="1"/>
              <w:spacing w:after="120" w:before="120" w:line="360" w:lineRule="auto"/>
              <w:ind w:right="-284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167005</wp:posOffset>
                  </wp:positionV>
                  <wp:extent cx="1143000" cy="858592"/>
                  <wp:effectExtent b="0" l="0" r="0" t="0"/>
                  <wp:wrapNone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585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651"/>
              </w:tabs>
              <w:bidi w:val="1"/>
              <w:spacing w:after="120" w:before="120" w:line="360" w:lineRule="auto"/>
              <w:ind w:right="-284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tabs>
                <w:tab w:val="left" w:leader="none" w:pos="651"/>
              </w:tabs>
              <w:bidi w:val="1"/>
              <w:spacing w:after="120" w:before="120" w:line="360" w:lineRule="auto"/>
              <w:ind w:right="-28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עמית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חורש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עו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ד</w:t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651"/>
              </w:tabs>
              <w:bidi w:val="1"/>
              <w:spacing w:after="120" w:before="120" w:line="360" w:lineRule="auto"/>
              <w:ind w:right="-28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כ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התובעות</w:t>
            </w:r>
          </w:p>
        </w:tc>
      </w:tr>
    </w:tbl>
    <w:p w:rsidR="00000000" w:rsidDel="00000000" w:rsidP="00000000" w:rsidRDefault="00000000" w:rsidRPr="00000000" w14:paraId="0000006F">
      <w:pPr>
        <w:tabs>
          <w:tab w:val="left" w:leader="none" w:pos="651"/>
        </w:tabs>
        <w:bidi w:val="1"/>
        <w:spacing w:after="120" w:before="120" w:line="360" w:lineRule="auto"/>
        <w:ind w:right="-284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w:type="default" r:id="rId8"/>
      <w:footerReference w:type="default" r:id="rId9"/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David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43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51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8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72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9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87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94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101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005" w:hanging="645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bidi w:val="1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pPr>
      <w:tabs>
        <w:tab w:val="center" w:pos="4153"/>
        <w:tab w:val="right" w:pos="8306"/>
      </w:tabs>
      <w:spacing w:after="0" w:line="240" w:lineRule="auto"/>
    </w:pPr>
  </w:style>
  <w:style w:type="character" w:styleId="a5" w:customStyle="1">
    <w:name w:val="כותרת עליונה תו"/>
    <w:basedOn w:val="a0"/>
    <w:link w:val="a4"/>
    <w:uiPriority w:val="99"/>
  </w:style>
  <w:style w:type="table" w:styleId="a6">
    <w:name w:val="Table Grid"/>
    <w:basedOn w:val="a1"/>
    <w:uiPriority w:val="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7">
    <w:name w:val="Balloon Text"/>
    <w:basedOn w:val="a"/>
    <w:link w:val="a8"/>
    <w:uiPriority w:val="99"/>
    <w:semiHidden w:val="1"/>
    <w:unhideWhenUsed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8" w:customStyle="1">
    <w:name w:val="טקסט בלונים תו"/>
    <w:basedOn w:val="a0"/>
    <w:link w:val="a7"/>
    <w:uiPriority w:val="99"/>
    <w:semiHidden w:val="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fEKg48ytbeL9vPKdEqJJcqAEcg==">CgMxLjA4AHIhMWQ1LWYxTGZxYUdCQTlIUUQ2aV9tdFRnMFp6cXZYQkl3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2021-07-25T14:13:00Z</dcterms:created>
  <dc:creator>Orit Secretary</dc:creator>
</cp:coreProperties>
</file>