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left"/>
      </w:pPr>
      <w:r>
        <w:rPr>
          <w:b/>
          <w:bCs/>
          <w:color w:val="1F4E79"/>
          <w:sz w:val="64"/>
          <w:szCs w:val="64"/>
        </w:rPr>
        <w:t xml:space="preserve">fwforge</w:t>
      </w:r>
    </w:p>
    <w:p>
      <w:pPr>
        <w:spacing w:after="60" w:before="120"/>
      </w:pPr>
      <w:r>
        <w:rPr>
          <w:b/>
          <w:bCs/>
          <w:sz w:val="34"/>
          <w:szCs w:val="34"/>
        </w:rPr>
        <w:t xml:space="preserve">Palo Alto → FortiGate Conversion</w:t>
      </w:r>
    </w:p>
    <w:p>
      <w:pPr>
        <w:spacing w:after="240"/>
      </w:pPr>
      <w:r>
        <w:rPr>
          <w:color w:val="555555"/>
          <w:sz w:val="26"/>
          <w:szCs w:val="26"/>
        </w:rPr>
        <w:t xml:space="preserve">Capability overview and comparison with FortiConverter</w:t>
      </w:r>
    </w:p>
    <w:p>
      <w:pPr>
        <w:pBdr>
          <w:bottom w:val="single" w:color="DA291C" w:sz="8" w:space="1"/>
        </w:pBdr>
        <w:spacing w:after="20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An open, clean-room PAN-OS → FortiOS converter. </w:t>
      </w:r>
      <w:r>
        <w:rPr>
          <w:color w:val="555555"/>
        </w:rPr>
        <w:t xml:space="preserve">Prepared for Fortinet engineering review · June 2026 · fwforge v0.49.0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fwforge is a transparent, fully local tool that converts Palo Alto PAN-OS configurations — firewall XML, </w:t>
      </w:r>
      <w:r>
        <w:rPr>
          <w:rFonts w:ascii="Consolas" w:cs="Consolas" w:eastAsia="Consolas" w:hAnsi="Consolas"/>
          <w:sz w:val="18"/>
          <w:szCs w:val="18"/>
        </w:rPr>
        <w:t xml:space="preserve">set</w:t>
      </w:r>
      <w:r>
        <w:t xml:space="preserve">/display-set format, and Panorama exports — into clean, restorable FortiOS configuration. It exists to make migrating off Palo Alto and onto FortiGate fast, auditable, and trustworthy.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Clean-room. </w:t>
      </w:r>
      <w:r>
        <w:t xml:space="preserve">It contains no Fortinet or FortiConverter code, and no licensed FortiGuard data files. It targets the public FortiOS CLI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 on-ramp to FortiGate. </w:t>
      </w:r>
      <w:r>
        <w:t xml:space="preserve">Every conversion is a Palo Alto estate moving onto FortiOS. The tool's purpose is to remove migration friction from that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Parity on the core, ahead on assurance. </w:t>
      </w:r>
      <w:r>
        <w:t xml:space="preserve">It matches FortiConverter on the object / policy / NAT / routing / VPN conversion, and goes beyond it on output quality: every emitted config is schema-certified against the exact target firmware build, is deterministic and git-diffable, and carries per-line provenance back to the source line.</w:t>
      </w:r>
    </w:p>
    <w:p>
      <w:pPr>
        <w:spacing w:after="120"/>
      </w:pPr>
      <w:r>
        <w:t xml:space="preserve">The conversions and category data in this document were </w:t>
      </w:r>
      <w:r>
        <w:rPr>
          <w:b/>
          <w:bCs/>
        </w:rPr>
        <w:t xml:space="preserve">verified live against a FortiGate-601F running FortiOS 8.0.0 build0167</w:t>
      </w:r>
      <w:r>
        <w:t xml:space="preserve"> — FortiGuard web categories and file types were read from the device, and the emitted output was schema-certified clean (0 unknown tables, 0 unknown attributes).</w:t>
      </w:r>
    </w:p>
    <w:p>
      <w:pPr>
        <w:pStyle w:val="Heading1"/>
      </w:pPr>
      <w:r>
        <w:t xml:space="preserve">2. What makes it different</w:t>
      </w:r>
    </w:p>
    <w:p>
      <w:pPr>
        <w:spacing w:after="120"/>
      </w:pPr>
      <w:r>
        <w:t xml:space="preserve">Six properties distinguish fwforge from a typical converter. They are the reasons the output can be trusted on a production cutover.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Schema-certified output. </w:t>
      </w:r>
      <w:r>
        <w:t xml:space="preserve">Every section and attribute is validated against the exact target firmware's CLI schema, fetched live from the device (one read-only API call) or from cache. Unknown table = error; unknown attribute = warning. Nothing reaches a device unverified.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Deterministic and diffable. </w:t>
      </w:r>
      <w:r>
        <w:t xml:space="preserve">No timestamps, no random ordering. Re-running the same input yields byte-identical output, so a reviewer can diff two conversions in git and see exactly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Per-line provenance and a real report. </w:t>
      </w:r>
      <w:r>
        <w:t xml:space="preserve">Every converted object records its source file and line. Findings are a structured report (Markdown + JSON + HTML) with severity and location — not warnings buried as comments in the config. A non-zero exit code is returned on errors.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Version-delta awareness. </w:t>
      </w:r>
      <w:r>
        <w:t xml:space="preserve">fwforge compares source and target FortiOS versions and reports removed or introduced features, auto-fixed attribute/section renames, and silent default-flips — in both upgrade and downgrade directions.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Never silently broadens or drops. </w:t>
      </w:r>
      <w:r>
        <w:t xml:space="preserve">Anything it cannot faithfully convert is flagged, never approximated into something more permissive. For example, a custom udp/53 service is not collapsed onto the FortiOS built-in DNS service, which is tcp+udp/53.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and target-model aware. </w:t>
      </w:r>
      <w:r>
        <w:t xml:space="preserve">It runs as a single local package with no cloud dependency, and maps interfaces against the destination model's real port inventory (read from a backup or model table) using a FortiOS-style faceplate.</w:t>
      </w:r>
    </w:p>
    <w:p>
      <w:r>
        <w:br w:type="page"/>
      </w:r>
    </w:p>
    <w:p>
      <w:pPr>
        <w:pStyle w:val="Heading1"/>
      </w:pPr>
      <w:r>
        <w:t xml:space="preserve">3. PAN-OS → FortiGate capability matrix</w:t>
      </w:r>
    </w:p>
    <w:p>
      <w:pPr>
        <w:spacing w:after="120"/>
      </w:pPr>
      <w:r>
        <w:t xml:space="preserve">Everything fwforge converts from a Palo Alto source. Anything outside this table is reported as a finding, not dropped silently.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60"/>
        <w:gridCol w:w="3600"/>
      </w:tblGrid>
      <w:tr>
        <w:trPr>
          <w:tblHeader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fwforge converts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Input formats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PAN-OS firewall XML and set / display-set format; Panorama exports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One unified parser, auto-detected. Panorama template-merged running-configs handled.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Panorama &amp; multi-vsys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Device-group selection; shared + pre/post rulebases merged in PAN evaluation order; optional template for network config; each vsys → its own FortiOS VDOM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Cross-vsys references flagged.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Interfaces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Physical, aggregate (LAG), Layer-3 subinterfaces (VLAN), loopback, tunnel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Mapped to the destination model's real ports via a faceplate UI with positional auto-guess; promote-a-port-to-LAG and “do not map” supported.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Aggregates / LAG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aggregate-ethernet → FortiOS 802.3ad aggregate (type aggregate + member ports + lacp-mode)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LACP mode read from source; emitted before the VLANs that ride it so the script loads in order.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Zones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security zones → FortiOS zones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Emitted with intrazone allow to preserve PAN's default same-zone behavior; flagged for tightening.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Addresses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host / subnet / range / FQDN; IPv4 and IPv6 (address6)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Names sanitized to FortiOS limits with every reference remapped.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Address groups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Nested groups with single-family enforcement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Mixed-family members handled per FortiOS rules.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Services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Custom TCP/UDP (port + source-port ranges), service groups, predefined service-http/https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Mapped to FortiOS built-ins only on exact semantic match — never broadened.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App-ID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App-IDs → application-control category profiles; App-IDs → policy service (standard ports); application-groups flattened to leaves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Category-level (see §6). App-IDs that match a FortiOS built-in service are emitted as that named service.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URL filtering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url-filtering profiles → FortiOS webfilter (FortiGuard category) profiles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Category IDs verified live. PAN action → ftgd-wf action (block; alert→monitor; continue→warning; override→authenticate).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File blocking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file-blocking profiles → FortiOS file-filter profiles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File types verified live. PAN action → block / log-only / warning.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SSL inspection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webfilter / file-filter policies attached with the built-in certificate-inspection profile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SNI-based; no CA rollout. Switch to deep-inspection for full HTTPS content control.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Security policies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rules → FortiOS firewall policy: zones, addresses, services, action, logging, disable state, source/destination negation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Per-rule selection (exclude rules); schedules flagged; application-default handled.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NAT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Source NAT (interface PAT) → policy NAT or central-snat-map; destination/static NAT → VIP (+ port-forward); subnet 1:1 DNAT → range VIP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NAT mode selectable: policy or central.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Routing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Static routes (egress inferred when omitted); BGP (AS, router-id, neighbors, networks, redistribute); OSPF (areas, networks, passive); IPv6 routes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The route table also drives policy dstintf inference (longest-prefix-match).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IPsec VPN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Site-to-site → route-based phase1/phase2-interface + tunnel routes + bidirectional policies; IKE crypto, proposals, PFS, IKEv2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Encrypted / exported PSKs detected → placeholder + error (never a silently broken secret).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hygiene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Prune unreferenced objects (iterative); merge duplicate objects; split interface pairs; include/exclude rules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Acts on the output, not just reports.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packaging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config-all.txt + per-branch script files; findings embedded as # comments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Deterministic ordering; restore-safe.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FortiManager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Optional JSON-RPC import bundle: object creates + a policy package for an ADOM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Assurance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Schema certification; version-delta scan; Markdown / JSON / HTML report; XML coverage map (% of source read)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See §2 and §5.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Security-profile conversion</w:t>
      </w:r>
    </w:p>
    <w:p>
      <w:pPr>
        <w:spacing w:after="120"/>
      </w:pPr>
      <w:r>
        <w:t xml:space="preserve">PAN security profiles split into two groups: those that are category- or type-level (faithfully convertible in a clean-room tool) and those that are signature/engine-level (which are flagged, not guessed).</w:t>
      </w:r>
    </w:p>
    <w:p>
      <w:pPr>
        <w:pStyle w:val="Heading2"/>
      </w:pPr>
      <w:r>
        <w:t xml:space="preserve">Converted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App-ID → Application Control. </w:t>
      </w:r>
      <w:r>
        <w:t xml:space="preserve">A rule's App-IDs become a FortiOS application-control profile (FortiGuard categories) and, in parallel, a port-based service from the apps' standard ports — so the policy is both port-based and app-aware. Application-groups are expanded to their leaf apps.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 filtering → Web Filter. </w:t>
      </w:r>
      <w:r>
        <w:t xml:space="preserve">Each PAN url-filtering profile becomes a FortiOS FortiGuard-category webfilter profile. PAN per-category actions map to ftgd-wf actions; one PAN category can expand to several FortiGuard categories (e.g. alcohol-and-tobacco → Alcohol + Tobacco). Profiles are deduplicated and attached to every policy that referenced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 blocking → File Filter. </w:t>
      </w:r>
      <w:r>
        <w:t xml:space="preserve">Each PAN file-blocking profile becomes a FortiOS file-filter profile; PAN file types map to FortiOS file types over HTTP/FTP/SMTP/IMAP/POP3/MAPI/CIFS/SSH.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SSL inspection. </w:t>
      </w:r>
      <w:r>
        <w:t xml:space="preserve">Policies carrying a web or file profile are attached to the built-in certificate-inspection profile (SNI-based, no certificate rollout). Deep-inspection is recommended in the report for full HTTPS content control.</w:t>
      </w:r>
    </w:p>
    <w:p>
      <w:pPr>
        <w:pStyle w:val="Heading2"/>
      </w:pPr>
      <w:r>
        <w:t xml:space="preserve">Flagged, not converted (by design)</w:t>
      </w:r>
    </w:p>
    <w:p>
      <w:pPr>
        <w:spacing w:after="120"/>
      </w:pPr>
      <w:r>
        <w:t xml:space="preserve">Antivirus, Anti-Spyware, Vulnerability Protection, WildFire, and Data Filtering are signature/engine-level and are reported per rule for manual attachment rather than approximated. PAN risk-level URL buckets (high/medium/low-risk) and any unmapped category or file type are likewise flagged — never silently dropped.</w:t>
      </w:r>
    </w:p>
    <w:p>
      <w:pPr>
        <w:pStyle w:val="Heading1"/>
      </w:pPr>
      <w:r>
        <w:t xml:space="preserve">5. Output quality and assurance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 certification. </w:t>
      </w:r>
      <w:r>
        <w:t xml:space="preserve">The emitted CLI is parsed and checked table-by-table, attribute-by-attribute, against the target build's schema. In this review a full PAN→FortiGate conversion certified clean against a live 601F (FortiOS 8.0.0 build0167): 0 unknown tables, 0 unknown attributes.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Deterministic output. </w:t>
      </w:r>
      <w:r>
        <w:t xml:space="preserve">No timestamps or nondeterministic ordering, so successive runs diff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Structured findings. </w:t>
      </w:r>
      <w:r>
        <w:t xml:space="preserve">Markdown, JSON, and HTML reports, each finding tagged with severity, area, and source file:line. The HTML report is print-to-PDF friendly for hand-off.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Coverage map. </w:t>
      </w:r>
      <w:r>
        <w:t xml:space="preserve">The parser reports the percentage of source values it read and flags any unread subtree, so reviewers can see what was and was not considered.</w:t>
      </w:r>
    </w:p>
    <w:p>
      <w:pPr>
        <w:pStyle w:val="Heading1"/>
      </w:pPr>
      <w:r>
        <w:t xml:space="preserve">6. Scope and limitations (stated plainly)</w:t>
      </w:r>
    </w:p>
    <w:p>
      <w:pPr>
        <w:spacing w:after="120"/>
      </w:pPr>
      <w:r>
        <w:t xml:space="preserve">Engineers should know exactly where the tool stops. Each of these is surfaced in the report; nothing fails silently.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Category-level App-ID and URL mapping. </w:t>
      </w:r>
      <w:r>
        <w:t xml:space="preserve">fwforge maps to FortiOS application-control and FortiGuard web categories, not per-application or per-URL signatures. The PAN-app → FortiGuard-signature-ID table is licensed and cannot be used in a clean-room tool, so this is coarser than FortiConverter's licensed mapping. With a Fortinet-sanctioned mapping, fwforge could emit signature-level profiles — a natural collaboration 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Engine-level profiles. </w:t>
      </w:r>
      <w:r>
        <w:t xml:space="preserve">Antivirus, IPS (Anti-Spyware / Vulnerability), WildFire, and Data Filtering are not converted (see §4).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Complex NAT. </w:t>
      </w:r>
      <w:r>
        <w:t xml:space="preserve">Common source and destination NAT convert; exotic twice-NAT idioms are flagged for manual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Remote-access VPN. </w:t>
      </w:r>
      <w:r>
        <w:t xml:space="preserve">Site-to-site IPsec converts; GlobalProtect / remote-access is not converted.</w:t>
      </w:r>
    </w:p>
    <w:p>
      <w:r>
        <w:br w:type="page"/>
      </w:r>
    </w:p>
    <w:p>
      <w:pPr>
        <w:pStyle w:val="Heading1"/>
      </w:pPr>
      <w:r>
        <w:t xml:space="preserve">7. fwforge vs FortiConverter</w:t>
      </w:r>
    </w:p>
    <w:p>
      <w:pPr>
        <w:spacing w:after="120"/>
      </w:pPr>
      <w:r>
        <w:t xml:space="preserve">A feature-and-quality comparison for the Palo Alto → FortiGate path. Both tools convert the core object/policy/NAT/routing model; the differences are in coverage, granularity, and output assurance.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3520"/>
        <w:gridCol w:w="3280"/>
      </w:tblGrid>
      <w:tr>
        <w:trPr>
          <w:tblHeader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fwforge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FortiConverter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Source coverage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Palo Alto (XML, set, Panorama, multi-vsys)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Palo Alto plus 15+ other vendors — broader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App-ID / URL granularity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Category-level (public IDs, clean-room)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Signature-level (licensed FortiGuard table) — finer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validation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Schema-certified against the exact target firmware build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 certified against the live target schema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Determinism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Byte-deterministic, git-diffable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 deterministic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Provenance / findings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Per-line source provenance; md/JSON/HTML report; non-zero exit on error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Warnings as comments in config-all.txt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Version-delta scan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bidirectional feature / rename / default-flip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Object hygiene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Prunes, merges, dedups (acts on output)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Reports; discard is opt-in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Routing-aware dstintf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Longest-prefix-match from source routes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Falls back to any when missing (per docs)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Deployment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Single local package, fully offline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Heavier install; FGT→FGT path runs in cloud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FortiManager output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JSON-RPC import bundle (objects + package)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mature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Support model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Self-hosted / community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Official Fortinet support + service SLA</w:t>
            </w:r>
          </w:p>
        </w:tc>
      </w:tr>
    </w:tbl>
    <w:p>
      <w:pPr>
        <w:spacing w:after="120"/>
      </w:pPr>
      <w:r>
        <w:rPr>
          <w:b/>
          <w:bCs/>
        </w:rPr>
        <w:t xml:space="preserve">Where FortiConverter leads: </w:t>
      </w:r>
      <w:r>
        <w:t xml:space="preserve">vendor breadth, signature-level App-ID/URL mapping, official support, and product maturity. </w:t>
      </w:r>
      <w:r>
        <w:rPr>
          <w:b/>
          <w:bCs/>
        </w:rPr>
        <w:t xml:space="preserve">Where fwforge leads: </w:t>
      </w:r>
      <w:r>
        <w:t xml:space="preserve">output assurance (schema certification), transparency, determinism, provenance, version-delta awareness, active hygiene, and fully-local operation.</w:t>
      </w:r>
    </w:p>
    <w:p>
      <w:pPr>
        <w:pStyle w:val="Heading1"/>
      </w:pPr>
      <w:r>
        <w:t xml:space="preserve">8. Example output</w:t>
      </w:r>
    </w:p>
    <w:p>
      <w:pPr>
        <w:spacing w:after="120"/>
      </w:pPr>
      <w:r>
        <w:t xml:space="preserve">A PAN physical port carrying VLANs, promoted to a LAG, with a url-filtering profile — as emitted (and schema-certified clean) by fwforge: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4F5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system interface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"lag-uplink"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type aggregate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member "port5" "port6"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lacp-mode active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"vlan100"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type vlan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interface "lag-uplink"      # rides the LAG; emitted after 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vlanid 100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webfilter profile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"wf-url-strict"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config ftgd-wf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config filters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set category 26       # Malicious Websites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set action block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firewall policy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name "trust-to-untrust"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utm-status enable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ssl-ssh-profile "certificate-inspection"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webfilter-profile "wf-url-strict"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</w:tc>
      </w:tr>
    </w:tbl>
    <w:p>
      <w:pPr>
        <w:pStyle w:val="Heading1"/>
      </w:pPr>
      <w:r>
        <w:t xml:space="preserve">Appendix: verification methodology</w:t>
      </w:r>
    </w:p>
    <w:p>
      <w:pPr>
        <w:spacing w:after="120"/>
      </w:pPr>
      <w:r>
        <w:t xml:space="preserve">To keep category and type mappings honest, fwforge's PAN-OS conversion data was verified against a live FortiGate rather than from documentation alone: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FortiGuard web categories </w:t>
      </w:r>
      <w:r>
        <w:t xml:space="preserve">(the ~93 IDs used by URL-filtering) were read from the device at /api/v2/monitor/webfilter/fortiguard-categories.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File-filter file types </w:t>
      </w:r>
      <w:r>
        <w:t xml:space="preserve">were read from the device's antivirus.filetype data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emitted configuration </w:t>
      </w:r>
      <w:r>
        <w:t xml:space="preserve">was run through fwforge's own schema certifier against the device's CLI schema and returned 0 unknown tables and 0 unknown attributes.</w:t>
      </w:r>
    </w:p>
    <w:p>
      <w:pPr>
        <w:spacing w:after="120"/>
      </w:pPr>
      <w:r>
        <w:rPr>
          <w:i/>
          <w:iCs/>
          <w:color w:val="555555"/>
        </w:rPr>
        <w:t xml:space="preserve">Reference device: FortiGate-601F, FortiOS 8.0.0 build0167.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6"/>
        <w:szCs w:val="16"/>
      </w:rPr>
      <w:t xml:space="preserve">fwforge — Palo Alto → FortiGate</w:t>
    </w:r>
    <w:r>
      <w:rPr>
        <w:sz w:val="16"/>
        <w:szCs w:val="16"/>
      </w:rPr>
      <w:t xml:space="preserve">	</w:t>
    </w: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2E2E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2026-06-16T11:50:32.666Z</dcterms:created>
  <dcterms:modified xsi:type="dcterms:W3CDTF">2026-06-16T11:50:32.667Z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