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w:t>
      </w:r>
      <w:r>
        <w:rPr>
          <w:i/>
          <w:iCs/>
          <w:sz w:val="22"/>
          <w:szCs w:val="22"/>
        </w:rPr>
        <w:t xml:space="preserve">over seven seasons</w:t>
      </w:r>
      <w:r>
        <w:rPr>
          <w:i/>
          <w:iCs/>
          <w:sz w:val="22"/>
          <w:szCs w:val="22"/>
        </w:rPr>
        <w:t xml:space="preserve">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w:t>
            </w:r>
            <w:r>
              <w:rPr>
                <w:b w:val="false"/>
                <w:bCs w:val="false"/>
                <w:sz w:val="20"/>
                <w:szCs w:val="20"/>
              </w:rPr>
              <w:t xml:space="preserve">2023/24 (seven complete seasons; see 4.1)</w:t>
            </w:r>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r>
              <w:rPr>
                <w:b w:val="false"/>
                <w:bCs w:val="false"/>
                <w:sz w:val="20"/>
                <w:szCs w:val="20"/>
              </w:rPr>
              <w:t xml:space="preserve">145 across the window (98 per season, 96 in 2023/24)</w:t>
            </w:r>
            <w:r>
              <w:rPr>
                <w:b w:val="false"/>
                <w:bCs w:val="false"/>
                <w:sz w:val="20"/>
                <w:szCs w:val="20"/>
              </w:rPr>
              <w:t xml:space="preserve">,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r>
              <w:rPr>
                <w:b w:val="false"/>
                <w:bCs w:val="false"/>
                <w:sz w:val="20"/>
                <w:szCs w:val="20"/>
              </w:rPr>
              <w:t xml:space="preserve">On-field output after 2023/24, which can no longer be measured on the same basis (4.1). Later transfer windows, including 2026/27, are shown but not scored (4.8)</w:t>
            </w:r>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r>
        <w:rPr/>
        <w:t xml:space="preserve"> and ends at 2023/24</w:t>
      </w:r>
    </w:p>
    <w:p>
      <w:pPr>
        <w:spacing w:after="140"/>
      </w:pPr>
      <w:r>
        <w:rPr>
          <w:sz w:val="22"/>
          <w:szCs w:val="22"/>
        </w:rPr>
        <w:t xml:space="preserve">FBref's advanced statistics </w:t>
      </w:r>
      <w:r>
        <w:rPr>
          <w:sz w:val="22"/>
          <w:szCs w:val="22"/>
        </w:rPr>
        <w:t xml:space="preserve">were supplied by Opta (Stats Perform)</w:t>
      </w:r>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pPr>
      <w:r>
        <w:rPr>
          <w:b/>
          <w:bCs/>
          <w:sz w:val="22"/>
          <w:szCs w:val="22"/>
        </w:rPr>
        <w:t xml:space="preserve">Why the window ends at 2023/24. </w:t>
      </w:r>
      <w:r>
        <w:rPr>
          <w:sz w:val="22"/>
          <w:szCs w:val="22"/>
        </w:rPr>
        <w:t xml:space="preserve">On 20 January 2026, Opta (Stats Perform) terminated FBref's access to its data, citing an unspecified breach of their agreement, and demanded the data's immediate deletion. Sports Reference complied, removing every Opta-sourced advanced statistic from FBref: xG and xAG, progressive passes and carries, advanced defensive actions, and shot- and goal-creating actions. The removal covers past seasons as well as new ones. Basic statistics such as minutes, goals, assists and cards remain [1][2]. Sports Reference has said some advanced data may return in future, but "at a dramatically smaller scale" [1]. The gap is therefore current rather than necessarily permanent, and any data that does return would need to match the snapshot described below before this project used it.</w:t>
      </w:r>
    </w:p>
    <w:p>
      <w:pPr>
        <w:spacing w:after="140"/>
      </w:pPr>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p>
    <w:p>
      <w:pPr>
        <w:spacing w:after="140"/>
      </w:pPr>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p>
    <w:p>
      <w:pPr>
        <w:spacing w:after="140"/>
      </w:pPr>
      <w:r>
        <w:rPr>
          <w:sz w:val="22"/>
          <w:szCs w:val="22"/>
        </w:rPr>
        <w:t xml:space="preserve">Sources: [1] Sean Forman (President, Sports Reference), "FBref &amp; Stathead Data Update", Sports-Reference.com blog, 20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p>
    <w:p>
      <w:pPr>
        <w:spacing w:after="140"/>
      </w:pPr>
      <w:r>
        <w:rPr>
          <w:b/>
          <w:bCs/>
          <w:i w:val="false"/>
          <w:iCs w:val="false"/>
          <w:sz w:val="22"/>
          <w:szCs w:val="22"/>
        </w:rPr>
        <w:t xml:space="preserve">Decision: </w:t>
      </w:r>
      <w:r>
        <w:rPr>
          <w:b w:val="false"/>
          <w:bCs w:val="false"/>
          <w:i w:val="false"/>
          <w:iCs w:val="false"/>
          <w:sz w:val="22"/>
          <w:szCs w:val="22"/>
        </w:rPr>
        <w:t xml:space="preserve">start at 2017/18, end at 2023/24. Seven seasons</w:t>
      </w:r>
      <w:r>
        <w:rPr>
          <w:b w:val="false"/>
          <w:bCs w:val="false"/>
          <w:i w:val="false"/>
          <w:iCs w:val="false"/>
          <w:sz w:val="22"/>
          <w:szCs w:val="22"/>
        </w:rPr>
        <w:t xml:space="preserve">, one consistent data standard, no asterisk.</w:t>
      </w:r>
    </w:p>
    <w:p>
      <w:pPr>
        <w:pStyle w:val="Heading2"/>
        <w:spacing w:after="120" w:before="280"/>
      </w:pPr>
      <w:r>
        <w:t xml:space="preserve">4.2  </w:t>
      </w:r>
      <w:r>
        <w:t xml:space="preserve">Why seven seasons</w:t>
      </w:r>
      <w:r>
        <w:t xml:space="preserve"> rather than five</w:t>
      </w:r>
    </w:p>
    <w:p>
      <w:pPr>
        <w:spacing w:after="140"/>
      </w:pPr>
      <w:r>
        <w:rPr>
          <w:sz w:val="22"/>
          <w:szCs w:val="22"/>
        </w:rPr>
        <w:t xml:space="preserve">An earlier draft scoped five seasons and excluded the COVID-affected period entirely. That was reconsidered.</w:t>
      </w:r>
      <w:r>
        <w:rPr>
          <w:sz w:val="22"/>
          <w:szCs w:val="22"/>
        </w:rPr>
        <w:t xml:space="preserve"> The window was then set at nine seasons; the loss of FBref's advanced data (4.1) later fixed it at seven.</w:t>
      </w:r>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w:t>
      </w:r>
      <w:r>
        <w:rPr>
          <w:sz w:val="22"/>
          <w:szCs w:val="22"/>
        </w:rPr>
        <w:t xml:space="preserve">In a seven-season window it is a smaller, controllable effect</w:t>
      </w:r>
      <w:r>
        <w:rPr>
          <w:sz w:val="22"/>
          <w:szCs w:val="22"/>
        </w:rPr>
        <w:t xml:space="preserve">, and can be handled with a season-level control rather than by deletion.</w:t>
      </w:r>
    </w:p>
    <w:p>
      <w:pPr>
        <w:spacing w:after="140"/>
      </w:pPr>
      <w:r>
        <w:rPr>
          <w:sz w:val="22"/>
          <w:szCs w:val="22"/>
        </w:rPr>
        <w:t xml:space="preserve">Seven seasons still spans</w:t>
      </w:r>
      <w:r>
        <w:rPr>
          <w:sz w:val="22"/>
          <w:szCs w:val="22"/>
        </w:rPr>
        <w:t xml:space="preserve">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w:t>
      </w:r>
      <w:r>
        <w:rPr>
          <w:b w:val="false"/>
          <w:bCs w:val="false"/>
          <w:i w:val="false"/>
          <w:iCs w:val="false"/>
          <w:sz w:val="22"/>
          <w:szCs w:val="22"/>
        </w:rPr>
        <w:t xml:space="preserve">seven-year window</w:t>
      </w:r>
      <w:r>
        <w:rPr>
          <w:b w:val="false"/>
          <w:bCs w:val="false"/>
          <w:i w:val="false"/>
          <w:iCs w:val="false"/>
          <w:sz w:val="22"/>
          <w:szCs w:val="22"/>
        </w:rPr>
        <w:t xml:space="preserve">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w:t>
      </w:r>
      <w:r>
        <w:rPr>
          <w:b w:val="false"/>
          <w:bCs w:val="false"/>
          <w:i w:val="false"/>
          <w:iCs w:val="false"/>
          <w:sz w:val="22"/>
          <w:szCs w:val="22"/>
        </w:rPr>
        <w:t xml:space="preserve">Newcastle in 2024</w:t>
      </w:r>
      <w:r>
        <w:rPr>
          <w:b w:val="false"/>
          <w:bCs w:val="false"/>
          <w:i w:val="false"/>
          <w:iCs w:val="false"/>
          <w:sz w:val="22"/>
          <w:szCs w:val="22"/>
        </w:rPr>
        <w:t xml:space="preserve"> are different organizations with different owners, budgets and strategies. Chelsea before and after the Boehly takeover are barely comparable entities. </w:t>
      </w:r>
      <w:r>
        <w:rPr>
          <w:b w:val="false"/>
          <w:bCs w:val="false"/>
          <w:i w:val="false"/>
          <w:iCs w:val="false"/>
          <w:sz w:val="22"/>
          <w:szCs w:val="22"/>
        </w:rPr>
        <w:t xml:space="preserve">Collapsing seven years</w:t>
      </w:r>
      <w:r>
        <w:rPr>
          <w:b w:val="false"/>
          <w:bCs w:val="false"/>
          <w:i w:val="false"/>
          <w:iCs w:val="false"/>
          <w:sz w:val="22"/>
          <w:szCs w:val="22"/>
        </w:rPr>
        <w:t xml:space="preserve">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w:t>
      </w:r>
      <w:r>
        <w:rPr>
          <w:b w:val="false"/>
          <w:bCs w:val="false"/>
          <w:i w:val="false"/>
          <w:iCs w:val="false"/>
          <w:sz w:val="22"/>
          <w:szCs w:val="22"/>
        </w:rPr>
        <w:t xml:space="preserve">seven-year aggregate</w:t>
      </w:r>
      <w:r>
        <w:rPr>
          <w:b w:val="false"/>
          <w:bCs w:val="false"/>
          <w:i w:val="false"/>
          <w:iCs w:val="false"/>
          <w:sz w:val="22"/>
          <w:szCs w:val="22"/>
        </w:rPr>
        <w:t xml:space="preserve">. Season filters let a reader </w:t>
      </w:r>
      <w:r>
        <w:rPr>
          <w:b w:val="false"/>
          <w:bCs w:val="false"/>
          <w:i w:val="false"/>
          <w:iCs w:val="false"/>
          <w:sz w:val="22"/>
          <w:szCs w:val="22"/>
        </w:rPr>
        <w:t xml:space="preserve">compare 2017/18–2020/21 against 2021/22–2023/24 directly</w:t>
      </w:r>
      <w:r>
        <w:rPr>
          <w:b w:val="false"/>
          <w:bCs w:val="false"/>
          <w:i w:val="false"/>
          <w:iCs w:val="false"/>
          <w:sz w:val="22"/>
          <w:szCs w:val="22"/>
        </w:rPr>
        <w:t xml:space="preserve">.</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w:t>
      </w:r>
      <w:r>
        <w:rPr>
          <w:sz w:val="22"/>
          <w:szCs w:val="22"/>
        </w:rPr>
        <w:t xml:space="preserve">across all seven seasons</w:t>
      </w:r>
      <w:r>
        <w:rPr>
          <w:sz w:val="22"/>
          <w:szCs w:val="22"/>
        </w:rPr>
        <w:t xml:space="preserve">.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w:t>
      </w:r>
      <w:r>
        <w:t xml:space="preserve">transfers after 2023/24 are</w:t>
      </w:r>
      <w:r>
        <w:t xml:space="preserve"> shown but not scored</w:t>
      </w:r>
    </w:p>
    <w:p>
      <w:pPr>
        <w:spacing w:after="140"/>
      </w:pPr>
      <w:r>
        <w:rPr>
          <w:sz w:val="22"/>
          <w:szCs w:val="22"/>
        </w:rPr>
        <w:t xml:space="preserve">Three seasons of transfer activity fall after the scored window: 2024/25, 2025/26 and 2026/27. All three appear on the club page and none is scored, for two different reasons.</w:t>
      </w:r>
    </w:p>
    <w:p>
      <w:pPr>
        <w:spacing w:after="140"/>
      </w:pPr>
      <w:r>
        <w:rPr>
          <w:b/>
          <w:bCs/>
          <w:sz w:val="22"/>
          <w:szCs w:val="22"/>
        </w:rPr>
        <w:t xml:space="preserve">2024/25 and 2025/26: the output data isn't available. </w:t>
      </w:r>
      <w:r>
        <w:rPr>
          <w:sz w:val="22"/>
          <w:szCs w:val="22"/>
        </w:rPr>
        <w:t xml:space="preserve">Both seasons have been played in full, and their transfer fees are known. What's missing is on-field output measured on the same basis as the scored seasons. FBref's Opta-sourced advanced statistics were removed in January 2026 (4.1), and the last complete copy stops partway through: its defensive, possession, aerial-duel and goalkeeping data cover only nine matchweeks of 2024/25 and none of 2025/26. Scoring these seasons anyway would mean judging their signings on fewer metrics than every earlier season, or on another provider's data, putting a break in the trend at exactly the point the "who got smarter" question looks at. The limit is the data, not how recent the signings are.</w:t>
      </w:r>
    </w:p>
    <w:p>
      <w:pPr>
        <w:spacing w:after="140"/>
      </w:pPr>
      <w:r>
        <w:rPr>
          <w:b/>
          <w:bCs/>
          <w:sz w:val="22"/>
          <w:szCs w:val="22"/>
        </w:rPr>
        <w:t xml:space="preserve">2026/27: too new to score. </w:t>
      </w:r>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r>
        <w:rPr>
          <w:b/>
          <w:bCs/>
          <w:i w:val="false"/>
          <w:iCs w:val="false"/>
          <w:sz w:val="22"/>
          <w:szCs w:val="22"/>
        </w:rPr>
        <w:t xml:space="preserve">Approach: </w:t>
      </w:r>
      <w:r>
        <w:rPr>
          <w:b w:val="false"/>
          <w:bCs w:val="false"/>
          <w:i w:val="false"/>
          <w:iCs w:val="false"/>
          <w:sz w:val="22"/>
          <w:szCs w:val="22"/>
        </w:rPr>
        <w:t xml:space="preserve">all three seasons appear on the club page as a recency layer showing what each club spent and received, clearly flagged as unscored, with the reason: output data unavailable for 2024/25 and 2025/26, too early to judge for 2026/27. If comparable advanced data becomes available again (4.1), 2024/25 and 2025/26 are the first candidates to join the scored window, once that data has passed the same overlap test as every other source.</w:t>
      </w:r>
    </w:p>
    <w:p>
      <w:pPr>
        <w:pStyle w:val="Heading2"/>
        <w:spacing w:after="120" w:before="280"/>
      </w:pPr>
      <w:r>
        <w:t xml:space="preserve">4.9  Manager tenure — annotation, not attribution</w:t>
      </w:r>
    </w:p>
    <w:p>
      <w:pPr>
        <w:spacing w:after="140"/>
      </w:pPr>
      <w:r>
        <w:rPr>
          <w:sz w:val="22"/>
          <w:szCs w:val="22"/>
        </w:rPr>
        <w:t xml:space="preserve">Because efficiency is tracked </w:t>
      </w:r>
      <w:r>
        <w:rPr>
          <w:sz w:val="22"/>
          <w:szCs w:val="22"/>
        </w:rPr>
        <w:t xml:space="preserve">over seven seasons</w:t>
      </w:r>
      <w:r>
        <w:rPr>
          <w:sz w:val="22"/>
          <w:szCs w:val="22"/>
        </w:rPr>
        <w:t xml:space="preserve">,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transfermarkt-datasets, a CC0-licensed build of Transfermarkt data that stopped updating in July 2026, names the manager for every match. Tenure bands are built from those per-match names, caretakers included, and drawn against season boundaries as described above. There are no official appointment or departure dates and no manager IDs, so names are checked by hand for spelling variants. Per-season fees paid and received are summed from the same dataset's transfers; loan fees aren't included (see 7).</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r>
        <w:rPr>
          <w:b/>
          <w:bCs/>
          <w:i w:val="false"/>
          <w:iCs w:val="false"/>
          <w:sz w:val="22"/>
          <w:szCs w:val="22"/>
        </w:rPr>
        <w:t xml:space="preserve">The weights are derived, not chosen. </w:t>
      </w:r>
      <w:r>
        <w:rPr>
          <w:b w:val="false"/>
          <w:bCs w:val="false"/>
          <w:i w:val="false"/>
          <w:iCs w:val="false"/>
          <w:sz w:val="22"/>
          <w:szCs w:val="22"/>
        </w:rPr>
        <w:t xml:space="preserve">Rather than assigning weights by judgment, each pillar is regressed against actual sporting success </w:t>
      </w:r>
      <w:r>
        <w:rPr>
          <w:b w:val="false"/>
          <w:bCs w:val="false"/>
          <w:i w:val="false"/>
          <w:iCs w:val="false"/>
          <w:sz w:val="22"/>
          <w:szCs w:val="22"/>
        </w:rPr>
        <w:t xml:space="preserve">across the seven seasons</w:t>
      </w:r>
      <w:r>
        <w:rPr>
          <w:b w:val="false"/>
          <w:bCs w:val="false"/>
          <w:i w:val="false"/>
          <w:iCs w:val="false"/>
          <w:sz w:val="22"/>
          <w:szCs w:val="22"/>
        </w:rPr>
        <w:t xml:space="preserve">, and the coefficients set the weights. The model is answerable to the data rather than to the analyst's priors.</w:t>
      </w:r>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r>
        <w:rPr>
          <w:sz w:val="22"/>
          <w:szCs w:val="22"/>
        </w:rPr>
        <w:t xml:space="preserve">Python for ingestion: downloading, checksumming, reshaping and loading. R for the statistical layer, where the regression-derived weights are computed, and for reading the FBref snapshot's native .rds files. PostgreSQL as the warehouse, holding a proper star schema. Power BI for delivery.</w:t>
      </w:r>
    </w:p>
    <w:p>
      <w:pPr>
        <w:spacing w:after="140"/>
      </w:pPr>
      <w:r>
        <w:rPr>
          <w:sz w:val="22"/>
          <w:szCs w:val="22"/>
        </w:rPr>
        <w:t xml:space="preserve">The split is deliberate rather than decorative: each tool is used where it is genuinely strongest.</w:t>
      </w:r>
    </w:p>
    <w:p>
      <w:pPr>
        <w:spacing w:after="140"/>
      </w:pPr>
      <w:r>
        <w:rPr>
          <w:b/>
          <w:bCs/>
          <w:sz w:val="22"/>
          <w:szCs w:val="22"/>
        </w:rPr>
        <w:t xml:space="preserve">FBref data is not scraped. </w:t>
      </w:r>
      <w:r>
        <w:rPr>
          <w:sz w:val="22"/>
          <w:szCs w:val="22"/>
        </w:rPr>
        <w:t xml:space="preserve">FBref lost its Opta-sourced advanced statistics in January 2026 (4.1), so the pipeline reads a frozen copy instead: the worldfootballR data repository's season files, archived in September 2025 and held locally with a checksummed manifest, so every run uses identical data. Shot-creating actions come from a Kaggle copy of the same FBref data, validated against the snapshot. A browser-driven fetcher (seleniumbase's Pure CDP mode) was used once, to confirm on FBref's live pages that the advanced columns are blank; it stays in the repository as a record but isn't part of the pipeline.</w:t>
      </w:r>
    </w:p>
    <w:p>
      <w:pPr>
        <w:spacing w:after="140"/>
      </w:pPr>
      <w:r>
        <w:rPr>
          <w:sz w:val="22"/>
          <w:szCs w:val="22"/>
        </w:rPr>
        <w:t xml:space="preserve">worldfootballR itself was archived in September 2025 and is no longer a live dependency. Its FBref-to-Transfermarkt player dictionary is used as a frozen file from the same repository. Transfermarkt data, including the manager named for every match, comes from transfermarkt-datasets, a CC0-licensed build that stopped updating in July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r>
              <w:rPr>
                <w:b w:val="false"/>
                <w:bCs w:val="false"/>
                <w:sz w:val="20"/>
                <w:szCs w:val="20"/>
              </w:rPr>
              <w:t xml:space="preserve">Python, with base R for .rds conversion</w:t>
            </w:r>
          </w:p>
        </w:tc>
        <w:tc>
          <w:tcPr>
            <w:tcW w:type="dxa" w:w="4360"/>
            <w:tcMar>
              <w:top w:type="dxa" w:w="80"/>
              <w:left w:type="dxa" w:w="120"/>
              <w:bottom w:type="dxa" w:w="80"/>
              <w:right w:type="dxa" w:w="120"/>
            </w:tcMar>
          </w:tcPr>
          <w:p>
            <w:r>
              <w:rPr>
                <w:b w:val="false"/>
                <w:bCs w:val="false"/>
                <w:sz w:val="20"/>
                <w:szCs w:val="20"/>
              </w:rPr>
              <w:t xml:space="preserve">Freeze the FBref snapshot and Kaggle file with checksums; ingest Transfermarkt data from transfermarkt-datasets; reshape and load into PostgreSQL</w:t>
            </w:r>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r>
              <w:rPr>
                <w:b w:val="false"/>
                <w:bCs w:val="false"/>
                <w:sz w:val="20"/>
                <w:szCs w:val="20"/>
              </w:rPr>
              <w:t xml:space="preserve">Frozen file + manual table</w:t>
            </w:r>
          </w:p>
        </w:tc>
        <w:tc>
          <w:tcPr>
            <w:tcW w:type="dxa" w:w="4360"/>
            <w:tcMar>
              <w:top w:type="dxa" w:w="80"/>
              <w:left w:type="dxa" w:w="120"/>
              <w:bottom w:type="dxa" w:w="80"/>
              <w:right w:type="dxa" w:w="120"/>
            </w:tcMar>
          </w:tcPr>
          <w:p>
            <w:r>
              <w:rPr>
                <w:b w:val="false"/>
                <w:bCs w:val="false"/>
                <w:sz w:val="20"/>
                <w:szCs w:val="20"/>
              </w:rPr>
              <w:t xml:space="preserve">FBref ↔ Transfermarkt player dictionary, frozen from worldfootballR's repository; hand-built club table keyed on FBref team IDs</w:t>
            </w:r>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r>
              <w:rPr>
                <w:b w:val="false"/>
                <w:bCs w:val="false"/>
                <w:sz w:val="20"/>
                <w:szCs w:val="20"/>
              </w:rPr>
              <w:t xml:space="preserve">Python (transfermarkt-datasets)</w:t>
            </w:r>
          </w:p>
        </w:tc>
        <w:tc>
          <w:tcPr>
            <w:tcW w:type="dxa" w:w="4360"/>
            <w:tcMar>
              <w:top w:type="dxa" w:w="80"/>
              <w:left w:type="dxa" w:w="120"/>
              <w:bottom w:type="dxa" w:w="80"/>
              <w:right w:type="dxa" w:w="120"/>
            </w:tcMar>
          </w:tcPr>
          <w:p>
            <w:r>
              <w:rPr>
                <w:b w:val="false"/>
                <w:bCs w:val="false"/>
                <w:sz w:val="20"/>
                <w:szCs w:val="20"/>
              </w:rPr>
              <w:t xml:space="preserve">Tenure bands from the manager named for every match; no official appointment or departure dates</w:t>
            </w:r>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r>
              <w:rPr>
                <w:b w:val="false"/>
                <w:bCs w:val="false"/>
                <w:sz w:val="20"/>
                <w:szCs w:val="20"/>
              </w:rPr>
              <w:t xml:space="preserve">. Names change even within one source: FBref lists Borussia Mönchengladbach as "M'Gladbach", then "Gladbach", under the same team ID</w:t>
            </w:r>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w:t>
            </w:r>
            <w:r>
              <w:rPr>
                <w:b w:val="false"/>
                <w:bCs w:val="false"/>
                <w:sz w:val="20"/>
                <w:szCs w:val="20"/>
              </w:rPr>
              <w:t xml:space="preserve">a manual club mapping table, keyed on FBref team IDs rather than names, handles clubs</w:t>
            </w:r>
            <w:r>
              <w:rPr>
                <w:b w:val="false"/>
                <w:bCs w:val="false"/>
                <w:sz w:val="20"/>
                <w:szCs w:val="20"/>
              </w:rPr>
              <w:t xml:space="preserve">. Time budgeted explicitly</w:t>
            </w:r>
          </w:p>
        </w:tc>
      </w:tr>
      <w:tr>
        <w:trPr>
          <w:tblHeader w:val="false"/>
        </w:trPr>
        <w:tc>
          <w:tcPr>
            <w:tcW w:type="dxa" w:w="2300"/>
            <w:tcMar>
              <w:top w:type="dxa" w:w="80"/>
              <w:left w:type="dxa" w:w="120"/>
              <w:bottom w:type="dxa" w:w="80"/>
              <w:right w:type="dxa" w:w="120"/>
            </w:tcMar>
          </w:tcPr>
          <w:p>
            <w:r>
              <w:rPr>
                <w:b w:val="false"/>
                <w:bCs w:val="false"/>
                <w:sz w:val="20"/>
                <w:szCs w:val="20"/>
              </w:rPr>
              <w:t xml:space="preserve">FBref access and data availability</w:t>
            </w:r>
          </w:p>
        </w:tc>
        <w:tc>
          <w:tcPr>
            <w:tcW w:type="dxa" w:w="4200"/>
            <w:tcMar>
              <w:top w:type="dxa" w:w="80"/>
              <w:left w:type="dxa" w:w="120"/>
              <w:bottom w:type="dxa" w:w="80"/>
              <w:right w:type="dxa" w:w="120"/>
            </w:tcMar>
          </w:tcPr>
          <w:p>
            <w:r>
              <w:rPr>
                <w:b w:val="false"/>
                <w:bCs w:val="false"/>
                <w:sz w:val="20"/>
                <w:szCs w:val="20"/>
              </w:rPr>
              <w:t xml:space="preserve">Materialised, then superseded. FBref blocks automated clients, and on 20 January 2026 lost its advanced data entirely (4.1)</w:t>
            </w:r>
          </w:p>
        </w:tc>
        <w:tc>
          <w:tcPr>
            <w:tcW w:type="dxa" w:w="2860"/>
            <w:tcMar>
              <w:top w:type="dxa" w:w="80"/>
              <w:left w:type="dxa" w:w="120"/>
              <w:bottom w:type="dxa" w:w="80"/>
              <w:right w:type="dxa" w:w="120"/>
            </w:tcMar>
          </w:tcPr>
          <w:p>
            <w:r>
              <w:rPr>
                <w:b w:val="false"/>
                <w:bCs w:val="false"/>
                <w:sz w:val="20"/>
                <w:szCs w:val="20"/>
              </w:rPr>
              <w:t xml:space="preserve">No live scraping of FBref. The frozen worldfootballR snapshot is archived locally with a checksummed manifest; shot-creating actions come from a Kaggle copy validated against it</w:t>
            </w:r>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del w:id="1" w:author="Claude" w:date="2026-09-12T23:41:48Z">
              <w:r>
                <w:rPr>
                  <w:b w:val="false"/>
                  <w:bCs w:val="false"/>
                  <w:sz w:val="20"/>
                  <w:szCs w:val="20"/>
                </w:rPr>
                <w:delText xml:space="preserve">Verified: the Transfermarkt source records loans, loan returns and free transfers alike as a zero fee, and discards loan fees</w:delText>
              </w:r>
            </w:del>
            <w:ins w:id="2" w:author="Claude" w:date="2026-09-12T23:41:48Z">
              <w:r>
                <w:rPr>
                  <w:b w:val="false"/>
                  <w:bCs w:val="false"/>
                  <w:sz w:val="20"/>
                  <w:szCs w:val="20"/>
                </w:rPr>
                <w:t xml:space="preserve">Resolved. The Transfermarkt build first used records loans, loan returns and free transfers alike as a zero fee and discards loan fees; fees were therefore pulled directly from Transfermarkt's club transfer pages instead, which label every row</w:t>
              </w:r>
            </w:ins>
          </w:p>
        </w:tc>
        <w:tc>
          <w:tcPr>
            <w:tcW w:type="dxa" w:w="2860"/>
            <w:tcMar>
              <w:top w:type="dxa" w:w="80"/>
              <w:left w:type="dxa" w:w="120"/>
              <w:bottom w:type="dxa" w:w="80"/>
              <w:right w:type="dxa" w:w="120"/>
            </w:tcMar>
          </w:tcPr>
          <w:p>
            <w:del w:id="3" w:author="Claude" w:date="2026-09-12T23:41:48Z">
              <w:r>
                <w:rPr>
                  <w:b w:val="false"/>
                  <w:bCs w:val="false"/>
                  <w:sz w:val="20"/>
                  <w:szCs w:val="20"/>
                </w:rPr>
                <w:delText xml:space="preserve">Accepted and documented in the coverage map: spending is split into permanent transfers vs free transfers and loans; loan fees aren't counted; revisited if loan-heavy clubs look mis-scored</w:delText>
              </w:r>
            </w:del>
            <w:ins w:id="4" w:author="Claude" w:date="2026-09-12T23:41:48Z">
              <w:r>
                <w:rPr>
                  <w:b w:val="false"/>
                  <w:bCs w:val="false"/>
                  <w:sz w:val="20"/>
                  <w:szCs w:val="20"/>
                </w:rPr>
                <w:t xml:space="preserve">Loan fees are recovered (EUR 2,189m across 1,617 loans, 14.4% of all loans) and every row carries its own label, so spending splits three ways again: permanent, loan and free. The revisit criterion set when this was accepted has been satisfied rather than left open</w:t>
              </w:r>
            </w:ins>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w:t>
      </w:r>
      <w:del w:id="5" w:author="Claude" w:date="2026-09-12T23:41:48Z">
        <w:r>
          <w:rPr>
            <w:sz w:val="22"/>
            <w:szCs w:val="22"/>
          </w:rPr>
          <w:delText xml:space="preserve">a spending breakdown split into permanent transfers and free transfers or loans combined (loan fees can't be recovered; see section 7)</w:delText>
        </w:r>
      </w:del>
      <w:ins w:id="6" w:author="Claude" w:date="2026-09-12T23:41:48Z">
        <w:r>
          <w:rPr>
            <w:sz w:val="22"/>
            <w:szCs w:val="22"/>
          </w:rPr>
          <w:t xml:space="preserve">a spending breakdown split by permanent, loan and free transfers</w:t>
        </w:r>
      </w:ins>
      <w:r>
        <w:rPr>
          <w:sz w:val="22"/>
          <w:szCs w:val="22"/>
        </w:rPr>
        <w:t xml:space="preserve">, largest transfers with </w:t>
      </w:r>
      <w:del w:id="7" w:author="Claude" w:date="2026-09-12T23:41:48Z">
        <w:r>
          <w:rPr>
            <w:sz w:val="22"/>
            <w:szCs w:val="22"/>
          </w:rPr>
          <w:delText xml:space="preserve">a bought / sold filter</w:delText>
        </w:r>
      </w:del>
      <w:ins w:id="8" w:author="Claude" w:date="2026-09-12T23:41:48Z">
        <w:r>
          <w:rPr>
            <w:sz w:val="22"/>
            <w:szCs w:val="22"/>
          </w:rPr>
          <w:t xml:space="preserve">a bought / sold / loan filter</w:t>
        </w:r>
      </w:ins>
      <w:r>
        <w:rPr>
          <w:sz w:val="22"/>
          <w:szCs w:val="22"/>
        </w:rPr>
        <w:t xml:space="preserve">,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