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are shown but not scored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shown but not scored</w:t>
      </w:r>
    </w:p>
    <w:p>
      <w:pPr>
        <w:spacing w:after="140"/>
      </w:pPr>
      <w:r>
        <w:rPr>
          <w:sz w:val="22"/>
          <w:szCs w:val="22"/>
        </w:rPr>
        <w:t xml:space="preserve">Three seasons of transfer activity fall after the scored window: 2024/25, 2025/26 and 2026/27. All three appear on the club page and none is scored,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w:t>
      </w:r>
      <w:r>
        <w:rPr>
          <w:b w:val="false"/>
          <w:bCs w:val="false"/>
          <w:i w:val="false"/>
          <w:iCs w:val="false"/>
          <w:sz w:val="22"/>
          <w:szCs w:val="22"/>
        </w:rPr>
        <w:t xml:space="preserve">across the seven seasons</w:t>
      </w:r>
      <w:r>
        <w:rPr>
          <w:b w:val="false"/>
          <w:bCs w:val="false"/>
          <w:i w:val="false"/>
          <w:iCs w:val="false"/>
          <w:sz w:val="22"/>
          <w:szCs w:val="22"/>
        </w:rPr>
        <w:t xml:space="preserve">,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Verified: the Transfermarkt source records loans, loan returns and free transfers alike as a zero fee, and discards loan fees</w:t>
            </w:r>
          </w:p>
        </w:tc>
        <w:tc>
          <w:tcPr>
            <w:tcW w:type="dxa" w:w="2860"/>
            <w:tcMar>
              <w:top w:type="dxa" w:w="80"/>
              <w:left w:type="dxa" w:w="120"/>
              <w:bottom w:type="dxa" w:w="80"/>
              <w:right w:type="dxa" w:w="120"/>
            </w:tcMar>
          </w:tcPr>
          <w:p>
            <w:r>
              <w:rPr>
                <w:b w:val="false"/>
                <w:bCs w:val="false"/>
                <w:sz w:val="20"/>
                <w:szCs w:val="20"/>
              </w:rPr>
              <w:t xml:space="preserve">Accepted and documented in the coverage map: spending is split into permanent transfers vs free transfers and loans; loan fees aren't counted; revisited if loan-heavy clubs look mis-scored</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into permanent transfers and free transfers or loans combined (loan fees can't be recovered; see section 7)</w:t>
      </w:r>
      <w:r>
        <w:rPr>
          <w:sz w:val="22"/>
          <w:szCs w:val="22"/>
        </w:rPr>
        <w:t xml:space="preserve">, largest transfers with </w:t>
      </w:r>
      <w:r>
        <w:rPr>
          <w:sz w:val="22"/>
          <w:szCs w:val="22"/>
        </w:rPr>
        <w:t xml:space="preserve">a bought / sold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