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are shown but not scored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r>
        <w:t xml:space="preserve"> shown but not scored</w:t>
      </w:r>
    </w:p>
    <w:p>
      <w:pPr>
        <w:spacing w:after="140"/>
      </w:pPr>
      <w:r>
        <w:rPr>
          <w:sz w:val="22"/>
          <w:szCs w:val="22"/>
        </w:rPr>
        <w:t xml:space="preserve">Three seasons of transfer activity fall after the scored window: 2024/25, 2025/26 and 2026/27. All three appear on the club page and none is scored,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p>
    <w:p>
      <w:pPr>
        <w:spacing w:after="140"/>
      </w:pPr>
      <w:r>
        <w:rPr>
          <w:b/>
          <w:bCs/>
          <w:i w:val="false"/>
          <w:iCs w:val="false"/>
          <w:sz w:val="22"/>
          <w:szCs w:val="22"/>
        </w:rPr>
        <w:t xml:space="preserve">The weights are chosen, and the reasoning is documented. </w:t>
      </w:r>
      <w:r>
        <w:rPr>
          <w:b w:val="false"/>
          <w:bCs w:val="false"/>
          <w:i w:val="false"/>
          <w:iCs w:val="false"/>
          <w:sz w:val="22"/>
          <w:szCs w:val="22"/>
        </w:rPr>
        <w:t xml:space="preserve">An earlier draft of this section said the weights would be derived by regressing each pillar against sporting success, so that the model answered to the data rather than to the analyst's priors. Built and measured, that method does not survive contact with this data, for three reasons that are structural rather than fixable.</w:t>
      </w:r>
    </w:p>
    <w:p>
      <w:pPr>
        <w:spacing w:after="140"/>
      </w:pPr>
      <w:r>
        <w:rPr>
          <w:b w:val="false"/>
          <w:bCs w:val="false"/>
          <w:i w:val="false"/>
          <w:iCs w:val="false"/>
          <w:sz w:val="22"/>
          <w:szCs w:val="22"/>
        </w:rPr>
        <w:t xml:space="preserve">First, the signs come out wrong: trading profit takes a negative coefficient against every success target, and at club level so does recruitment ROI (−0.198 against points, −0.167 against trophies). Derived weights would subtract good recruitment and good trading from an efficiency index. Second, there is almost no signal to derive from: the regressions explain between 0.6% and 12.9% of the variance. Third, the coefficients are unstable, moving as much as their own size when a single season is left out.</w:t>
      </w:r>
    </w:p>
    <w:p>
      <w:pPr>
        <w:spacing w:after="140"/>
      </w:pPr>
      <w:r>
        <w:rPr>
          <w:b w:val="false"/>
          <w:bCs w:val="false"/>
          <w:i w:val="false"/>
          <w:iCs w:val="false"/>
          <w:sz w:val="22"/>
          <w:szCs w:val="22"/>
        </w:rPr>
        <w:t xml:space="preserve">The cause is built into the design. Every pillar is normalised against squad value, so each one measures performance relative to club size, while league points correlate 0.67 with squad value. Efficiency and success are therefore partly opposed, and no regression of one on the other yields sensible weights. Clipping the negative coefficients to zero would force the signs the analyst expected and collapse the index onto a single pillar, which is the opposite of answering to the data.</w:t>
      </w:r>
    </w:p>
    <w:p>
      <w:pPr>
        <w:spacing w:after="140"/>
      </w:pPr>
      <w:r>
        <w:rPr>
          <w:b/>
          <w:bCs/>
          <w:i w:val="false"/>
          <w:iCs w:val="false"/>
          <w:sz w:val="22"/>
          <w:szCs w:val="22"/>
        </w:rPr>
        <w:t xml:space="preserve">Approach: </w:t>
      </w:r>
      <w:r>
        <w:rPr>
          <w:b w:val="false"/>
          <w:bCs w:val="false"/>
          <w:i w:val="false"/>
          <w:iCs w:val="false"/>
          <w:sz w:val="22"/>
          <w:szCs w:val="22"/>
        </w:rPr>
        <w:t xml:space="preserve">the three money pillars — recruitment ROI, trading profit and squad value growth — carry equal weight of 0.30 each. They are near independent (correlations of 0.20 or less) and each is already standardised, so nothing in the evidence ranks one above another. Sporting return carries 0.10: a deliberate guard rail serving the purpose this section gives it, stopping “efficient” from meaning cheap and bad. At that weight the ranking still correlates 0.96 with a money-only index while the average league-points z-score of the top ten rises from +0.23 to +0.72; at 0.25 and above the index turns into a quality ranking instead. The weights are stored in the warehouse alongside their rationale.</w:t>
      </w:r>
    </w:p>
    <w:p>
      <w:pPr>
        <w:spacing w:after="140"/>
      </w:pPr>
      <w:r>
        <w:rPr>
          <w:b w:val="false"/>
          <w:bCs w:val="false"/>
          <w:i w:val="false"/>
          <w:iCs w:val="false"/>
          <w:sz w:val="22"/>
          <w:szCs w:val="22"/>
        </w:rPr>
        <w:t xml:space="preserve">This section is the project's own standard applied to itself: an interesting wrong answer that is honestly documented is worth more than a clean answer that quietly hides its assumptions. The evidence, including the regression tables, is in docs/phase-3-scoring.md.</w:t>
      </w:r>
    </w:p>
    <w:p>
      <w:pPr>
        <w:spacing w:after="140"/>
      </w:pPr>
      <w:r>
        <w:rPr>
          <w:b/>
          <w:bCs/>
          <w:i w:val="false"/>
          <w:iCs w:val="false"/>
          <w:sz w:val="22"/>
          <w:szCs w:val="22"/>
        </w:rPr>
        <w:t xml:space="preserve">A finding from the attempt. </w:t>
      </w:r>
      <w:r>
        <w:rPr>
          <w:b w:val="false"/>
          <w:bCs w:val="false"/>
          <w:i w:val="false"/>
          <w:iCs w:val="false"/>
          <w:sz w:val="22"/>
          <w:szCs w:val="22"/>
        </w:rPr>
        <w:t xml:space="preserve">Trading profit's negative coefficient against every success measure is worth keeping as a result in its own right: selling your best players at a profit is nearly the same act as weakening your squad in the short term. The clubs that realise the most value — Lille, Leipzig, Atalanta, Brighton, Dortmund — are doing something that shows up as money now and often as fewer points. That tension is why the index keeps four pillars rather than collapsing into one.</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Resolved. The Transfermarkt build </w:t>
            </w:r>
            <w:r>
              <w:rPr>
                <w:b w:val="false"/>
                <w:bCs w:val="false"/>
                <w:sz w:val="20"/>
                <w:szCs w:val="20"/>
              </w:rPr>
              <w:t xml:space="preserve">we first used records loans, loan returns and free transfers alike as a zero fee, and discards loan fees;</w:t>
            </w:r>
            <w:r>
              <w:rPr>
                <w:b w:val="false"/>
                <w:bCs w:val="false"/>
                <w:sz w:val="20"/>
                <w:szCs w:val="20"/>
              </w:rPr>
              <w:t xml:space="preserve"> fees were therefore pulled directly from Transfermarkt's club transfer pages instead, which label every row</w:t>
            </w:r>
          </w:p>
        </w:tc>
        <w:tc>
          <w:tcPr>
            <w:tcW w:type="dxa" w:w="2860"/>
            <w:tcMar>
              <w:top w:type="dxa" w:w="80"/>
              <w:left w:type="dxa" w:w="120"/>
              <w:bottom w:type="dxa" w:w="80"/>
              <w:right w:type="dxa" w:w="120"/>
            </w:tcMar>
          </w:tcPr>
          <w:p>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r>
        <w:rPr>
          <w:sz w:val="22"/>
          <w:szCs w:val="22"/>
        </w:rPr>
        <w:t xml:space="preserve">a spending breakdown split by permanent, loan and free transfers</w:t>
      </w:r>
      <w:r>
        <w:rPr>
          <w:sz w:val="22"/>
          <w:szCs w:val="22"/>
        </w:rPr>
        <w:t xml:space="preserve">, largest transfers with </w:t>
      </w:r>
      <w:r>
        <w:rPr>
          <w:sz w:val="22"/>
          <w:szCs w:val="22"/>
        </w:rPr>
        <w:t xml:space="preserve">a bought / sold / loan filter</w:t>
      </w:r>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