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2"/>
        <w:gridCol w:w="2081"/>
        <w:gridCol w:w="3152"/>
        <w:gridCol w:w="1512"/>
      </w:tblGrid>
      <w:tr w:rsidR="00154AA9" w:rsidRPr="00154AA9" w14:paraId="5517EF5F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0475739E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Observation type</w:t>
            </w:r>
          </w:p>
        </w:tc>
        <w:tc>
          <w:tcPr>
            <w:tcW w:w="1082" w:type="dxa"/>
            <w:noWrap/>
            <w:hideMark/>
          </w:tcPr>
          <w:p w14:paraId="28E1148B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Number used</w:t>
            </w:r>
          </w:p>
        </w:tc>
        <w:tc>
          <w:tcPr>
            <w:tcW w:w="2081" w:type="dxa"/>
            <w:noWrap/>
            <w:hideMark/>
          </w:tcPr>
          <w:p w14:paraId="5DDDEF69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Initial errors (normalized by their uncertainties)</w:t>
            </w:r>
          </w:p>
        </w:tc>
        <w:tc>
          <w:tcPr>
            <w:tcW w:w="3152" w:type="dxa"/>
            <w:noWrap/>
            <w:hideMark/>
          </w:tcPr>
          <w:p w14:paraId="263683F6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Final errors (normalized by their uncertainties)</w:t>
            </w:r>
          </w:p>
        </w:tc>
        <w:tc>
          <w:tcPr>
            <w:tcW w:w="1512" w:type="dxa"/>
            <w:noWrap/>
            <w:hideMark/>
          </w:tcPr>
          <w:p w14:paraId="14712EAA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Reduction (%)</w:t>
            </w:r>
          </w:p>
        </w:tc>
      </w:tr>
      <w:tr w:rsidR="00154AA9" w:rsidRPr="00154AA9" w14:paraId="25169221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1246F185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SSH</w:t>
            </w:r>
          </w:p>
        </w:tc>
        <w:tc>
          <w:tcPr>
            <w:tcW w:w="1082" w:type="dxa"/>
            <w:noWrap/>
            <w:hideMark/>
          </w:tcPr>
          <w:p w14:paraId="46AC4545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59964</w:t>
            </w:r>
          </w:p>
        </w:tc>
        <w:tc>
          <w:tcPr>
            <w:tcW w:w="2081" w:type="dxa"/>
            <w:noWrap/>
            <w:hideMark/>
          </w:tcPr>
          <w:p w14:paraId="59EA4C9E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596735.0238</w:t>
            </w:r>
          </w:p>
        </w:tc>
        <w:tc>
          <w:tcPr>
            <w:tcW w:w="3152" w:type="dxa"/>
            <w:noWrap/>
            <w:hideMark/>
          </w:tcPr>
          <w:p w14:paraId="0C8A4077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262385.121</w:t>
            </w:r>
          </w:p>
        </w:tc>
        <w:tc>
          <w:tcPr>
            <w:tcW w:w="1512" w:type="dxa"/>
            <w:noWrap/>
            <w:hideMark/>
          </w:tcPr>
          <w:p w14:paraId="2ED7BA65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56.0298775</w:t>
            </w:r>
          </w:p>
        </w:tc>
      </w:tr>
      <w:tr w:rsidR="00154AA9" w:rsidRPr="00154AA9" w14:paraId="22ADCB25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6DF0C2DE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U</w:t>
            </w:r>
          </w:p>
        </w:tc>
        <w:tc>
          <w:tcPr>
            <w:tcW w:w="1082" w:type="dxa"/>
            <w:noWrap/>
            <w:hideMark/>
          </w:tcPr>
          <w:p w14:paraId="4870B868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39147</w:t>
            </w:r>
          </w:p>
        </w:tc>
        <w:tc>
          <w:tcPr>
            <w:tcW w:w="2081" w:type="dxa"/>
            <w:noWrap/>
            <w:hideMark/>
          </w:tcPr>
          <w:p w14:paraId="275F4E11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75007.1037</w:t>
            </w:r>
          </w:p>
        </w:tc>
        <w:tc>
          <w:tcPr>
            <w:tcW w:w="3152" w:type="dxa"/>
            <w:noWrap/>
            <w:hideMark/>
          </w:tcPr>
          <w:p w14:paraId="0E42A551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56855.73699</w:t>
            </w:r>
          </w:p>
        </w:tc>
        <w:tc>
          <w:tcPr>
            <w:tcW w:w="1512" w:type="dxa"/>
            <w:noWrap/>
            <w:hideMark/>
          </w:tcPr>
          <w:p w14:paraId="2DCCBE50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24.1995302</w:t>
            </w:r>
          </w:p>
        </w:tc>
      </w:tr>
      <w:tr w:rsidR="00154AA9" w:rsidRPr="00154AA9" w14:paraId="6CE5D147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00571A3F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V</w:t>
            </w:r>
          </w:p>
        </w:tc>
        <w:tc>
          <w:tcPr>
            <w:tcW w:w="1082" w:type="dxa"/>
            <w:noWrap/>
            <w:hideMark/>
          </w:tcPr>
          <w:p w14:paraId="28968129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39127</w:t>
            </w:r>
          </w:p>
        </w:tc>
        <w:tc>
          <w:tcPr>
            <w:tcW w:w="2081" w:type="dxa"/>
            <w:noWrap/>
            <w:hideMark/>
          </w:tcPr>
          <w:p w14:paraId="30E5C40F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103900.6505</w:t>
            </w:r>
          </w:p>
        </w:tc>
        <w:tc>
          <w:tcPr>
            <w:tcW w:w="3152" w:type="dxa"/>
            <w:noWrap/>
            <w:hideMark/>
          </w:tcPr>
          <w:p w14:paraId="799F4438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74879.6798</w:t>
            </w:r>
          </w:p>
        </w:tc>
        <w:tc>
          <w:tcPr>
            <w:tcW w:w="1512" w:type="dxa"/>
            <w:noWrap/>
            <w:hideMark/>
          </w:tcPr>
          <w:p w14:paraId="6E091133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27.931462</w:t>
            </w:r>
          </w:p>
        </w:tc>
      </w:tr>
      <w:tr w:rsidR="00154AA9" w:rsidRPr="00154AA9" w14:paraId="6F60ECB9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479A8575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</w:p>
        </w:tc>
        <w:tc>
          <w:tcPr>
            <w:tcW w:w="1082" w:type="dxa"/>
            <w:noWrap/>
            <w:hideMark/>
          </w:tcPr>
          <w:p w14:paraId="0DFEAC4E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357063</w:t>
            </w:r>
          </w:p>
        </w:tc>
        <w:tc>
          <w:tcPr>
            <w:tcW w:w="2081" w:type="dxa"/>
            <w:noWrap/>
            <w:hideMark/>
          </w:tcPr>
          <w:p w14:paraId="7E24D4CB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2644514.659</w:t>
            </w:r>
          </w:p>
        </w:tc>
        <w:tc>
          <w:tcPr>
            <w:tcW w:w="3152" w:type="dxa"/>
            <w:noWrap/>
            <w:hideMark/>
          </w:tcPr>
          <w:p w14:paraId="6604733E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917743.9818</w:t>
            </w:r>
          </w:p>
        </w:tc>
        <w:tc>
          <w:tcPr>
            <w:tcW w:w="1512" w:type="dxa"/>
            <w:noWrap/>
            <w:hideMark/>
          </w:tcPr>
          <w:p w14:paraId="53C60955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65.2963171</w:t>
            </w:r>
          </w:p>
        </w:tc>
      </w:tr>
      <w:tr w:rsidR="00154AA9" w:rsidRPr="00154AA9" w14:paraId="32B987D9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74667628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1082" w:type="dxa"/>
            <w:noWrap/>
            <w:hideMark/>
          </w:tcPr>
          <w:p w14:paraId="19CFCD9A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30635</w:t>
            </w:r>
          </w:p>
        </w:tc>
        <w:tc>
          <w:tcPr>
            <w:tcW w:w="2081" w:type="dxa"/>
            <w:noWrap/>
            <w:hideMark/>
          </w:tcPr>
          <w:p w14:paraId="540F442B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1900493.573</w:t>
            </w:r>
          </w:p>
        </w:tc>
        <w:tc>
          <w:tcPr>
            <w:tcW w:w="3152" w:type="dxa"/>
            <w:noWrap/>
            <w:hideMark/>
          </w:tcPr>
          <w:p w14:paraId="68B6FA70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497482.3029</w:t>
            </w:r>
          </w:p>
        </w:tc>
        <w:tc>
          <w:tcPr>
            <w:tcW w:w="1512" w:type="dxa"/>
            <w:noWrap/>
            <w:hideMark/>
          </w:tcPr>
          <w:p w14:paraId="4EB28C34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73.8235209</w:t>
            </w:r>
          </w:p>
        </w:tc>
      </w:tr>
      <w:tr w:rsidR="00154AA9" w:rsidRPr="00154AA9" w14:paraId="6A62D92E" w14:textId="77777777" w:rsidTr="005A718C">
        <w:trPr>
          <w:trHeight w:val="312"/>
        </w:trPr>
        <w:tc>
          <w:tcPr>
            <w:tcW w:w="1523" w:type="dxa"/>
            <w:noWrap/>
            <w:hideMark/>
          </w:tcPr>
          <w:p w14:paraId="129D6B53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082" w:type="dxa"/>
            <w:noWrap/>
            <w:hideMark/>
          </w:tcPr>
          <w:p w14:paraId="3C2AFA50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525936</w:t>
            </w:r>
          </w:p>
        </w:tc>
        <w:tc>
          <w:tcPr>
            <w:tcW w:w="2081" w:type="dxa"/>
            <w:noWrap/>
            <w:hideMark/>
          </w:tcPr>
          <w:p w14:paraId="57D19A84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5320651.01</w:t>
            </w:r>
          </w:p>
        </w:tc>
        <w:tc>
          <w:tcPr>
            <w:tcW w:w="3152" w:type="dxa"/>
            <w:noWrap/>
            <w:hideMark/>
          </w:tcPr>
          <w:p w14:paraId="1F21906C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1809346.82</w:t>
            </w:r>
          </w:p>
        </w:tc>
        <w:tc>
          <w:tcPr>
            <w:tcW w:w="1512" w:type="dxa"/>
            <w:noWrap/>
            <w:hideMark/>
          </w:tcPr>
          <w:p w14:paraId="65AE4A3C" w14:textId="77777777" w:rsidR="00154AA9" w:rsidRPr="00154AA9" w:rsidRDefault="00154AA9" w:rsidP="00154AA9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AA9">
              <w:rPr>
                <w:rFonts w:ascii="Times New Roman" w:hAnsi="Times New Roman" w:cs="Times New Roman"/>
                <w:noProof/>
                <w:sz w:val="24"/>
                <w:szCs w:val="24"/>
              </w:rPr>
              <w:t>65.9938827</w:t>
            </w:r>
          </w:p>
        </w:tc>
      </w:tr>
    </w:tbl>
    <w:p w14:paraId="0654BE42" w14:textId="49322C89" w:rsidR="00270ED0" w:rsidRDefault="00270ED0" w:rsidP="00154AA9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4E36D58" w14:textId="77D5C1FF" w:rsidR="00670AD0" w:rsidRDefault="00670AD0" w:rsidP="00154AA9">
      <w:pPr>
        <w:spacing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Table S1: Table detailing </w:t>
      </w:r>
      <w:r w:rsidR="00950228">
        <w:rPr>
          <w:rFonts w:ascii="Times New Roman" w:hAnsi="Times New Roman" w:cs="Times New Roman"/>
          <w:noProof/>
          <w:sz w:val="24"/>
          <w:szCs w:val="24"/>
        </w:rPr>
        <w:t xml:space="preserve">assimilated variables, number of observations used, and </w:t>
      </w:r>
      <w:r w:rsidR="004A1E3B">
        <w:rPr>
          <w:rFonts w:ascii="Times New Roman" w:hAnsi="Times New Roman" w:cs="Times New Roman"/>
          <w:noProof/>
          <w:sz w:val="24"/>
          <w:szCs w:val="24"/>
        </w:rPr>
        <w:t xml:space="preserve">reduction of error for </w:t>
      </w:r>
      <w:r w:rsidR="00154AA9">
        <w:rPr>
          <w:rFonts w:ascii="Times New Roman" w:hAnsi="Times New Roman" w:cs="Times New Roman"/>
          <w:noProof/>
          <w:sz w:val="24"/>
          <w:szCs w:val="24"/>
        </w:rPr>
        <w:t>the ROMS 4DVAR simulation.</w:t>
      </w:r>
    </w:p>
    <w:p w14:paraId="5AB7D7E4" w14:textId="285F0ABC" w:rsidR="00670AD0" w:rsidRDefault="00670AD0" w:rsidP="00270ED0">
      <w:pPr>
        <w:spacing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12B8C69" w14:textId="77777777" w:rsidR="00670AD0" w:rsidRDefault="00670AD0" w:rsidP="00270ED0">
      <w:pPr>
        <w:spacing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654BE45" w14:textId="77777777" w:rsidR="00270ED0" w:rsidRDefault="00270ED0" w:rsidP="00270ED0">
      <w:pPr>
        <w:spacing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4BE4E" wp14:editId="0654BE4F">
            <wp:extent cx="3741420" cy="553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BE46" w14:textId="567F1B4B" w:rsidR="00270ED0" w:rsidRDefault="00270ED0" w:rsidP="00270ED0">
      <w:pPr>
        <w:spacing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S</w:t>
      </w:r>
      <w:r w:rsidR="00105443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: Graph showing the reduction across ROMS 4DVAR model iterations in the value of the cost function for the a) 2016 and b) 2017 model fits. The cost function assesses</w:t>
      </w:r>
      <w:r w:rsidRPr="006C5347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degree of </w:t>
      </w:r>
      <w:r w:rsidRPr="006C5347">
        <w:rPr>
          <w:rFonts w:ascii="Times New Roman" w:hAnsi="Times New Roman" w:cs="Times New Roman"/>
          <w:noProof/>
          <w:sz w:val="24"/>
          <w:szCs w:val="24"/>
        </w:rPr>
        <w:t xml:space="preserve">change </w:t>
      </w:r>
      <w:r>
        <w:rPr>
          <w:rFonts w:ascii="Times New Roman" w:hAnsi="Times New Roman" w:cs="Times New Roman"/>
          <w:noProof/>
          <w:sz w:val="24"/>
          <w:szCs w:val="24"/>
        </w:rPr>
        <w:t>between</w:t>
      </w:r>
      <w:r w:rsidRPr="006C5347">
        <w:rPr>
          <w:rFonts w:ascii="Times New Roman" w:hAnsi="Times New Roman" w:cs="Times New Roman"/>
          <w:noProof/>
          <w:sz w:val="24"/>
          <w:szCs w:val="24"/>
        </w:rPr>
        <w:t xml:space="preserve"> the model </w:t>
      </w:r>
      <w:r>
        <w:rPr>
          <w:rFonts w:ascii="Times New Roman" w:hAnsi="Times New Roman" w:cs="Times New Roman"/>
          <w:noProof/>
          <w:sz w:val="24"/>
          <w:szCs w:val="24"/>
        </w:rPr>
        <w:t>and</w:t>
      </w:r>
      <w:r w:rsidRPr="006C5347">
        <w:rPr>
          <w:rFonts w:ascii="Times New Roman" w:hAnsi="Times New Roman" w:cs="Times New Roman"/>
          <w:noProof/>
          <w:sz w:val="24"/>
          <w:szCs w:val="24"/>
        </w:rPr>
        <w:t xml:space="preserve"> its initial conditions as well as its success in minimizing differences between the model state and the observational dataset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654BE47" w14:textId="77777777" w:rsidR="00270ED0" w:rsidRDefault="00270ED0" w:rsidP="00270ED0">
      <w:pPr>
        <w:spacing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654BE48" w14:textId="77777777" w:rsidR="00270ED0" w:rsidRDefault="00270ED0" w:rsidP="00270ED0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654BE50" wp14:editId="0654BE51">
            <wp:extent cx="4038600" cy="487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BE49" w14:textId="439F1BE1" w:rsidR="00270ED0" w:rsidRPr="00F00CBC" w:rsidRDefault="00270ED0" w:rsidP="00270ED0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S</w:t>
      </w:r>
      <w:r w:rsidR="0010544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: Raw ΔO</w:t>
      </w:r>
      <w:r w:rsidRPr="00880EE8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supersaturation (blue, primary y-axis) plotted with high-resolution Chl-</w:t>
      </w:r>
      <w:r w:rsidRPr="00E37508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measurements from the 2017 expedition (black, secondary y-axis). </w:t>
      </w:r>
      <w:r>
        <w:rPr>
          <w:rFonts w:ascii="Times New Roman" w:hAnsi="Times New Roman" w:cs="Times New Roman"/>
          <w:noProof/>
          <w:sz w:val="24"/>
          <w:szCs w:val="24"/>
        </w:rPr>
        <w:t>The line of best fit for each cycle’s ΔO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/Ar data, derived from a linear regression against a subset of the cycle data beginning and ending at the same local time of day, is shown in red. Shaded sections of background indicate nighttime periods.</w:t>
      </w:r>
    </w:p>
    <w:p w14:paraId="0654BE4A" w14:textId="77777777" w:rsidR="00270ED0" w:rsidRPr="00F00CBC" w:rsidRDefault="00270ED0" w:rsidP="00270ED0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654BE4B" w14:textId="77777777" w:rsidR="00791C67" w:rsidRDefault="00105443"/>
    <w:sectPr w:rsidR="00791C67" w:rsidSect="003920D6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4BE58" w14:textId="77777777" w:rsidR="00286422" w:rsidRDefault="005A718C">
      <w:pPr>
        <w:spacing w:after="0" w:line="240" w:lineRule="auto"/>
      </w:pPr>
      <w:r>
        <w:separator/>
      </w:r>
    </w:p>
  </w:endnote>
  <w:endnote w:type="continuationSeparator" w:id="0">
    <w:p w14:paraId="0654BE5A" w14:textId="77777777" w:rsidR="00286422" w:rsidRDefault="005A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4BE54" w14:textId="77777777" w:rsidR="00286422" w:rsidRDefault="005A718C">
      <w:pPr>
        <w:spacing w:after="0" w:line="240" w:lineRule="auto"/>
      </w:pPr>
      <w:r>
        <w:separator/>
      </w:r>
    </w:p>
  </w:footnote>
  <w:footnote w:type="continuationSeparator" w:id="0">
    <w:p w14:paraId="0654BE56" w14:textId="77777777" w:rsidR="00286422" w:rsidRDefault="005A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2259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54BE52" w14:textId="77777777" w:rsidR="00E3245F" w:rsidRDefault="00270E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4BE53" w14:textId="77777777" w:rsidR="00E3245F" w:rsidRDefault="00105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0"/>
    <w:rsid w:val="00105443"/>
    <w:rsid w:val="00154AA9"/>
    <w:rsid w:val="00270ED0"/>
    <w:rsid w:val="00286422"/>
    <w:rsid w:val="004A1E3B"/>
    <w:rsid w:val="00550C2B"/>
    <w:rsid w:val="005A718C"/>
    <w:rsid w:val="00670AD0"/>
    <w:rsid w:val="008214F4"/>
    <w:rsid w:val="0095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BE42"/>
  <w15:chartTrackingRefBased/>
  <w15:docId w15:val="{5FCFB4DE-9515-4577-90E5-5838D765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E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D0"/>
  </w:style>
  <w:style w:type="character" w:styleId="LineNumber">
    <w:name w:val="line number"/>
    <w:basedOn w:val="DefaultParagraphFont"/>
    <w:uiPriority w:val="99"/>
    <w:semiHidden/>
    <w:unhideWhenUsed/>
    <w:rsid w:val="00270ED0"/>
  </w:style>
  <w:style w:type="paragraph" w:styleId="BalloonText">
    <w:name w:val="Balloon Text"/>
    <w:basedOn w:val="Normal"/>
    <w:link w:val="BalloonTextChar"/>
    <w:uiPriority w:val="99"/>
    <w:semiHidden/>
    <w:unhideWhenUsed/>
    <w:rsid w:val="0067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5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Seaver Wang</dc:creator>
  <cp:keywords/>
  <dc:description/>
  <cp:lastModifiedBy>Seaver Wang</cp:lastModifiedBy>
  <cp:revision>7</cp:revision>
  <dcterms:created xsi:type="dcterms:W3CDTF">2019-05-13T15:21:00Z</dcterms:created>
  <dcterms:modified xsi:type="dcterms:W3CDTF">2019-10-20T22:50:00Z</dcterms:modified>
</cp:coreProperties>
</file>