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Operations Review</w:t>
      </w:r>
    </w:p>
    <w:p>
      <w:r>
        <w:rPr>
          <w:color w:val="1FA2A6"/>
          <w:sz w:val="25"/>
        </w:rPr>
        <w:t>Annual Report 2025 – chapter 4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Noah Fischer  ·  27 February 2026</w:t>
      </w:r>
    </w:p>
    <w:p>
      <w:pPr>
        <w:pStyle w:val="Heading2"/>
      </w:pPr>
      <w:r>
        <w:t>Fleet performance</w:t>
      </w:r>
    </w:p>
    <w:p>
      <w:r>
        <w:t>The operating portfolio of 1.1 GW generated 2,860 GWh in 2025 (2024: 2,664 GWh). Wind resources were close to the long-term average; solar irradiation was 3 % above average.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Asset group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GWh 2025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GWh 2024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Offshore wind (legacy minority stakes)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1,045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1,012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Onshore wind Germany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812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798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Onshore wind UK (incl. Kestrel Ridge)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618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512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Solar PV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296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281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Battery storage (net discharged)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89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61</w:t>
            </w:r>
          </w:p>
        </w:tc>
      </w:tr>
    </w:tbl>
    <w:p/>
    <w:p>
      <w:pPr>
        <w:pStyle w:val="Heading2"/>
      </w:pPr>
      <w:r>
        <w:t>Kestrel Ridge Wind Farm</w:t>
      </w:r>
    </w:p>
    <w:p>
      <w:r>
        <w:t>Kestrel Ridge (18 × 4.2 MW, 75.6 MW) completed its first full calendar year of operation. Availability reached 97.4 % (target 97.0 %), the capacity factor 31.2 % and generation 206.6 GWh. Highline Wind Services, our O&amp;M contractor, achieved the availability bonus for three of four quarters.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-report-kestrel-ridge-aeria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Kestrel Ridge Wind Farm, Scottish Borders</w:t>
      </w:r>
    </w:p>
    <w:p>
      <w:pPr>
        <w:pStyle w:val="Heading2"/>
      </w:pPr>
      <w:r>
        <w:t>Maintenance and safety</w:t>
      </w:r>
    </w:p>
    <w:p>
      <w:r>
        <w:t>More than 1,900 maintenance visits were carried out across the fleet. The total recordable injury rate fell to 2.1 per million hours worked (2024: 2.4).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Operations Review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Review</dc:title>
  <dc:subject>Annual Report 2025 – chapter 4</dc:subject>
  <dc:creator>Noah Fischer</dc:creator>
  <cp:keywords>approved</cp:keywords>
  <dc:description>generated by python-docx</dc:description>
  <cp:lastModifiedBy>Noah Fischer</cp:lastModifiedBy>
  <cp:revision>1</cp:revision>
  <dcterms:created xsi:type="dcterms:W3CDTF">2026-01-14T10:00:00Z</dcterms:created>
  <dcterms:modified xsi:type="dcterms:W3CDTF">2026-02-27T10:00:00Z</dcterms:modified>
  <cp:category/>
</cp:coreProperties>
</file>