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Sustainability</w:t>
      </w:r>
    </w:p>
    <w:p>
      <w:r>
        <w:rPr>
          <w:color w:val="1FA2A6"/>
          <w:sz w:val="25"/>
        </w:rPr>
        <w:t>Annual Report 2025 – chapter 6</w:t>
      </w:r>
    </w:p>
    <w:p>
      <w:pPr>
        <w:pBdr>
          <w:bottom w:val="single" w:sz="12" w:space="6" w:color="1FA2A6"/>
        </w:pBdr>
      </w:pPr>
      <w:r>
        <w:rPr>
          <w:color w:val="4A5A68"/>
          <w:sz w:val="18"/>
        </w:rPr>
        <w:t>Noah Fischer  ·  27 February 2026</w:t>
      </w:r>
    </w:p>
    <w:p>
      <w:r>
        <w:t>Sustainability is not a separate chapter of our business – it is our business. In 2025 our assets avoided 1.2 million tonnes of CO₂.</w:t>
      </w:r>
    </w:p>
    <w:p>
      <w:pPr>
        <w:jc w:val="center"/>
      </w:pPr>
      <w:r>
        <w:drawing>
          <wp:inline xmlns:a="http://schemas.openxmlformats.org/drawingml/2006/main" xmlns:pic="http://schemas.openxmlformats.org/drawingml/2006/picture">
            <wp:extent cx="4680000" cy="2620800"/>
            <wp:docPr id="1" name="Picture 1"/>
            <wp:cNvGraphicFramePr>
              <a:graphicFrameLocks noChangeAspect="1"/>
            </wp:cNvGraphicFramePr>
            <a:graphic>
              <a:graphicData uri="http://schemas.openxmlformats.org/drawingml/2006/picture">
                <pic:pic>
                  <pic:nvPicPr>
                    <pic:cNvPr id="0" name="annual-report-co2-0d593c30.png"/>
                    <pic:cNvPicPr/>
                  </pic:nvPicPr>
                  <pic:blipFill>
                    <a:blip r:embed="rId11"/>
                    <a:stretch>
                      <a:fillRect/>
                    </a:stretch>
                  </pic:blipFill>
                  <pic:spPr>
                    <a:xfrm>
                      <a:off x="0" y="0"/>
                      <a:ext cx="4680000" cy="2620800"/>
                    </a:xfrm>
                    <a:prstGeom prst="rect"/>
                  </pic:spPr>
                </pic:pic>
              </a:graphicData>
            </a:graphic>
          </wp:inline>
        </w:drawing>
      </w:r>
    </w:p>
    <w:p>
      <w:pPr>
        <w:jc w:val="center"/>
      </w:pPr>
      <w:r>
        <w:rPr>
          <w:i/>
          <w:color w:val="4A5A68"/>
          <w:sz w:val="17"/>
        </w:rPr>
        <w:t>CO₂ avoided 2021–2025</w:t>
      </w:r>
    </w:p>
    <w:p>
      <w:pPr>
        <w:pStyle w:val="Heading2"/>
      </w:pPr>
      <w:r>
        <w:t>Nature</w:t>
      </w:r>
    </w:p>
    <w:p>
      <w:r>
        <w:t>Marlow Ecology carried out 46 seabird and marine mammal survey days for Harrow Bay in 2025. The results informed our piling noise mitigation plan with double bubble curtains and seasonal restrictions.</w:t>
      </w:r>
    </w:p>
    <w:p>
      <w:pPr>
        <w:jc w:val="center"/>
      </w:pPr>
      <w:r>
        <w:drawing>
          <wp:inline xmlns:a="http://schemas.openxmlformats.org/drawingml/2006/main" xmlns:pic="http://schemas.openxmlformats.org/drawingml/2006/picture">
            <wp:extent cx="4680000" cy="3119238"/>
            <wp:docPr id="2" name="Picture 2"/>
            <wp:cNvGraphicFramePr>
              <a:graphicFrameLocks noChangeAspect="1"/>
            </wp:cNvGraphicFramePr>
            <a:graphic>
              <a:graphicData uri="http://schemas.openxmlformats.org/drawingml/2006/picture">
                <pic:pic>
                  <pic:nvPicPr>
                    <pic:cNvPr id="0" name="annual-report-seabird-survey.jpg"/>
                    <pic:cNvPicPr/>
                  </pic:nvPicPr>
                  <pic:blipFill>
                    <a:blip r:embed="rId12"/>
                    <a:stretch>
                      <a:fillRect/>
                    </a:stretch>
                  </pic:blipFill>
                  <pic:spPr>
                    <a:xfrm>
                      <a:off x="0" y="0"/>
                      <a:ext cx="4680000" cy="3119238"/>
                    </a:xfrm>
                    <a:prstGeom prst="rect"/>
                  </pic:spPr>
                </pic:pic>
              </a:graphicData>
            </a:graphic>
          </wp:inline>
        </w:drawing>
      </w:r>
    </w:p>
    <w:p>
      <w:pPr>
        <w:jc w:val="center"/>
      </w:pPr>
      <w:r>
        <w:rPr>
          <w:i/>
          <w:color w:val="4A5A68"/>
          <w:sz w:val="17"/>
        </w:rPr>
        <w:t>Seabird survey in the Harrow Bay area</w:t>
      </w:r>
    </w:p>
    <w:p>
      <w:pPr>
        <w:pStyle w:val="Heading2"/>
      </w:pPr>
      <w:r>
        <w:t>People</w:t>
      </w:r>
    </w:p>
    <w:p>
      <w:r>
        <w:t>We welcomed 52 new colleagues; the workforce grew to 450 employees from 31 nations. Women hold 31 % of leadership positions (2024: 27 %).</w:t>
      </w:r>
    </w:p>
    <w:p>
      <w:pPr>
        <w:jc w:val="center"/>
      </w:pPr>
      <w:r>
        <w:drawing>
          <wp:inline xmlns:a="http://schemas.openxmlformats.org/drawingml/2006/main" xmlns:pic="http://schemas.openxmlformats.org/drawingml/2006/picture">
            <wp:extent cx="4680000" cy="3119238"/>
            <wp:docPr id="3" name="Picture 3"/>
            <wp:cNvGraphicFramePr>
              <a:graphicFrameLocks noChangeAspect="1"/>
            </wp:cNvGraphicFramePr>
            <a:graphic>
              <a:graphicData uri="http://schemas.openxmlformats.org/drawingml/2006/picture">
                <pic:pic>
                  <pic:nvPicPr>
                    <pic:cNvPr id="0" name="annual-report-technicians.jpg"/>
                    <pic:cNvPicPr/>
                  </pic:nvPicPr>
                  <pic:blipFill>
                    <a:blip r:embed="rId13"/>
                    <a:stretch>
                      <a:fillRect/>
                    </a:stretch>
                  </pic:blipFill>
                  <pic:spPr>
                    <a:xfrm>
                      <a:off x="0" y="0"/>
                      <a:ext cx="4680000" cy="3119238"/>
                    </a:xfrm>
                    <a:prstGeom prst="rect"/>
                  </pic:spPr>
                </pic:pic>
              </a:graphicData>
            </a:graphic>
          </wp:inline>
        </w:drawing>
      </w:r>
    </w:p>
    <w:p>
      <w:pPr>
        <w:jc w:val="center"/>
      </w:pPr>
      <w:r>
        <w:rPr>
          <w:i/>
          <w:color w:val="4A5A68"/>
          <w:sz w:val="17"/>
        </w:rPr>
        <w:t>Technicians at Kestrel Ridge</w:t>
      </w:r>
    </w:p>
    <w:p>
      <w:pPr>
        <w:pStyle w:val="Heading2"/>
      </w:pPr>
      <w:r>
        <w:t>Communities</w:t>
      </w:r>
    </w:p>
    <w:p>
      <w:r>
        <w:t>Our community benefit funds paid EUR 745,000 to 63 local projects – from a new roof for the village hall near Kestrel Ridge to school science kits in Dithmarschen.</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Sustainability</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dc:title>
  <dc:subject>Annual Report 2025 – chapter 6</dc:subject>
  <dc:creator>Noah Fischer</dc:creator>
  <cp:keywords>approved</cp:keywords>
  <dc:description>generated by python-docx</dc:description>
  <cp:lastModifiedBy>Noah Fischer</cp:lastModifiedBy>
  <cp:revision>1</cp:revision>
  <dcterms:created xsi:type="dcterms:W3CDTF">2026-01-20T10:00:00Z</dcterms:created>
  <dcterms:modified xsi:type="dcterms:W3CDTF">2026-02-27T10:00:00Z</dcterms:modified>
  <cp:category/>
</cp:coreProperties>
</file>